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489" w:rsidRDefault="00FD4489" w:rsidP="00FD4489">
      <w:r>
        <w:t>Title: Transforming to Mobile Internet oriented Architecture based on WTCF</w:t>
      </w:r>
    </w:p>
    <w:p w:rsidR="00FD4489" w:rsidRDefault="00FD4489" w:rsidP="00FD4489"/>
    <w:p w:rsidR="00FD4489" w:rsidRDefault="00FD4489" w:rsidP="00FD4489">
      <w:r>
        <w:t xml:space="preserve">Abstract: </w:t>
      </w:r>
    </w:p>
    <w:p w:rsidR="00E518DC" w:rsidRDefault="00FD4489" w:rsidP="00FD4489">
      <w:pPr>
        <w:rPr>
          <w:rFonts w:hint="eastAsia"/>
        </w:rPr>
      </w:pPr>
      <w:r>
        <w:t xml:space="preserve">As lottery solution </w:t>
      </w:r>
      <w:bookmarkStart w:id="0" w:name="OLE_LINK1"/>
      <w:bookmarkStart w:id="1" w:name="OLE_LINK2"/>
      <w:r w:rsidRPr="0093787E">
        <w:rPr>
          <w:highlight w:val="yellow"/>
        </w:rPr>
        <w:t>Operators</w:t>
      </w:r>
      <w:r w:rsidRPr="00FD4489">
        <w:t xml:space="preserve"> </w:t>
      </w:r>
      <w:r w:rsidRPr="00FD4489">
        <w:rPr>
          <w:strike/>
        </w:rPr>
        <w:t>provider</w:t>
      </w:r>
      <w:bookmarkEnd w:id="0"/>
      <w:bookmarkEnd w:id="1"/>
      <w:r>
        <w:t xml:space="preserve">, China Lottery Online (CLO) plans to transform traditional architecture to mobile internet oriented architecture to support mobile internet ticket sales. CLO is looking for a new generation high volume transaction platform, to support high volume player and high performance requirements, and provide flexible scalability. In this joint session, CLO will describe how extending the enterprise to mobile is imperative for their business, and introduce how CLO optimized their applications for mobile experience and ingeniously designed a high volume transaction architecture to reduce costs and increase revenue through mobile using </w:t>
      </w:r>
      <w:proofErr w:type="spellStart"/>
      <w:r>
        <w:t>WebSphere</w:t>
      </w:r>
      <w:proofErr w:type="spellEnd"/>
      <w:r>
        <w:t xml:space="preserve"> Transaction Cluster Facility.</w:t>
      </w:r>
    </w:p>
    <w:p w:rsidR="00FD4489" w:rsidRDefault="00FD4489" w:rsidP="00FD4489">
      <w:pPr>
        <w:rPr>
          <w:rFonts w:hint="eastAsia"/>
        </w:rPr>
      </w:pPr>
    </w:p>
    <w:p w:rsidR="00FD4489" w:rsidRDefault="00FD4489" w:rsidP="00FD4489">
      <w:pPr>
        <w:rPr>
          <w:rFonts w:hint="eastAsia"/>
        </w:rPr>
      </w:pPr>
    </w:p>
    <w:p w:rsidR="00FD4489" w:rsidRDefault="00FD4489" w:rsidP="00FD4489">
      <w:pPr>
        <w:rPr>
          <w:rFonts w:hint="eastAsia"/>
        </w:rPr>
      </w:pPr>
      <w:bookmarkStart w:id="2" w:name="OLE_LINK3"/>
      <w:bookmarkStart w:id="3" w:name="OLE_LINK4"/>
      <w:r>
        <w:rPr>
          <w:rFonts w:ascii="Arial" w:hAnsi="Arial" w:cs="Arial"/>
          <w:b/>
          <w:bCs/>
          <w:color w:val="000000"/>
          <w:sz w:val="20"/>
          <w:szCs w:val="20"/>
          <w:u w:val="single"/>
        </w:rPr>
        <w:t>Title</w:t>
      </w:r>
      <w:r>
        <w:rPr>
          <w:rFonts w:ascii="Simsun" w:hAnsi="Simsun"/>
          <w:color w:val="000000"/>
          <w:sz w:val="27"/>
          <w:szCs w:val="27"/>
        </w:rPr>
        <w:br/>
      </w:r>
      <w:r>
        <w:rPr>
          <w:rFonts w:ascii="Arial" w:hAnsi="Arial" w:cs="Arial"/>
          <w:color w:val="000000"/>
          <w:sz w:val="20"/>
          <w:szCs w:val="20"/>
        </w:rPr>
        <w:t xml:space="preserve">Transforming from Traditional Architecture to Mobile Internet oriented Architecture based on </w:t>
      </w:r>
      <w:proofErr w:type="spellStart"/>
      <w:r>
        <w:rPr>
          <w:rFonts w:ascii="Arial" w:hAnsi="Arial" w:cs="Arial"/>
          <w:color w:val="000000"/>
          <w:sz w:val="20"/>
          <w:szCs w:val="20"/>
        </w:rPr>
        <w:t>WebSphere</w:t>
      </w:r>
      <w:proofErr w:type="spellEnd"/>
      <w:r>
        <w:rPr>
          <w:rFonts w:ascii="Arial" w:hAnsi="Arial" w:cs="Arial"/>
          <w:color w:val="000000"/>
          <w:sz w:val="20"/>
          <w:szCs w:val="20"/>
        </w:rPr>
        <w:t xml:space="preserve"> Transaction Cluster Facility</w:t>
      </w:r>
      <w:r>
        <w:rPr>
          <w:rFonts w:ascii="Simsun" w:hAnsi="Simsun"/>
          <w:color w:val="000000"/>
          <w:sz w:val="27"/>
          <w:szCs w:val="27"/>
        </w:rPr>
        <w:br/>
      </w:r>
      <w:r>
        <w:rPr>
          <w:rFonts w:ascii="Simsun" w:hAnsi="Simsun"/>
          <w:color w:val="000000"/>
          <w:sz w:val="27"/>
          <w:szCs w:val="27"/>
        </w:rPr>
        <w:br/>
      </w:r>
      <w:r>
        <w:rPr>
          <w:rFonts w:ascii="Arial" w:hAnsi="Arial" w:cs="Arial"/>
          <w:b/>
          <w:bCs/>
          <w:color w:val="000000"/>
          <w:sz w:val="20"/>
          <w:szCs w:val="20"/>
          <w:u w:val="single"/>
        </w:rPr>
        <w:t>Speaker</w:t>
      </w:r>
      <w:r>
        <w:rPr>
          <w:rFonts w:ascii="Arial" w:hAnsi="Arial" w:cs="Arial"/>
          <w:color w:val="000000"/>
          <w:sz w:val="20"/>
          <w:szCs w:val="20"/>
        </w:rPr>
        <w:t> </w:t>
      </w:r>
      <w:r>
        <w:rPr>
          <w:rFonts w:ascii="Simsun" w:hAnsi="Simsun"/>
          <w:color w:val="000000"/>
          <w:sz w:val="27"/>
          <w:szCs w:val="27"/>
        </w:rPr>
        <w:br/>
      </w:r>
      <w:r>
        <w:rPr>
          <w:rFonts w:ascii="Arial" w:hAnsi="Arial" w:cs="Arial"/>
          <w:color w:val="000000"/>
          <w:sz w:val="20"/>
          <w:szCs w:val="20"/>
        </w:rPr>
        <w:t xml:space="preserve">Takao Inouye (IBM), </w:t>
      </w:r>
      <w:proofErr w:type="spellStart"/>
      <w:r>
        <w:rPr>
          <w:rFonts w:ascii="Arial" w:hAnsi="Arial" w:cs="Arial"/>
          <w:color w:val="000000"/>
          <w:sz w:val="20"/>
          <w:szCs w:val="20"/>
        </w:rPr>
        <w:t>Lan</w:t>
      </w:r>
      <w:proofErr w:type="spellEnd"/>
      <w:r>
        <w:rPr>
          <w:rFonts w:ascii="Arial" w:hAnsi="Arial" w:cs="Arial"/>
          <w:color w:val="000000"/>
          <w:sz w:val="20"/>
          <w:szCs w:val="20"/>
        </w:rPr>
        <w:t xml:space="preserve"> </w:t>
      </w:r>
      <w:proofErr w:type="spellStart"/>
      <w:r>
        <w:rPr>
          <w:rFonts w:ascii="Arial" w:hAnsi="Arial" w:cs="Arial"/>
          <w:color w:val="000000"/>
          <w:sz w:val="20"/>
          <w:szCs w:val="20"/>
        </w:rPr>
        <w:t>Shao</w:t>
      </w:r>
      <w:proofErr w:type="spellEnd"/>
      <w:r>
        <w:rPr>
          <w:rFonts w:ascii="Arial" w:hAnsi="Arial" w:cs="Arial"/>
          <w:color w:val="000000"/>
          <w:sz w:val="20"/>
          <w:szCs w:val="20"/>
        </w:rPr>
        <w:t xml:space="preserve"> (CLO), Cheng-</w:t>
      </w:r>
      <w:proofErr w:type="spellStart"/>
      <w:r>
        <w:rPr>
          <w:rFonts w:ascii="Arial" w:hAnsi="Arial" w:cs="Arial"/>
          <w:color w:val="000000"/>
          <w:sz w:val="20"/>
          <w:szCs w:val="20"/>
        </w:rPr>
        <w:t>Hui</w:t>
      </w:r>
      <w:proofErr w:type="spellEnd"/>
      <w:r>
        <w:rPr>
          <w:rFonts w:ascii="Arial" w:hAnsi="Arial" w:cs="Arial"/>
          <w:color w:val="000000"/>
          <w:sz w:val="20"/>
          <w:szCs w:val="20"/>
        </w:rPr>
        <w:t xml:space="preserve"> </w:t>
      </w:r>
      <w:proofErr w:type="spellStart"/>
      <w:r>
        <w:rPr>
          <w:rFonts w:ascii="Arial" w:hAnsi="Arial" w:cs="Arial"/>
          <w:color w:val="000000"/>
          <w:sz w:val="20"/>
          <w:szCs w:val="20"/>
        </w:rPr>
        <w:t>Luo</w:t>
      </w:r>
      <w:proofErr w:type="spellEnd"/>
      <w:r>
        <w:rPr>
          <w:rFonts w:ascii="Arial" w:hAnsi="Arial" w:cs="Arial"/>
          <w:color w:val="000000"/>
          <w:sz w:val="20"/>
          <w:szCs w:val="20"/>
        </w:rPr>
        <w:t xml:space="preserve"> (CLO</w:t>
      </w:r>
      <w:proofErr w:type="gramStart"/>
      <w:r>
        <w:rPr>
          <w:rFonts w:ascii="Arial" w:hAnsi="Arial" w:cs="Arial"/>
          <w:color w:val="000000"/>
          <w:sz w:val="20"/>
          <w:szCs w:val="20"/>
        </w:rPr>
        <w:t>)</w:t>
      </w:r>
      <w:proofErr w:type="gramEnd"/>
      <w:r>
        <w:rPr>
          <w:rFonts w:ascii="Simsun" w:hAnsi="Simsun"/>
          <w:color w:val="000000"/>
          <w:sz w:val="27"/>
          <w:szCs w:val="27"/>
        </w:rPr>
        <w:br/>
      </w:r>
      <w:r>
        <w:rPr>
          <w:rFonts w:ascii="Simsun" w:hAnsi="Simsun"/>
          <w:color w:val="000000"/>
          <w:sz w:val="27"/>
          <w:szCs w:val="27"/>
        </w:rPr>
        <w:br/>
      </w:r>
      <w:r>
        <w:rPr>
          <w:rFonts w:ascii="Arial" w:hAnsi="Arial" w:cs="Arial"/>
          <w:b/>
          <w:bCs/>
          <w:color w:val="000000"/>
          <w:sz w:val="20"/>
          <w:szCs w:val="20"/>
          <w:u w:val="single"/>
        </w:rPr>
        <w:t>Abstract</w:t>
      </w:r>
      <w:r>
        <w:rPr>
          <w:rFonts w:ascii="Simsun" w:hAnsi="Simsun"/>
          <w:color w:val="000000"/>
          <w:sz w:val="27"/>
          <w:szCs w:val="27"/>
        </w:rPr>
        <w:br/>
      </w:r>
      <w:r>
        <w:rPr>
          <w:rFonts w:ascii="Arial" w:hAnsi="Arial" w:cs="Arial"/>
          <w:color w:val="000000"/>
          <w:sz w:val="20"/>
          <w:szCs w:val="20"/>
        </w:rPr>
        <w:t>China's lottery market has expanded quickly. As lottery solution</w:t>
      </w:r>
      <w:r w:rsidR="0093787E">
        <w:rPr>
          <w:rFonts w:ascii="Arial" w:hAnsi="Arial" w:cs="Arial" w:hint="eastAsia"/>
          <w:color w:val="000000"/>
          <w:sz w:val="20"/>
          <w:szCs w:val="20"/>
        </w:rPr>
        <w:t xml:space="preserve"> </w:t>
      </w:r>
      <w:r w:rsidR="0093787E" w:rsidRPr="0093787E">
        <w:rPr>
          <w:rFonts w:ascii="Arial" w:hAnsi="Arial" w:cs="Arial"/>
          <w:color w:val="000000"/>
          <w:sz w:val="20"/>
          <w:szCs w:val="20"/>
        </w:rPr>
        <w:t>Operators</w:t>
      </w:r>
      <w:r>
        <w:rPr>
          <w:rFonts w:ascii="Arial" w:hAnsi="Arial" w:cs="Arial"/>
          <w:color w:val="000000"/>
          <w:sz w:val="20"/>
          <w:szCs w:val="20"/>
        </w:rPr>
        <w:t xml:space="preserve"> </w:t>
      </w:r>
      <w:r w:rsidRPr="00FD4489">
        <w:rPr>
          <w:rFonts w:ascii="Arial" w:hAnsi="Arial" w:cs="Arial"/>
          <w:strike/>
          <w:color w:val="000000"/>
          <w:sz w:val="20"/>
          <w:szCs w:val="20"/>
        </w:rPr>
        <w:t>provider,</w:t>
      </w:r>
      <w:r>
        <w:rPr>
          <w:rFonts w:ascii="Arial" w:hAnsi="Arial" w:cs="Arial"/>
          <w:color w:val="000000"/>
          <w:sz w:val="20"/>
          <w:szCs w:val="20"/>
        </w:rPr>
        <w:t xml:space="preserve"> China Lottery Online company (CLO) is planning to transform their traditional architecture to mobile internet oriented architecture, since many lottery ticket buyers have the willingness to make the transaction via the mobile internet for convenience, which has huge business potential. As mobile continues to keep us more connected, CLO has seized the opportunity to take industry trends and turn this into innovation.</w:t>
      </w:r>
      <w:r>
        <w:rPr>
          <w:rFonts w:ascii="Simsun" w:hAnsi="Simsun"/>
          <w:color w:val="000000"/>
          <w:sz w:val="27"/>
          <w:szCs w:val="27"/>
        </w:rPr>
        <w:br/>
      </w:r>
      <w:r>
        <w:rPr>
          <w:rFonts w:ascii="Arial" w:hAnsi="Arial" w:cs="Arial"/>
          <w:color w:val="000000"/>
          <w:sz w:val="20"/>
          <w:szCs w:val="20"/>
        </w:rPr>
        <w:t>In this joint session</w:t>
      </w:r>
      <w:r w:rsidRPr="0093787E">
        <w:rPr>
          <w:rFonts w:ascii="Arial" w:hAnsi="Arial" w:cs="Arial"/>
          <w:color w:val="000000"/>
          <w:sz w:val="20"/>
          <w:szCs w:val="20"/>
          <w:highlight w:val="yellow"/>
        </w:rPr>
        <w:t>, CLO will describe how extending the enterprise to Mobile is imperative for their busines</w:t>
      </w:r>
      <w:r>
        <w:rPr>
          <w:rFonts w:ascii="Arial" w:hAnsi="Arial" w:cs="Arial"/>
          <w:color w:val="000000"/>
          <w:sz w:val="20"/>
          <w:szCs w:val="20"/>
        </w:rPr>
        <w:t>s.  To support mobile internet ticket sales, CLO is facing technical challenges based on their transitional architecture, e.g. extreme high volume players (</w:t>
      </w:r>
      <w:r w:rsidRPr="00FD4489">
        <w:rPr>
          <w:rFonts w:ascii="Arial" w:hAnsi="Arial" w:cs="Arial"/>
          <w:strike/>
          <w:color w:val="000000"/>
          <w:sz w:val="20"/>
          <w:szCs w:val="20"/>
        </w:rPr>
        <w:t>400 million plays in total</w:t>
      </w:r>
      <w:r>
        <w:rPr>
          <w:rFonts w:ascii="Arial" w:hAnsi="Arial" w:cs="Arial"/>
          <w:color w:val="000000"/>
          <w:sz w:val="20"/>
          <w:szCs w:val="20"/>
        </w:rPr>
        <w:t xml:space="preserve">), extreme high performance and high availability requirements. Meanwhile, system scalability is becoming a very important factor since player volume will be extreme high at peak time via internet and social media. To respond to these challenges, </w:t>
      </w:r>
      <w:r w:rsidRPr="0093787E">
        <w:rPr>
          <w:rFonts w:ascii="Arial" w:hAnsi="Arial" w:cs="Arial"/>
          <w:color w:val="000000"/>
          <w:sz w:val="20"/>
          <w:szCs w:val="20"/>
          <w:highlight w:val="yellow"/>
        </w:rPr>
        <w:t>CLO is building a new generation high volume transaction platform to solve these problems and support mobile internet lottery sales.</w:t>
      </w:r>
      <w:r>
        <w:rPr>
          <w:rFonts w:ascii="Simsun" w:hAnsi="Simsun"/>
          <w:color w:val="000000"/>
          <w:sz w:val="27"/>
          <w:szCs w:val="27"/>
        </w:rPr>
        <w:br/>
      </w:r>
      <w:r>
        <w:rPr>
          <w:rFonts w:ascii="Arial" w:hAnsi="Arial" w:cs="Arial"/>
          <w:color w:val="000000"/>
          <w:sz w:val="20"/>
          <w:szCs w:val="20"/>
        </w:rPr>
        <w:t xml:space="preserve">As a new technology, IBM </w:t>
      </w:r>
      <w:proofErr w:type="spellStart"/>
      <w:r>
        <w:rPr>
          <w:rFonts w:ascii="Arial" w:hAnsi="Arial" w:cs="Arial"/>
          <w:color w:val="000000"/>
          <w:sz w:val="20"/>
          <w:szCs w:val="20"/>
        </w:rPr>
        <w:t>WebSphere</w:t>
      </w:r>
      <w:proofErr w:type="spellEnd"/>
      <w:r>
        <w:rPr>
          <w:rFonts w:ascii="Arial" w:hAnsi="Arial" w:cs="Arial"/>
          <w:color w:val="000000"/>
          <w:sz w:val="20"/>
          <w:szCs w:val="20"/>
        </w:rPr>
        <w:t xml:space="preserve"> Transaction Cluster Facility (WTCF) is built on DB2 shared data technology – DB2 </w:t>
      </w:r>
      <w:proofErr w:type="spellStart"/>
      <w:r>
        <w:rPr>
          <w:rFonts w:ascii="Arial" w:hAnsi="Arial" w:cs="Arial"/>
          <w:color w:val="000000"/>
          <w:sz w:val="20"/>
          <w:szCs w:val="20"/>
        </w:rPr>
        <w:t>pureScale</w:t>
      </w:r>
      <w:proofErr w:type="spellEnd"/>
      <w:r>
        <w:rPr>
          <w:rFonts w:ascii="Arial" w:hAnsi="Arial" w:cs="Arial"/>
          <w:color w:val="000000"/>
          <w:sz w:val="20"/>
          <w:szCs w:val="20"/>
        </w:rPr>
        <w:t xml:space="preserve">, and optimized for mission critical application that requires a centralized and consistent database, providing object-oriented interface, easy to develop new applications and re-engineer existing application in C++ and WAS using Java, and effortlessly scaling from hundreds to thousands to millions of transaction per second. The session will introduce how CLO successfully optimized their applications for the mobile experience and ingeniously designed </w:t>
      </w:r>
      <w:proofErr w:type="gramStart"/>
      <w:r>
        <w:rPr>
          <w:rFonts w:ascii="Arial" w:hAnsi="Arial" w:cs="Arial"/>
          <w:color w:val="000000"/>
          <w:sz w:val="20"/>
          <w:szCs w:val="20"/>
        </w:rPr>
        <w:t>a high</w:t>
      </w:r>
      <w:proofErr w:type="gramEnd"/>
      <w:r>
        <w:rPr>
          <w:rFonts w:ascii="Arial" w:hAnsi="Arial" w:cs="Arial"/>
          <w:color w:val="000000"/>
          <w:sz w:val="20"/>
          <w:szCs w:val="20"/>
        </w:rPr>
        <w:t xml:space="preserve"> volume transaction architecture to reduce costs and increase revenue through mobile using WTCF</w:t>
      </w:r>
      <w:r>
        <w:rPr>
          <w:rFonts w:ascii="Arial" w:hAnsi="Arial" w:cs="Arial"/>
          <w:strike/>
          <w:color w:val="000000"/>
          <w:sz w:val="20"/>
          <w:szCs w:val="20"/>
        </w:rPr>
        <w:t> </w:t>
      </w:r>
      <w:r>
        <w:rPr>
          <w:rFonts w:ascii="Arial" w:hAnsi="Arial" w:cs="Arial"/>
          <w:color w:val="000000"/>
          <w:sz w:val="20"/>
          <w:szCs w:val="20"/>
        </w:rPr>
        <w:t xml:space="preserve">while demonstrating high performance and scalability. For CLO, WTCF </w:t>
      </w:r>
      <w:proofErr w:type="gramStart"/>
      <w:r>
        <w:rPr>
          <w:rFonts w:ascii="Arial" w:hAnsi="Arial" w:cs="Arial"/>
          <w:color w:val="000000"/>
          <w:sz w:val="20"/>
          <w:szCs w:val="20"/>
        </w:rPr>
        <w:t>has  proved</w:t>
      </w:r>
      <w:proofErr w:type="gramEnd"/>
      <w:r>
        <w:rPr>
          <w:rFonts w:ascii="Arial" w:hAnsi="Arial" w:cs="Arial"/>
          <w:color w:val="000000"/>
          <w:sz w:val="20"/>
          <w:szCs w:val="20"/>
        </w:rPr>
        <w:t xml:space="preserve"> to be a key driver for greater business value and </w:t>
      </w:r>
      <w:r>
        <w:rPr>
          <w:rFonts w:ascii="Arial" w:hAnsi="Arial" w:cs="Arial"/>
          <w:color w:val="000000"/>
          <w:sz w:val="20"/>
          <w:szCs w:val="20"/>
        </w:rPr>
        <w:lastRenderedPageBreak/>
        <w:t>agility.</w:t>
      </w:r>
      <w:r>
        <w:rPr>
          <w:rStyle w:val="apple-converted-space"/>
          <w:rFonts w:ascii="Arial" w:hAnsi="Arial" w:cs="Arial"/>
          <w:color w:val="000000"/>
          <w:sz w:val="20"/>
          <w:szCs w:val="20"/>
        </w:rPr>
        <w:t> </w:t>
      </w:r>
      <w:bookmarkEnd w:id="2"/>
      <w:bookmarkEnd w:id="3"/>
    </w:p>
    <w:sectPr w:rsidR="00FD4489" w:rsidSect="00E518D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D4489"/>
    <w:rsid w:val="000164F7"/>
    <w:rsid w:val="00017E82"/>
    <w:rsid w:val="00051D95"/>
    <w:rsid w:val="000657CD"/>
    <w:rsid w:val="00075964"/>
    <w:rsid w:val="00076694"/>
    <w:rsid w:val="0008373F"/>
    <w:rsid w:val="00087150"/>
    <w:rsid w:val="000A30D5"/>
    <w:rsid w:val="000B0A8B"/>
    <w:rsid w:val="000B523D"/>
    <w:rsid w:val="000C59B8"/>
    <w:rsid w:val="000D4807"/>
    <w:rsid w:val="000D4A05"/>
    <w:rsid w:val="00113094"/>
    <w:rsid w:val="0012060A"/>
    <w:rsid w:val="001507D0"/>
    <w:rsid w:val="0015451E"/>
    <w:rsid w:val="001559B5"/>
    <w:rsid w:val="001664DD"/>
    <w:rsid w:val="00170B99"/>
    <w:rsid w:val="001716C6"/>
    <w:rsid w:val="001B104F"/>
    <w:rsid w:val="001B3814"/>
    <w:rsid w:val="001B5CE9"/>
    <w:rsid w:val="001D15CA"/>
    <w:rsid w:val="001E1265"/>
    <w:rsid w:val="001F381A"/>
    <w:rsid w:val="00220179"/>
    <w:rsid w:val="00221046"/>
    <w:rsid w:val="00237A52"/>
    <w:rsid w:val="00251068"/>
    <w:rsid w:val="002579FE"/>
    <w:rsid w:val="00274E82"/>
    <w:rsid w:val="00276799"/>
    <w:rsid w:val="00280E0A"/>
    <w:rsid w:val="00282141"/>
    <w:rsid w:val="00296814"/>
    <w:rsid w:val="00296C32"/>
    <w:rsid w:val="002A3410"/>
    <w:rsid w:val="002D3A34"/>
    <w:rsid w:val="003001CD"/>
    <w:rsid w:val="00311762"/>
    <w:rsid w:val="00316056"/>
    <w:rsid w:val="00342DD0"/>
    <w:rsid w:val="0035112E"/>
    <w:rsid w:val="003703D0"/>
    <w:rsid w:val="003737AC"/>
    <w:rsid w:val="00383DB9"/>
    <w:rsid w:val="003A069C"/>
    <w:rsid w:val="003D0445"/>
    <w:rsid w:val="003D593F"/>
    <w:rsid w:val="003E5C39"/>
    <w:rsid w:val="003F54F6"/>
    <w:rsid w:val="003F642B"/>
    <w:rsid w:val="004073A4"/>
    <w:rsid w:val="0044241F"/>
    <w:rsid w:val="00444B85"/>
    <w:rsid w:val="004461FF"/>
    <w:rsid w:val="00471B90"/>
    <w:rsid w:val="00473D19"/>
    <w:rsid w:val="004778CE"/>
    <w:rsid w:val="004A6F4E"/>
    <w:rsid w:val="004B1BE9"/>
    <w:rsid w:val="004C4C00"/>
    <w:rsid w:val="004C5E06"/>
    <w:rsid w:val="004C6C57"/>
    <w:rsid w:val="004D7379"/>
    <w:rsid w:val="004E2B41"/>
    <w:rsid w:val="004E2E32"/>
    <w:rsid w:val="00504296"/>
    <w:rsid w:val="00555E0A"/>
    <w:rsid w:val="005655CD"/>
    <w:rsid w:val="00574FDC"/>
    <w:rsid w:val="00593C32"/>
    <w:rsid w:val="00597962"/>
    <w:rsid w:val="005A5097"/>
    <w:rsid w:val="005C0E2C"/>
    <w:rsid w:val="005E5555"/>
    <w:rsid w:val="005E6D67"/>
    <w:rsid w:val="00604741"/>
    <w:rsid w:val="00607B9D"/>
    <w:rsid w:val="00611460"/>
    <w:rsid w:val="006250C2"/>
    <w:rsid w:val="00625967"/>
    <w:rsid w:val="00634664"/>
    <w:rsid w:val="006465F9"/>
    <w:rsid w:val="006576E1"/>
    <w:rsid w:val="00670F43"/>
    <w:rsid w:val="00683D0D"/>
    <w:rsid w:val="006929B1"/>
    <w:rsid w:val="00697AC4"/>
    <w:rsid w:val="006A46FA"/>
    <w:rsid w:val="006B5D8B"/>
    <w:rsid w:val="006D5FDA"/>
    <w:rsid w:val="006D76A5"/>
    <w:rsid w:val="006E242C"/>
    <w:rsid w:val="007028B0"/>
    <w:rsid w:val="00721D7A"/>
    <w:rsid w:val="0078346F"/>
    <w:rsid w:val="00791609"/>
    <w:rsid w:val="007A55C9"/>
    <w:rsid w:val="007C7A8F"/>
    <w:rsid w:val="00807DE0"/>
    <w:rsid w:val="008230F0"/>
    <w:rsid w:val="00827EAF"/>
    <w:rsid w:val="0083139A"/>
    <w:rsid w:val="0083145D"/>
    <w:rsid w:val="00833DFC"/>
    <w:rsid w:val="00854EC0"/>
    <w:rsid w:val="0086182E"/>
    <w:rsid w:val="00861BA9"/>
    <w:rsid w:val="00864799"/>
    <w:rsid w:val="00877CF5"/>
    <w:rsid w:val="00881987"/>
    <w:rsid w:val="008B02EE"/>
    <w:rsid w:val="008C135F"/>
    <w:rsid w:val="008D4624"/>
    <w:rsid w:val="008E33F8"/>
    <w:rsid w:val="008F45FD"/>
    <w:rsid w:val="009201F8"/>
    <w:rsid w:val="00922C1F"/>
    <w:rsid w:val="0093787E"/>
    <w:rsid w:val="00942FCC"/>
    <w:rsid w:val="00974D53"/>
    <w:rsid w:val="00983DED"/>
    <w:rsid w:val="009C226E"/>
    <w:rsid w:val="009C5EC1"/>
    <w:rsid w:val="009C6723"/>
    <w:rsid w:val="009D3421"/>
    <w:rsid w:val="009D4894"/>
    <w:rsid w:val="009E0D4B"/>
    <w:rsid w:val="009E6691"/>
    <w:rsid w:val="009E7626"/>
    <w:rsid w:val="00A00951"/>
    <w:rsid w:val="00A0646C"/>
    <w:rsid w:val="00A14CE3"/>
    <w:rsid w:val="00A20F8E"/>
    <w:rsid w:val="00A30830"/>
    <w:rsid w:val="00A34886"/>
    <w:rsid w:val="00A35317"/>
    <w:rsid w:val="00A46E1E"/>
    <w:rsid w:val="00A675F2"/>
    <w:rsid w:val="00A76671"/>
    <w:rsid w:val="00AA4C95"/>
    <w:rsid w:val="00AB0033"/>
    <w:rsid w:val="00AB49EA"/>
    <w:rsid w:val="00AD0C11"/>
    <w:rsid w:val="00AE4D21"/>
    <w:rsid w:val="00AE6519"/>
    <w:rsid w:val="00AE683F"/>
    <w:rsid w:val="00B25462"/>
    <w:rsid w:val="00B27C63"/>
    <w:rsid w:val="00B34C6A"/>
    <w:rsid w:val="00B40DFE"/>
    <w:rsid w:val="00B43C97"/>
    <w:rsid w:val="00B51AA8"/>
    <w:rsid w:val="00B51C42"/>
    <w:rsid w:val="00B72FC5"/>
    <w:rsid w:val="00B804E5"/>
    <w:rsid w:val="00BA21A3"/>
    <w:rsid w:val="00BA2906"/>
    <w:rsid w:val="00BD1554"/>
    <w:rsid w:val="00BD60AA"/>
    <w:rsid w:val="00C20A29"/>
    <w:rsid w:val="00C23813"/>
    <w:rsid w:val="00C5176A"/>
    <w:rsid w:val="00C5281B"/>
    <w:rsid w:val="00D02CE8"/>
    <w:rsid w:val="00D40C5D"/>
    <w:rsid w:val="00D670CF"/>
    <w:rsid w:val="00D71683"/>
    <w:rsid w:val="00D85143"/>
    <w:rsid w:val="00D9675A"/>
    <w:rsid w:val="00DB2E50"/>
    <w:rsid w:val="00DD4B15"/>
    <w:rsid w:val="00DE2F98"/>
    <w:rsid w:val="00E0416D"/>
    <w:rsid w:val="00E518DC"/>
    <w:rsid w:val="00E64469"/>
    <w:rsid w:val="00E72BB7"/>
    <w:rsid w:val="00E83FC1"/>
    <w:rsid w:val="00EA2D9A"/>
    <w:rsid w:val="00EE20E3"/>
    <w:rsid w:val="00EF4E6E"/>
    <w:rsid w:val="00F45B6B"/>
    <w:rsid w:val="00F52D0C"/>
    <w:rsid w:val="00F6557C"/>
    <w:rsid w:val="00F66214"/>
    <w:rsid w:val="00F7111B"/>
    <w:rsid w:val="00F72CFE"/>
    <w:rsid w:val="00FB63EF"/>
    <w:rsid w:val="00FB76A0"/>
    <w:rsid w:val="00FC19AB"/>
    <w:rsid w:val="00FC3760"/>
    <w:rsid w:val="00FD4489"/>
    <w:rsid w:val="00FF6C8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18D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FD4489"/>
  </w:style>
</w:styles>
</file>

<file path=word/webSettings.xml><?xml version="1.0" encoding="utf-8"?>
<w:webSettings xmlns:r="http://schemas.openxmlformats.org/officeDocument/2006/relationships" xmlns:w="http://schemas.openxmlformats.org/wordprocessingml/2006/main">
  <w:divs>
    <w:div w:id="193421892">
      <w:bodyDiv w:val="1"/>
      <w:marLeft w:val="0"/>
      <w:marRight w:val="0"/>
      <w:marTop w:val="0"/>
      <w:marBottom w:val="0"/>
      <w:divBdr>
        <w:top w:val="none" w:sz="0" w:space="0" w:color="auto"/>
        <w:left w:val="none" w:sz="0" w:space="0" w:color="auto"/>
        <w:bottom w:val="none" w:sz="0" w:space="0" w:color="auto"/>
        <w:right w:val="none" w:sz="0" w:space="0" w:color="auto"/>
      </w:divBdr>
      <w:divsChild>
        <w:div w:id="683943098">
          <w:marLeft w:val="0"/>
          <w:marRight w:val="0"/>
          <w:marTop w:val="0"/>
          <w:marBottom w:val="0"/>
          <w:divBdr>
            <w:top w:val="none" w:sz="0" w:space="0" w:color="auto"/>
            <w:left w:val="none" w:sz="0" w:space="0" w:color="auto"/>
            <w:bottom w:val="none" w:sz="0" w:space="0" w:color="auto"/>
            <w:right w:val="none" w:sz="0" w:space="0" w:color="auto"/>
          </w:divBdr>
        </w:div>
      </w:divsChild>
    </w:div>
    <w:div w:id="1904219643">
      <w:bodyDiv w:val="1"/>
      <w:marLeft w:val="0"/>
      <w:marRight w:val="0"/>
      <w:marTop w:val="0"/>
      <w:marBottom w:val="0"/>
      <w:divBdr>
        <w:top w:val="none" w:sz="0" w:space="0" w:color="auto"/>
        <w:left w:val="none" w:sz="0" w:space="0" w:color="auto"/>
        <w:bottom w:val="none" w:sz="0" w:space="0" w:color="auto"/>
        <w:right w:val="none" w:sz="0" w:space="0" w:color="auto"/>
      </w:divBdr>
      <w:divsChild>
        <w:div w:id="2140370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dc:creator>
  <cp:keywords/>
  <dc:description/>
  <cp:lastModifiedBy>tang</cp:lastModifiedBy>
  <cp:revision>1</cp:revision>
  <dcterms:created xsi:type="dcterms:W3CDTF">2013-01-17T08:53:00Z</dcterms:created>
  <dcterms:modified xsi:type="dcterms:W3CDTF">2013-01-17T09:52:00Z</dcterms:modified>
</cp:coreProperties>
</file>