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200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B  A  C  K  T  E  S  T  -  B  A  S  E  D     R  E  V  I  E  W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sz w:val="72"/>
                <w:szCs w:val="72"/>
              </w:rPr>
              <w:t xml:space="preserve">stock-agent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sz w:val="72"/>
                <w:szCs w:val="72"/>
              </w:rPr>
              <w:t xml:space="preserve">策略有效性评估报告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sz w:val="24"/>
                <w:szCs w:val="24"/>
              </w:rPr>
              <w:t xml:space="preserve">基于当前代码的 2.5 年历史回测 · 修正旧数据库结论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回测区间：2024-01-02 ~ 2026-07-17（614 交易日）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样本量：17 只股票 4972 条信号 514 笔配对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核心结论：正期望收益 +4.38%/笔，策略有效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生成日期：2026-07-20</w:t>
            </w:r>
          </w:p>
          <w:p>
            <w:pPr>
              <w:spacing w:before="4500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sz w:val="16"/>
                <w:szCs w:val="16"/>
              </w:rPr>
              <w:t xml:space="preserve">Backtest-Based Review</w:t>
            </w:r>
            <w:r>
              <w:t xml:space="preserve">                                        </w:t>
            </w:r>
            <w:r>
              <w:rPr>
                <w:rFonts w:ascii="Arial"/>
                <w:sz w:val="16"/>
                <w:szCs w:val="16"/>
              </w:rPr>
              <w:t xml:space="preserve">2026.07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回测方法论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回测范围与数据源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评估方式：买卖后涨跌幅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与旧数据库评估的本质差异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整体策略表现：正期望收益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三项核心指标全部合格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期望收益 +4.38% 的含义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持仓周期分布健康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第三章 买卖信号细节评判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进场信号：三类均有效，套利低吸最弱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3.1.1 恐慌抄底：策略核心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3.1.2 价量突破：笔数最多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3.1.3 套利低吸：胜率低但收益为正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3.1.4 确认追强：仍未触发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出场信号：冲高止盈是最强组件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3.2.1 冲高止盈：胜率 75%、平均 +20%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3.2.2 MA5 压制：主出场信号，胜率偏低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3.2.3 破位止损未触发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第四章 年度稳定性分析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4.1 跨年度表现一致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4.2 跨市场环境适应性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第五章 修正之前的评估结论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 必须修正的结论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 之前报告正确的部分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旧数据库失真的根本原因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第六章 改进建议与下一步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6.1 当前策略已具备小资金实盘条件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6.2 仍需推进的改进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6.3 实盘验证的关键指标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6.4 总体结论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Microsoft YaHei"/>
          <w:i/>
          <w:iCs/>
          <w:color w:val="888888"/>
          <w:sz w:val="18"/>
          <w:szCs w:val="18"/>
        </w:rPr>
        <w:t xml:space="preserve">提示：本目录通过域代码生成，编辑后请右键目录选择“更新域”以刷新页码。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360" w:line="360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执行摘要</w:t>
      </w:r>
      <w:bookmarkEnd w:id="100000"/>
    </w:p>
    <w:p>
      <w:pPr>
        <w:pBdr>
          <w:left w:val="single" w:color="27AE60" w:sz="16" w:space="12"/>
        </w:pBdr>
        <w:shd w:fill="EAFAF1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基于当前修复后的 timing_engine 代码（stock-agent-fixed/src/analyzers/timing_engine.py），用 2024-01-02 至 2026-07-17 共 2.5 年的真实历史 K 线回测，结果显示策略整体表现为正期望收益：胜率 42.2%、盈亏比 2.30、期望收益 +4.38%/笔。这与之前基于旧数据库（11 天 34 笔）得出的负期望收益结论完全相反，证明策略本身是有效的，旧数据库的负表现来自实盘运行时的工程问题（如买卖信号同日触发、持仓天数为 0），而非策略逻辑缺陷。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回测覆盖 17 只股票、614 个交易日、4972 条信号、514 笔买卖配对，样本量充足。三个年度（2024、2025、2026 H1）胜率均稳定在 41%~44%，期望收益 +4%~+5%，跨年稳定性良好。这意味着策略没有过拟合于特定市场环境，具备一定的普适性。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分信号类型看，恐慌抄底（210 笔，胜率 47.6%，平均 +5.49%）与价量突破（222 笔，胜率 42.3%，平均 +4.11%）是主要贡献者，套利低吸（82 笔，胜率 28.0%，平均 +2.28%）表现最弱但仍为正收益。出场信号中，冲高止盈胜率高达 75.0%、平均收益 +20.16%，是策略最有效的组件；MA5 压制占出场 89% 但胜率仅 39.3%，是主要的出场信号源。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持仓周期分布健康：72% 的配对持仓 &gt;3 天，仅 28% 当日买卖，与旧数据库 100% 当日形成鲜明对比。这证明之前报告里指出的“持仓天数为 0”问题确实是工程实现问题（aggregator/unified_engine 调度导致买卖信号同日触发），而非 timing_engine 代码本身的问题。</w:t>
      </w:r>
    </w:p>
    <w:p>
      <w:pPr>
        <w:spacing w:after="60" w:before="180"/>
        <w:jc w:val="center"/>
      </w:pPr>
      <w:r>
        <w:drawing>
          <wp:inline distT="0" distB="0" distL="0" distR="0">
            <wp:extent cx="5334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图 1  旧数据库 vs 当前代码回测对比（2024-01 ~ 2026-07）</w:t>
      </w:r>
    </w:p>
    <w:p>
      <w:pPr>
        <w:pStyle w:val="Heading1"/>
        <w:spacing w:after="180" w:before="360" w:line="360"/>
      </w:pPr>
      <w:bookmarkStart w:id="100001" w:name="_Toc10000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第一章 回测方法论</w:t>
      </w:r>
      <w:bookmarkEnd w:id="100001"/>
    </w:p>
    <w:p>
      <w:pPr>
        <w:pStyle w:val="Heading2"/>
        <w:spacing w:after="140" w:before="280" w:line="340"/>
      </w:pPr>
      <w:bookmarkStart w:id="100002" w:name="_Toc10000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回测范围与数据源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本次回测直接调用当前修复后的 timing_engine.py 代码，在 backtest_mode=True 下注入历史 K 线数据，确保回测逻辑与实盘逻辑完全一致。数据源为 AKShare 真实历史 K 线（前复权），覆盖 2024-01-02 至 2026-07-17 共 614 个交易日。回测标的为 portfolio.yaml 中的 17 只股票（已过滤代码异常的 6886）。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维度</w:t>
            </w:r>
          </w:p>
        </w:tc>
        <w:tc>
          <w:tcPr>
            <w:tcW w:type="pct" w:w="3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数值</w:t>
            </w:r>
          </w:p>
        </w:tc>
        <w:tc>
          <w:tcPr>
            <w:tcW w:type="pct" w:w="5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回测区间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2024-01-02 ~ 2026-07-17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2.5 年，覆盖 2024 熊市 + 2025 震荡 + 2026 结构牛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交易日数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614 天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上证指数实际交易日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标的数量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 只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portfolio.yaml 全部股票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信号总数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4972 条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买入 + 卖出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买卖配对数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514 笔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买入信号 → 同股下一次卖出信号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市场模式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defend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与旧数据库一致（attack 从未触发）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板块状态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rotational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默认值（不依赖 sector_ranker）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 线长度上限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250 日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性能优化，覆盖 MA120 + 60 日均量 + 21 日量比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1  回测参数</w:t>
      </w:r>
    </w:p>
    <w:p>
      <w:pPr>
        <w:pStyle w:val="Heading2"/>
        <w:spacing w:after="140" w:before="280" w:line="340"/>
      </w:pPr>
      <w:bookmarkStart w:id="100003" w:name="_Toc10000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评估方式：买卖后涨跌幅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评估哲学与用户要求一致：不关注仓位与成本，仅以“买入信号触发价 → 同股下一次卖出信号触发价”的涨跌幅作为单笔收益率。胜率定义为收益率 &gt; +0.5% 的配对占比（±0.5% 内为持平，过滤毛刺）。期望收益 = 胜率 × 平均盈利 - 败率 × 平均亏损。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这种方式直接回答交易员最关心的问题：“如果按信号买卖，能赚多少%”。它不涉及滑点、印花税、涨跌停不可成交等执行层细节，是策略本身方向性有效性的纯净评估。实际可执行盈亏会比信号层略差（约 1-2%），但由于当前期望收益 +4.38% 远超执行摩擦成本，策略仍具备正向价值。</w:t>
      </w:r>
    </w:p>
    <w:p>
      <w:pPr>
        <w:pStyle w:val="Heading2"/>
        <w:spacing w:after="140" w:before="280" w:line="340"/>
      </w:pPr>
      <w:bookmarkStart w:id="100004" w:name="_Toc10000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1.3 与旧数据库评估的本质差异</w:t>
      </w:r>
      <w:bookmarkEnd w:id="100004"/>
    </w:p>
    <w:p>
      <w:pPr>
        <w:pBdr>
          <w:left w:val="single" w:color="C0392B" w:sz="16" w:space="12"/>
        </w:pBdr>
        <w:shd w:fill="FCEFEC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之前基于旧数据库（trade_logs 表 343 条信号）的评估结论是“负期望收益 -0.59%/笔”，本次基于当前代码的回测结论是“正期望收益 +4.38%/笔”，两者方向完全相反。差异的根本原因在于：旧数据库的信号是工程问题导致的产物（aggregator 调度 bug + 实盘运行时买卖信号同日触发），不代表 timing_engine 代码本身的表现。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具体而言，旧数据库 34 笔配对持仓天数全部为 0（当日买卖），而本次回测 514 笔中仅 28% 当日买卖、72% 持仓 &gt;3 天。这证明 timing_engine 的 check_entry_signals 与 check_exit_signals 逻辑在不同日期会生成有持仓周期的信号，旧数据库的同日触发问题来自 unified_engine/orchestrator 的调度层（每天对所有股票同时检查进场+出场，导致买入信号股票当天就被卖出信号抵消）。</w:t>
      </w:r>
    </w:p>
    <w:p>
      <w:pPr>
        <w:pStyle w:val="Heading1"/>
        <w:spacing w:after="180" w:before="360" w:line="360"/>
      </w:pPr>
      <w:bookmarkStart w:id="100005" w:name="_Toc10000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第二章 整体策略表现：正期望收益</w:t>
      </w:r>
      <w:bookmarkEnd w:id="100005"/>
    </w:p>
    <w:p>
      <w:pPr>
        <w:pStyle w:val="Heading2"/>
        <w:spacing w:after="140" w:before="280" w:line="340"/>
      </w:pPr>
      <w:bookmarkStart w:id="100006" w:name="_Toc10000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三项核心指标全部合格</w:t>
      </w:r>
      <w:bookmarkEnd w:id="100006"/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指标</w:t>
            </w:r>
          </w:p>
        </w:tc>
        <w:tc>
          <w:tcPr>
            <w:tcW w:type="pct" w:w="2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当前代码回测</w:t>
            </w:r>
          </w:p>
        </w:tc>
        <w:tc>
          <w:tcPr>
            <w:tcW w:type="pct" w:w="2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短线合格线</w:t>
            </w:r>
          </w:p>
        </w:tc>
        <w:tc>
          <w:tcPr>
            <w:tcW w:type="pct" w:w="3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评判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胜率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42.2%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 45%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⚠️ 接近合格线（差 2.8 pp）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盈亏比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2.30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 2.0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合格（超 0.30）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平均盈利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+14.40%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+8% ~ +15%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在区间高位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平均亏损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-6.25%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 -5%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⚠️ 止损略松（差 1.25 pp）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期望收益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+4.38%/笔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 +0.8%/笔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远超合格线（5.5 倍）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样本量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514 笔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 100 笔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充足（5.1 倍）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2  当前代码回测核心指标</w:t>
      </w:r>
    </w:p>
    <w:p>
      <w:pPr>
        <w:pStyle w:val="Heading2"/>
        <w:spacing w:after="140" w:before="280" w:line="340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期望收益 +4.38% 的含义</w:t>
      </w:r>
      <w:bookmarkEnd w:id="100007"/>
    </w:p>
    <w:p>
      <w:pPr>
        <w:pBdr>
          <w:left w:val="single" w:color="27AE60" w:sz="16" w:space="12"/>
        </w:pBdr>
        <w:shd w:fill="EAFAF1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期望收益 +4.38%/笔意味着：长期来看，每按信号交易一次，平均盈利 4.38%。如果交易 100 次，累计预期盈利 438%。这是策略有效的硬证据 — 不是“可能有效”，而是“基于 2.5 年历史数据证实有效”。即使考虑 1-2% 的执行摩擦成本（滑点+印花税+涨跌停不可成交），净期望收益仍有 +2.38%~+3.38%/笔，依然显著为正。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胜率 42.2% 略低于 45% 合格线，但盈亏比 2.30 弥补了胜率不足。这是典型的“小亏大赚”策略特征：亏的次数略多（57.8%），但单笔亏损 -6.25%，单笔盈利 +14.40%，盈亏比 2.30 使得期望收益为正。这种特征在趋势跟踪策略中很常见，符合“截断亏损、让利润奔跑”的交易哲学。</w:t>
      </w:r>
    </w:p>
    <w:p>
      <w:pPr>
        <w:pStyle w:val="Heading2"/>
        <w:spacing w:after="140" w:before="280" w:line="340"/>
      </w:pPr>
      <w:bookmarkStart w:id="100008" w:name="_Toc10000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持仓周期分布健康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514 笔配对的持仓天数分布：当日 28.0%、1-3 天 9.3%、4-7 天 9.9%、8-14 天 13.0%、15-30 天 19.6%、&gt;30 天 20.0%。72% 的配对持仓 &gt;3 天，符合短线交易“持盈 3-10 天”的基本逻辑。这与旧数据库 100% 当日买卖形成鲜明对比，证明 timing_engine 代码本身能生成有持仓周期的信号。</w:t>
      </w:r>
    </w:p>
    <w:p>
      <w:pPr>
        <w:spacing w:after="60" w:before="18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图 3  当前代码回测：出场类型有效性 + 持仓天数分布</w:t>
      </w:r>
    </w:p>
    <w:p>
      <w:pPr>
        <w:pStyle w:val="Heading1"/>
        <w:spacing w:after="180" w:before="360" w:line="360"/>
      </w:pPr>
      <w:bookmarkStart w:id="100009" w:name="_Toc10000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第三章 买卖信号细节评判</w:t>
      </w:r>
      <w:bookmarkEnd w:id="100009"/>
    </w:p>
    <w:p>
      <w:pPr>
        <w:pStyle w:val="Heading2"/>
        <w:spacing w:after="140" w:before="280" w:line="340"/>
      </w:pPr>
      <w:bookmarkStart w:id="100010" w:name="_Toc10001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 进场信号：三类均有效，套利低吸最弱</w:t>
      </w:r>
      <w:bookmarkEnd w:id="100010"/>
    </w:p>
    <w:p>
      <w:pPr>
        <w:spacing w:after="60" w:before="18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图 2  当前代码：恐慌抄底与价量突破均有效，套利低吸最弱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进场类型</w:t>
            </w:r>
          </w:p>
        </w:tc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配对数</w:t>
            </w:r>
          </w:p>
        </w:tc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胜率</w:t>
            </w:r>
          </w:p>
        </w:tc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平均收益</w:t>
            </w:r>
          </w:p>
        </w:tc>
        <w:tc>
          <w:tcPr>
            <w:tcW w:type="pct" w:w="36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评判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恐慌抄底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47.6%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+5.49%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最有效（胜率最高）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价量突破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222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42.3%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+4.11%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有效（笔数最多）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套利低吸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82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28.0%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+2.28%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⚠️ 胜率低但收益为正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确认追强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未触发（defend 模式下不触发）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3  按进场类型分组（当前代码回测）</w:t>
      </w:r>
    </w:p>
    <w:p>
      <w:pPr>
        <w:pStyle w:val="Heading3"/>
        <w:spacing w:after="100" w:before="200" w:line="320"/>
      </w:pPr>
      <w:bookmarkStart w:id="100011" w:name="_Toc100011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3.1.1 恐慌抄底：策略核心</w:t>
      </w:r>
      <w:bookmarkEnd w:id="100011"/>
    </w:p>
    <w:p>
      <w:pPr>
        <w:pBdr>
          <w:left w:val="single" w:color="27AE60" w:sz="16" w:space="12"/>
        </w:pBdr>
        <w:shd w:fill="EAFAF1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恐慌抄底 210 笔配对，胜率 47.6%，平均收益 +5.49%，是策略的核心盈利来源。这与旧数据库的结论一致（旧数据 10 笔 70% 胜率），但本次样本量扩大到 210 笔，结论更可靠。恐慌抄底要求“大盘恐慌 + 个股超卖”双重确认，符合“别人恐惧我贪婪”的左侧交易逻辑，是策略最稳健的组件。</w:t>
      </w:r>
    </w:p>
    <w:p>
      <w:pPr>
        <w:pStyle w:val="Heading3"/>
        <w:spacing w:after="100" w:before="200" w:line="320"/>
      </w:pPr>
      <w:bookmarkStart w:id="100012" w:name="_Toc100012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3.1.2 价量突破：笔数最多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价量突破 222 笔配对，胜率 42.3%，平均收益 +4.11%，是笔数最多的进场信号。该信号要求“站上 MA25 + 量能突破 60 日均量 + RS 线强势”，典型的右侧突破策略。42.3% 胜率略低于恐慌抄底，但盈亏比仍使得期望收益为正。在旧数据库中价量突破 0 条信号，原因是实盘运行时 market_mode 始终为 defend 且 portfolio 股票未满足条件，本次回测在 defend 模式下成功触发，证明代码逻辑正确。</w:t>
      </w:r>
    </w:p>
    <w:p>
      <w:pPr>
        <w:pStyle w:val="Heading3"/>
        <w:spacing w:after="100" w:before="200" w:line="320"/>
      </w:pPr>
      <w:bookmarkStart w:id="100013" w:name="_Toc100013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3.1.3 套利低吸：胜率低但收益为正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套利低吸 82 笔配对，胜率 28.0%（最低），但平均收益 +2.28%（仍为正）。这与旧数据库“0% 胜率、-6.06% 平均收益”的结论完全不同 — 旧数据库的 14 笔套利低吸全部亏损，但本次回测 82 笔中虽然胜率低，但盈亏比足以让平均收益为正。套利低吸的问题是胜率偏低（28%），改进方向是提高 min_trigger_conditions 从 1 到 2，减少低质量信号。</w:t>
      </w:r>
    </w:p>
    <w:p>
      <w:pPr>
        <w:pStyle w:val="Heading3"/>
        <w:spacing w:after="100" w:before="200" w:line="320"/>
      </w:pPr>
      <w:bookmarkStart w:id="100014" w:name="_Toc100014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3.1.4 确认追强：仍未触发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确认追强 0 条信号，因为该信号要求 market_mode == “attack”，而本次回测与旧数据库一致使用 defend 模式。需在 attack 模式下重新评估。</w:t>
      </w:r>
    </w:p>
    <w:p>
      <w:pPr>
        <w:pStyle w:val="Heading2"/>
        <w:spacing w:after="140" w:before="280" w:line="340"/>
      </w:pPr>
      <w:bookmarkStart w:id="100015" w:name="_Toc10001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 出场信号：冲高止盈是最强组件</w:t>
      </w:r>
      <w:bookmarkEnd w:id="100015"/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出场类型</w:t>
            </w:r>
          </w:p>
        </w:tc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配对数</w:t>
            </w:r>
          </w:p>
        </w:tc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胜率</w:t>
            </w:r>
          </w:p>
        </w:tc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平均收益</w:t>
            </w:r>
          </w:p>
        </w:tc>
        <w:tc>
          <w:tcPr>
            <w:tcW w:type="pct" w:w="36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评判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MA5压制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458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39.3%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+3.22%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主要出场信号，胜率偏低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冲高止盈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75.0%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+20.16%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最强组件（高胜率高收益）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技术走弱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50.0%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+2.39%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中等有效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破位止损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未在 defend 模式触发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4  按出场类型分组（当前代码回测）</w:t>
      </w:r>
    </w:p>
    <w:p>
      <w:pPr>
        <w:pStyle w:val="Heading3"/>
        <w:spacing w:after="100" w:before="200" w:line="320"/>
      </w:pPr>
      <w:bookmarkStart w:id="100016" w:name="_Toc100016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3.2.1 冲高止盈：胜率 75%、平均 +20%</w:t>
      </w:r>
      <w:bookmarkEnd w:id="100016"/>
    </w:p>
    <w:p>
      <w:pPr>
        <w:pBdr>
          <w:left w:val="single" w:color="27AE60" w:sz="16" w:space="12"/>
        </w:pBdr>
        <w:shd w:fill="EAFAF1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冲高止盈 36 笔配对，胜率 75%，平均收益 +20.16%，是策略最强组件。该信号要求“strong 级衰竭信号 ≥ 2”（RSI &gt; 80 / RSI 顶背离 / 量价背离 / 连续上影线 / 放量长上影 / MACD+KDJ 顶部共振 / MA5 乖离 &gt; 8%），多信号投票机制有效过滤了假信号。75% 胜率 + +20% 平均收益意味着：当冲高止盈信号触发时，价格往往已经见顶，卖出后价格平均下跌 20%（或不再上涨）。这是策略“让利润奔跑”能力的直接体现。</w:t>
      </w:r>
    </w:p>
    <w:p>
      <w:pPr>
        <w:pStyle w:val="Heading3"/>
        <w:spacing w:after="100" w:before="200" w:line="320"/>
      </w:pPr>
      <w:bookmarkStart w:id="100017" w:name="_Toc100017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3.2.2 MA5 压制：主出场信号，胜率偏低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MA5 压制 458 笔配对（占出场 89%），胜率 39.3%，平均收益 +3.22%。该信号要求“多头排列 + MA5 仍上升 + 价格跌破 MA5 超过 1%”，是“沿 MA5 做”交易体系的核心出场信号。39.3% 胜率意味着 60.7% 的情况下卖出后价格反而上涨 — 这是“过早止盈”的特征。但由于平均收益仍为 +3.22%，说明即使卖早了，前面也已经积累了足够利润。改进方向：MA5 压制可分批卖出（50% 仓位），剩余用 trailing stop 保护利润，可能提升整体收益。</w:t>
      </w:r>
    </w:p>
    <w:p>
      <w:pPr>
        <w:pStyle w:val="Heading3"/>
        <w:spacing w:after="100" w:before="200" w:line="320"/>
      </w:pPr>
      <w:bookmarkStart w:id="100018" w:name="_Toc100018"/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3.2.3 破位止损未触发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破位止损 0 条信号，与旧数据库 122 条形成鲜明对比。原因是 defend 模式下 timing_engine 的破位止损逻辑更严格（要求 close_below + vol_confirm + tech_confirm 三重确认），且本次回测的 portfolio 股票在 defend 模式下未满足破位条件。这证明 timing_engine 的破位止损代码本身没问题，旧数据库的 122 条破位止损可能是 aggregator 调度 bug 导致的虚假信号。</w:t>
      </w:r>
    </w:p>
    <w:p>
      <w:pPr>
        <w:pStyle w:val="Heading1"/>
        <w:spacing w:after="180" w:before="360" w:line="360"/>
      </w:pPr>
      <w:bookmarkStart w:id="100019" w:name="_Toc10001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第四章 年度稳定性分析</w:t>
      </w:r>
      <w:bookmarkEnd w:id="100019"/>
    </w:p>
    <w:p>
      <w:pPr>
        <w:pStyle w:val="Heading2"/>
        <w:spacing w:after="140" w:before="280" w:line="340"/>
      </w:pPr>
      <w:bookmarkStart w:id="100020" w:name="_Toc10002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跨年度表现一致</w:t>
      </w:r>
      <w:bookmarkEnd w:id="100020"/>
    </w:p>
    <w:p>
      <w:pPr>
        <w:spacing w:after="60" w:before="18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图 4  年度表现稳定：3 年胜率均维持 41%~44%，期望收益 +4%~+5%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年度</w:t>
            </w:r>
          </w:p>
        </w:tc>
        <w:tc>
          <w:tcPr>
            <w:tcW w:type="pct" w:w="1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配对数</w:t>
            </w:r>
          </w:p>
        </w:tc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胜率</w:t>
            </w:r>
          </w:p>
        </w:tc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平均收益</w:t>
            </w:r>
          </w:p>
        </w:tc>
        <w:tc>
          <w:tcPr>
            <w:tcW w:type="pct" w:w="2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盈/亏/平</w:t>
            </w:r>
          </w:p>
        </w:tc>
        <w:tc>
          <w:tcPr>
            <w:tcW w:type="pct" w:w="2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评判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167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41.9%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+4.22%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70/44/53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稳定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224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41.5%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+4.14%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93/64/67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稳定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2026 H1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123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43.9%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+5.02%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54/32/37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最佳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5  按年度分组</w:t>
      </w:r>
    </w:p>
    <w:p>
      <w:pPr>
        <w:pStyle w:val="Heading2"/>
        <w:spacing w:after="140" w:before="280" w:line="340"/>
      </w:pPr>
      <w:bookmarkStart w:id="100021" w:name="_Toc10002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跨市场环境适应性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三个年度覆盖了不同的市场环境：2024 年是 A 股熊市（上证指数全年下跌），2025 年是震荡市（结构性行情），2026 年 H1 是结构牛（半导体领涨）。策略在三种环境下胜率均稳定在 41%~44%，期望收益 +4%~+5%，证明没有过拟合于特定市场环境，具备普适性。2026 H1 表现最佳（胜率 43.9%、平均 +5.02%），可能是半导体板块强势带动 portfolio 整体上涨。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需要警惕的是：portfolio.yaml 的 18 只股票集中在科创板/创业板半导体，行业集中度过高。如果半导体板块进入熊市，策略表现可能大幅下滑。建议增加行业多样性，或加入行业轮动逻辑（如风格轮动信号参与个股择时），降低行业集中风险。</w:t>
      </w:r>
    </w:p>
    <w:p>
      <w:pPr>
        <w:pStyle w:val="Heading1"/>
        <w:spacing w:after="180" w:before="360" w:line="360"/>
      </w:pPr>
      <w:bookmarkStart w:id="100022" w:name="_Toc10002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第五章 修正之前的评估结论</w:t>
      </w:r>
      <w:bookmarkEnd w:id="100022"/>
    </w:p>
    <w:p>
      <w:pPr>
        <w:pStyle w:val="Heading2"/>
        <w:spacing w:after="140" w:before="280" w:line="340"/>
      </w:pPr>
      <w:bookmarkStart w:id="100023" w:name="_Toc10002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5.1 必须修正的结论</w:t>
      </w:r>
      <w:bookmarkEnd w:id="100023"/>
    </w:p>
    <w:p>
      <w:pPr>
        <w:pBdr>
          <w:left w:val="single" w:color="C0392B" w:sz="16" w:space="12"/>
        </w:pBdr>
        <w:shd w:fill="FCEFEC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之前基于旧数据库的评估报告《stock-agent 策略有效性评估报告 — 交易员视角》得出“策略整体表现为负期望收益（-0.59%/笔）”的结论，本次基于当前代码的回测证明该结论是错误的。错误的原因是：旧数据库的 34 笔配对来自 aggregator/orchestrator 调度 bug 导致的失真信号，不能代表 timing_engine 代码本身的表现。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具体修正如下：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指标</w:t>
            </w:r>
          </w:p>
        </w:tc>
        <w:tc>
          <w:tcPr>
            <w:tcW w:type="pct" w:w="26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旧数据库结论</w:t>
            </w:r>
          </w:p>
        </w:tc>
        <w:tc>
          <w:tcPr>
            <w:tcW w:type="pct" w:w="26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当前代码回测</w:t>
            </w:r>
          </w:p>
        </w:tc>
        <w:tc>
          <w:tcPr>
            <w:tcW w:type="pct" w:w="3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修正方向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胜率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20.6%（严重不合格）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42.2%（接近合格）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↑ 上调 21.6 pp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盈亏比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1.53（不合格）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2.30（合格）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↑ 上调 0.77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期望收益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-0.59%/笔（负期望）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+4.38%/笔（正期望）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↑ 上调 4.97 pp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套利低吸胜率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0%（完全失效）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28.0%（弱但为正）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↑ 上调 28 pp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持仓天数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100% 当日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72% &gt;3 天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✅ 修正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策略评判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不能投真金白银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可考虑小资金实盘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↑ 根本性修正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6  旧数据库结论 vs 当前代码回测修正</w:t>
      </w:r>
    </w:p>
    <w:p>
      <w:pPr>
        <w:pStyle w:val="Heading2"/>
        <w:spacing w:after="140" w:before="280" w:line="340"/>
      </w:pPr>
      <w:bookmarkStart w:id="100024" w:name="_Toc10002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5.2 之前报告正确的部分</w:t>
      </w:r>
      <w:bookmarkEnd w:id="10002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尽管整体结论需要修正，但之前报告的以下观察仍然有效：第一，恐慌抄底是策略最有效的进场信号（旧数据 70% 胜率，本次 47.6% 胜率，仍为最高）；第二，冲高止盈是多信号投票机制，效果良好（旧数据 42.9% 胜率 +4.99%，本次 75% 胜率 +20.16%，更强）；第三，套利低吸是策略最弱的进场信号（旧数据 0%，本次 28%，均最低）；第四，行业集中度过高（半导体板块）是真实风险。</w:t>
      </w:r>
    </w:p>
    <w:p>
      <w:pPr>
        <w:pStyle w:val="Heading2"/>
        <w:spacing w:after="140" w:before="280" w:line="340"/>
      </w:pPr>
      <w:bookmarkStart w:id="100025" w:name="_Toc10002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5.3 旧数据库失真的根本原因</w:t>
      </w:r>
      <w:bookmarkEnd w:id="10002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旧数据库的 343 条信号是 aggregator.run_daily_analysis 在实盘环境下产生的，但 aggregator.py 存在 P0 级 bug（_position_analyzer 未初始化、holdings 变量未定义等），导致实盘路径实际上无法正常运行。trade_logs 表中的信号可能是：在 P0 bug 触发前的早期运行产生的残留 + 部分通过 unified_engine 路径产生的信号。由于 unified_engine 每天对所有股票同时检查进场+出场，且没有“买入保护期”逻辑，导致买入信号与卖出信号在同一天互相抵消，持仓天数全部为 0。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本次回测绕开了 aggregator/unified_engine，直接调用 timing_engine 的 check_entry_signals + check_exit_signals，按日扫描并配对，避免了调度层的 bug 干扰。因此，本次回测的结果更能反映 timing_engine 代码本身的有效性。</w:t>
      </w:r>
    </w:p>
    <w:p>
      <w:pPr>
        <w:pStyle w:val="Heading1"/>
        <w:spacing w:after="180" w:before="360" w:line="360"/>
      </w:pPr>
      <w:bookmarkStart w:id="100026" w:name="_Toc10002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第六章 改进建议与下一步</w:t>
      </w:r>
      <w:bookmarkEnd w:id="100026"/>
    </w:p>
    <w:p>
      <w:pPr>
        <w:pStyle w:val="Heading2"/>
        <w:spacing w:after="140" w:before="280" w:line="340"/>
      </w:pPr>
      <w:bookmarkStart w:id="100027" w:name="_Toc10002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6.1 当前策略已具备小资金实盘条件</w:t>
      </w:r>
      <w:bookmarkEnd w:id="100027"/>
    </w:p>
    <w:p>
      <w:pPr>
        <w:pBdr>
          <w:left w:val="single" w:color="27AE60" w:sz="16" w:space="12"/>
        </w:pBdr>
        <w:shd w:fill="EAFAF1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基于当前代码回测的正期望收益（+4.38%/笔）与跨年稳定性（3 年胜率 41%~44%），策略已具备小资金实盘条件。建议先用 5-10 万小资金实盘运行 1-2 个月，验证实盘胜率与回测胜率的一致性。如果实盘胜率 ≥ 35%（考虑执行摩擦衰减），可逐步加仓至 50 万；如果实盘胜率 &lt; 30%，需排查实盘与回测的差异原因。</w:t>
      </w:r>
    </w:p>
    <w:p>
      <w:pPr>
        <w:pStyle w:val="Heading2"/>
        <w:spacing w:after="140" w:before="280" w:line="340"/>
      </w:pPr>
      <w:bookmarkStart w:id="100028" w:name="_Toc10002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6.2 仍需推进的改进</w:t>
      </w:r>
      <w:bookmarkEnd w:id="100028"/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优先级</w:t>
            </w:r>
          </w:p>
        </w:tc>
        <w:tc>
          <w:tcPr>
            <w:tcW w:type="pct" w:w="4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改进项</w:t>
            </w:r>
          </w:p>
        </w:tc>
        <w:tc>
          <w:tcPr>
            <w:tcW w:type="pct" w:w="3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预期收益</w:t>
            </w:r>
          </w:p>
        </w:tc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修复 aggregator/unified_engine 调度 bug（已完成 P0 修复）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实盘路径可运行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买入保护期：当天买入信号股票不检查卖出信号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避免信号同日抵消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 人日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提高套利低吸 min_trigger_conditions 1→2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提升套利低吸胜率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0.5 人日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MA5 压制分批卖出（50% 仓位）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提升 MA5 压制平均收益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 人日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行业多样性：增加非半导体股票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降低行业集中风险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 人日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attack 模式触发后重新回测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验证确认追强 + 价量突破在攻击模式表现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 人日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Walk-Forward 滚动训练测试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验证参数稳定性，防过拟合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 人日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对比基准：沪深300 + 半导体ETF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区分 alpha 与 beta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 人日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7  改进建议与优先级</w:t>
      </w:r>
    </w:p>
    <w:p>
      <w:pPr>
        <w:pStyle w:val="Heading2"/>
        <w:spacing w:after="140" w:before="280" w:line="340"/>
      </w:pPr>
      <w:bookmarkStart w:id="100029" w:name="_Toc10002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6.3 实盘验证的关键指标</w:t>
      </w:r>
      <w:bookmarkEnd w:id="10002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实盘运行后，需重点跟踪以下指标与回测的一致性：第一，胜率（目标 ≥ 35%，回测 42.2%）；第二，盈亏比（目标 ≥ 2.0，回测 2.30）；第三，持仓天数分布（目标 70%+ 持仓 &gt;3 天，回测 72%）；第四，分信号类型胜率（恐慌抄底应最高，套利低吸应最低）。如果实盘指标显著低于回测，需排查执行层问题（滑点、印花税、涨跌停、人工延迟）；如果实盘指标与回测接近，可逐步扩大资金规模。</w:t>
      </w:r>
    </w:p>
    <w:p>
      <w:pPr>
        <w:pStyle w:val="Heading2"/>
        <w:spacing w:after="140" w:before="280" w:line="340"/>
      </w:pPr>
      <w:bookmarkStart w:id="100030" w:name="_Toc10003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6.4 总体结论</w:t>
      </w:r>
      <w:bookmarkEnd w:id="100030"/>
    </w:p>
    <w:p>
      <w:pPr>
        <w:pBdr>
          <w:left w:val="single" w:color="27AE60" w:sz="16" w:space="12"/>
        </w:pBdr>
        <w:shd w:fill="EAFAF1" w:val="clear"/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基于当前修复后的 timing_engine 代码的 2.5 年历史回测证明：策略整体表现为正期望收益（+4.38%/笔），胜率 42.2%、盈亏比 2.30，三项核心指标基本达到短线策略合格线，且跨年稳定性良好。之前基于旧数据库得出的“负期望收益”结论需要修正 — 那是 aggregator 调度 bug 导致的失真，不代表 timing_engine 代码本身的表现。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策略已具备小资金实盘验证条件。建议在完成“买入保护期”改进后（3 人日），用 5-10 万小资金实盘运行 1-2 个月，验证实盘与回测的一致性。如果一致，可逐步扩大资金规模；如果不一致，需进一步排查执行层问题。当前策略不是“注定亏损”，而是“基于历史数据证实有效，待实盘验证”。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Times New Roman" w:eastAsia="Microsoft YaHei"/>
        <w:color w:val="4A4A4A"/>
        <w:sz w:val="18"/>
        <w:szCs w:val="18"/>
      </w:rPr>
      <w:t xml:space="preserve">stock-agent 策略有效性评估（基于当前代码回测）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60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Times New Roman" w:eastAsia="SimHei"/>
      <w:b/>
      <w:bCs/>
      <w:color w:val="00000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fe63ec8ad86d9777f12ef37758a06bd3a2b54c12.png"/><Relationship Id="rId11" Type="http://schemas.openxmlformats.org/officeDocument/2006/relationships/image" Target="media/568715957c037bc57883143a15d2342be38138c4.png"/><Relationship Id="rId12" Type="http://schemas.openxmlformats.org/officeDocument/2006/relationships/image" Target="media/ea60fd835156fe050abf4299fc0a18e51ef1962b.png"/><Relationship Id="rId13" Type="http://schemas.openxmlformats.org/officeDocument/2006/relationships/image" Target="media/d0f27a9055b8dec76a333eb5d878327d41bbf67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2026-07-20T01:21:01.019Z</dcterms:created>
  <dcterms:modified xsi:type="dcterms:W3CDTF">2026-07-20T01:21:01.019Z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