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921A1">
      <w:r>
        <w:rPr>
          <w:rFonts w:hint="default"/>
          <w:lang w:val="en-US" w:eastAsia="zh-CN"/>
        </w:rPr>
        <w:t>RQ2 漏洞治理过程（Vuln Management in Practice）  </w:t>
      </w:r>
    </w:p>
    <w:p w14:paraId="58CB4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从披露到修复再到发布，项目如何管理风险？（披露路径、修复滞后、发布滞后、修复策略、治理成熟度）</w:t>
      </w:r>
    </w:p>
    <w:p w14:paraId="65E94794">
      <w:pPr>
        <w:rPr>
          <w:rFonts w:hint="default"/>
          <w:lang w:val="en-US" w:eastAsia="zh-CN"/>
        </w:rPr>
      </w:pPr>
      <w:bookmarkStart w:id="0" w:name="_GoBack"/>
      <w:bookmarkEnd w:id="0"/>
    </w:p>
    <w:p w14:paraId="0D6421BB">
      <w:pPr>
        <w:rPr>
          <w:rFonts w:hint="default"/>
        </w:rPr>
      </w:pPr>
      <w:r>
        <w:rPr>
          <w:rFonts w:hint="default"/>
        </w:rPr>
        <w:t>1. 研究动机与问题定义 (Research Objectives)</w:t>
      </w:r>
    </w:p>
    <w:p w14:paraId="7785DFA4">
      <w:pPr>
        <w:rPr>
          <w:rFonts w:hint="default"/>
        </w:rPr>
      </w:pPr>
      <w:r>
        <w:rPr>
          <w:rFonts w:hint="default"/>
        </w:rPr>
        <w:t>本研究旨在通过实证数据，探讨医疗 AI 智能体（Medical AI Agents）与传统医疗软件在漏洞修复行为上的本质差异。我们避开了难以量化的“修复质量”，转而从确定性、防御深度、审计透明度三个学术维度定义研究目标：</w:t>
      </w:r>
    </w:p>
    <w:p w14:paraId="364AD20F">
      <w:pPr>
        <w:rPr>
          <w:rFonts w:hint="default"/>
        </w:rPr>
      </w:pPr>
      <w:r>
        <w:rPr>
          <w:rFonts w:hint="default"/>
        </w:rPr>
        <w:t>治理过程的确定性 (Process Determinism)：考察修复周期是否遵循稳定的工业化节奏。</w:t>
      </w:r>
    </w:p>
    <w:p w14:paraId="2ABBD063">
      <w:pPr>
        <w:rPr>
          <w:rFonts w:hint="default"/>
        </w:rPr>
      </w:pPr>
      <w:r>
        <w:rPr>
          <w:rFonts w:hint="default"/>
        </w:rPr>
        <w:t>防御维度的异质性 (Defense Heterogeneity)：分析修复手段是单一的补丁，还是多维度的深度防御。</w:t>
      </w:r>
    </w:p>
    <w:p w14:paraId="18AF47F1">
      <w:pPr>
        <w:rPr>
          <w:rFonts w:hint="default"/>
        </w:rPr>
      </w:pPr>
      <w:r>
        <w:rPr>
          <w:rFonts w:hint="default"/>
        </w:rPr>
        <w:t>审计数据的合规完整性 (Audit Integrity)：量化治理过程记录是否满足医疗软件的可追溯性要求。</w:t>
      </w:r>
    </w:p>
    <w:p w14:paraId="0B2422E9">
      <w:pPr>
        <w:rPr>
          <w:rFonts w:hint="default"/>
        </w:rPr>
      </w:pPr>
      <w:r>
        <w:rPr>
          <w:rFonts w:hint="default"/>
        </w:rPr>
        <w:t>2. 数据采集标准与定量分析法 (Methodology)</w:t>
      </w:r>
    </w:p>
    <w:p w14:paraId="536FE676">
      <w:pPr>
        <w:rPr>
          <w:rFonts w:hint="default"/>
        </w:rPr>
      </w:pPr>
      <w:r>
        <w:rPr>
          <w:rFonts w:hint="default"/>
        </w:rPr>
        <w:t>2.1 核心度量指标 (Formal Metrics)</w:t>
      </w:r>
    </w:p>
    <w:p w14:paraId="290A6AD9">
      <w:pPr>
        <w:rPr>
          <w:rFonts w:hint="default"/>
        </w:rPr>
      </w:pPr>
      <w:r>
        <w:rPr>
          <w:rFonts w:hint="default"/>
        </w:rPr>
        <w:t>本研究采用软件工程中公认的代理度量 (Proxy Metrics) 方法，定义以下指标：</w:t>
      </w:r>
    </w:p>
    <w:p w14:paraId="1C95A7DB">
      <w:pPr>
        <w:rPr>
          <w:rFonts w:hint="default"/>
        </w:rPr>
      </w:pPr>
      <w:r>
        <w:rPr>
          <w:rFonts w:hint="default"/>
        </w:rPr>
        <w:t>修复时延变异系数 (CV of Repair Lag)：利用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CV=</m:t>
        </m:r>
        <m:r>
          <m:rPr/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σ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/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μ</m:t>
        </m:r>
      </m:oMath>
      <w:r>
        <w:rPr>
          <w:rFonts w:hint="default"/>
        </w:rPr>
        <w:t>衡量修复周期的波动性。变异系数越小，说明治理过程越规范、可预测。</w:t>
      </w:r>
    </w:p>
    <w:p w14:paraId="5BC52438">
      <w:pPr>
        <w:rPr>
          <w:rFonts w:hint="default"/>
        </w:rPr>
      </w:pPr>
      <w:r>
        <w:rPr>
          <w:rFonts w:hint="default"/>
        </w:rPr>
        <w:t>防御动作多样性指数 (Remediation Diversity Index)：统计单次 PR 中包含的不同类别修复动作（如代码逻辑、配置、文档）的数量。</w:t>
      </w:r>
    </w:p>
    <w:p w14:paraId="157CA9D5">
      <w:pPr>
        <w:rPr>
          <w:rFonts w:hint="default"/>
        </w:rPr>
      </w:pPr>
      <w:r>
        <w:rPr>
          <w:rFonts w:hint="default"/>
        </w:rPr>
        <w:t>元数据完备性得分 (Metadata Completeness Score)：衡量治理记录中核心审计字段（Title, Body, Labels, Milestones）的填充比例。</w:t>
      </w:r>
    </w:p>
    <w:p w14:paraId="6543749E">
      <w:pPr>
        <w:rPr>
          <w:rFonts w:hint="default"/>
        </w:rPr>
      </w:pPr>
      <w:r>
        <w:rPr>
          <w:rFonts w:hint="default"/>
        </w:rPr>
        <w:t>2.2 数据来源与清洗</w:t>
      </w:r>
    </w:p>
    <w:p w14:paraId="76F5AFAA">
      <w:pPr>
        <w:rPr>
          <w:rFonts w:hint="default"/>
        </w:rPr>
      </w:pPr>
      <w:r>
        <w:rPr>
          <w:rFonts w:hint="default"/>
        </w:rPr>
        <w:t>基于 4,200 个医疗开源项目，提取并清洗出 3,124 条有效修复记录。利用自然语言处理（NLP）技术识别修复动作，并剔除机器生成的非人工日志。</w:t>
      </w:r>
    </w:p>
    <w:p w14:paraId="37DBB0E0">
      <w:pPr>
        <w:rPr>
          <w:rFonts w:hint="default"/>
        </w:rPr>
      </w:pPr>
      <w:r>
        <w:drawing>
          <wp:inline distT="0" distB="0" distL="114300" distR="114300">
            <wp:extent cx="6228715" cy="767080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5E371">
      <w:pPr>
        <w:rPr>
          <w:rFonts w:hint="default"/>
        </w:rPr>
      </w:pPr>
      <w:r>
        <w:rPr>
          <w:rFonts w:hint="default"/>
        </w:rPr>
        <w:t>3. 实验结果分析与结论 (Empirical Findings)</w:t>
      </w:r>
    </w:p>
    <w:p w14:paraId="60633FF3">
      <w:pPr>
        <w:rPr>
          <w:rFonts w:hint="default"/>
        </w:rPr>
      </w:pPr>
      <w:r>
        <w:rPr>
          <w:rFonts w:hint="default"/>
        </w:rPr>
        <w:t>3.1 过程确定性分析：快速迭代下的低波动性</w:t>
      </w:r>
    </w:p>
    <w:p w14:paraId="7309F3FF">
      <w:pPr>
        <w:rPr>
          <w:rFonts w:hint="default"/>
        </w:rPr>
      </w:pPr>
      <w:r>
        <w:rPr>
          <w:rFonts w:hint="default"/>
        </w:rPr>
        <w:t>根据 Vulnerability Response Lag Entropy (CV) 图表显示：</w:t>
      </w:r>
    </w:p>
    <w:p w14:paraId="1CD6DE1F">
      <w:pPr>
        <w:rPr>
          <w:rFonts w:hint="default"/>
        </w:rPr>
      </w:pPr>
      <w:r>
        <w:rPr>
          <w:rFonts w:hint="default"/>
        </w:rPr>
        <w:t>实证数据：AI-Agent 组的变异系数（CV ≈ 3.4）显著低于 Traditional 组（CV &gt; 6）。</w:t>
      </w:r>
    </w:p>
    <w:p w14:paraId="7313E461">
      <w:pPr>
        <w:rPr>
          <w:rFonts w:hint="default"/>
        </w:rPr>
      </w:pPr>
      <w:r>
        <w:rPr>
          <w:rFonts w:hint="default"/>
        </w:rPr>
        <w:t>方法论上升：这揭示了医疗 AI 治理具有“轻量化确定性”特征。传统软件因其高度集成的复杂架构和严格的合规流程（如多级审核），导致修复时长表现出极大的不稳定性。而 AI 组虽修复动作较轻，但在响应节奏上更具工业化的一致性。</w:t>
      </w:r>
    </w:p>
    <w:p w14:paraId="0BF4A549">
      <w:pPr>
        <w:rPr>
          <w:rFonts w:hint="default"/>
        </w:rPr>
      </w:pPr>
      <w:r>
        <w:drawing>
          <wp:inline distT="0" distB="0" distL="114300" distR="114300">
            <wp:extent cx="5267325" cy="316039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3D141">
      <w:pPr>
        <w:rPr>
          <w:rFonts w:hint="default"/>
        </w:rPr>
      </w:pPr>
      <w:r>
        <w:rPr>
          <w:rFonts w:hint="default"/>
        </w:rPr>
        <w:t>3.2 防御维度分析：单一路径修复的脆弱性</w:t>
      </w:r>
    </w:p>
    <w:p w14:paraId="1C189A35">
      <w:pPr>
        <w:rPr>
          <w:rFonts w:hint="default"/>
        </w:rPr>
      </w:pPr>
      <w:r>
        <w:rPr>
          <w:rFonts w:hint="default"/>
        </w:rPr>
        <w:t>根据 Governance Action Dispersity Distribution 图表显示：</w:t>
      </w:r>
    </w:p>
    <w:p w14:paraId="2BA3408E">
      <w:pPr>
        <w:rPr>
          <w:rFonts w:hint="default"/>
        </w:rPr>
      </w:pPr>
      <w:r>
        <w:rPr>
          <w:rFonts w:hint="default"/>
        </w:rPr>
        <w:t>实证数据：AI-Agent 组在多样性指数为 0 和 1 的区间高度集中，而 Traditional 组在多维度修复（指数 ≥ 2）上的表现显著更优。</w:t>
      </w:r>
    </w:p>
    <w:p w14:paraId="49D85F03">
      <w:pPr>
        <w:rPr>
          <w:rFonts w:hint="default"/>
        </w:rPr>
      </w:pPr>
      <w:r>
        <w:rPr>
          <w:rFonts w:hint="default"/>
        </w:rPr>
        <w:t>方法论上升：这证明了医疗 AI 治理存在“防御范式单一”的问题。其修复行为高度依赖于语义层面的调整（如 Prompt Tuning），缺乏传统安全治理中“纵深防御”的思维，导致治理路径极其脆弱。</w:t>
      </w:r>
    </w:p>
    <w:p w14:paraId="2C617EAD">
      <w:pPr>
        <w:rPr>
          <w:rFonts w:hint="default"/>
        </w:rPr>
      </w:pPr>
      <w:r>
        <w:drawing>
          <wp:inline distT="0" distB="0" distL="114300" distR="114300">
            <wp:extent cx="5267325" cy="31603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36F4">
      <w:pPr>
        <w:rPr>
          <w:rFonts w:hint="default"/>
        </w:rPr>
      </w:pPr>
      <w:r>
        <w:rPr>
          <w:rFonts w:hint="default"/>
        </w:rPr>
        <w:t>3.3 审计透明度分析：形式合规与实质隐匿</w:t>
      </w:r>
    </w:p>
    <w:p w14:paraId="7455E362">
      <w:pPr>
        <w:rPr>
          <w:rFonts w:hint="default"/>
        </w:rPr>
      </w:pPr>
      <w:r>
        <w:rPr>
          <w:rFonts w:hint="default"/>
        </w:rPr>
        <w:t>根据 Governance Information Density Score 图表显示：</w:t>
      </w:r>
    </w:p>
    <w:p w14:paraId="6B4A7826">
      <w:pPr>
        <w:rPr>
          <w:rFonts w:hint="default"/>
        </w:rPr>
      </w:pPr>
      <w:r>
        <w:rPr>
          <w:rFonts w:hint="default"/>
        </w:rPr>
        <w:t>实证数据：两组在元数据完备性中值上均表现优秀（接近 1.0），但均存在明显的低值异常点。</w:t>
      </w:r>
    </w:p>
    <w:p w14:paraId="23D7F9CD">
      <w:pPr>
        <w:rPr>
          <w:rFonts w:hint="default"/>
        </w:rPr>
      </w:pPr>
      <w:r>
        <w:rPr>
          <w:rFonts w:hint="default"/>
        </w:rPr>
        <w:t>方法论上升：这反映出医疗 AI 社区在形式上已具备“形式审计合规”的能力，但结合其高比例的“静默提交（Silent Commit）”路径，暴露出其在实质治理过程中的黑盒化倾向。这种“形式填充、内容隐匿”的行为，挑战了医疗软件的可追溯性底线。</w:t>
      </w:r>
    </w:p>
    <w:p w14:paraId="0BE1A0EC">
      <w:pPr>
        <w:rPr>
          <w:rFonts w:hint="default"/>
        </w:rPr>
      </w:pPr>
      <w:r>
        <w:drawing>
          <wp:inline distT="0" distB="0" distL="114300" distR="114300">
            <wp:extent cx="5267325" cy="316039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1B8D">
      <w:pPr>
        <w:rPr>
          <w:rFonts w:hint="default"/>
        </w:rPr>
      </w:pPr>
      <w:r>
        <w:rPr>
          <w:rFonts w:hint="default"/>
        </w:rPr>
        <w:t>4. 总结与治理建议 (Conclusion &amp; Implications)</w:t>
      </w:r>
    </w:p>
    <w:p w14:paraId="283A899C">
      <w:pPr>
        <w:rPr>
          <w:rFonts w:hint="default"/>
        </w:rPr>
      </w:pPr>
      <w:r>
        <w:rPr>
          <w:rFonts w:hint="default"/>
        </w:rPr>
        <w:t>通过上述三个维度的实证研究，本报告得出以下方法论层面的结论：</w:t>
      </w:r>
    </w:p>
    <w:p w14:paraId="04B03ABE">
      <w:pPr>
        <w:rPr>
          <w:rFonts w:hint="default"/>
        </w:rPr>
      </w:pPr>
      <w:r>
        <w:rPr>
          <w:rFonts w:hint="default"/>
        </w:rPr>
        <w:t>响应效率与防御深度的失衡：医疗 AI 展现了极高的响应确定性，但这种确定性是以牺牲防御维度为代价的。</w:t>
      </w:r>
    </w:p>
    <w:p w14:paraId="10204F44">
      <w:pPr>
        <w:rPr>
          <w:rFonts w:hint="default"/>
        </w:rPr>
      </w:pPr>
      <w:r>
        <w:rPr>
          <w:rFonts w:hint="default"/>
        </w:rPr>
        <w:t>治理路径的非标准化：虽然基础元数据齐全，但缺乏标准化的漏洞发现与披露流程，导致治理行为在宏观上呈现出“不可审计”的特征。</w:t>
      </w:r>
    </w:p>
    <w:p w14:paraId="5A178356">
      <w:pPr>
        <w:rPr>
          <w:rFonts w:hint="default"/>
        </w:rPr>
      </w:pPr>
      <w:r>
        <w:rPr>
          <w:rFonts w:hint="default"/>
        </w:rPr>
        <w:t>建议：医疗 AI 的监管不应仅关注修复速度，而应强制引入“多维防御验证机制”，要求开发者在语义修复的同时，必须提供结构化的安全加固证据。</w:t>
      </w:r>
    </w:p>
    <w:p w14:paraId="6534E70C">
      <w:r>
        <w:rPr>
          <w:rFonts w:hint="default"/>
        </w:rPr>
        <w:t>上升方法论：每一个实验发现都关联到了“确定性”、“防御范式”和“审计透明度”等治理高度，不再是单纯的统计描述。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D15C1"/>
    <w:rsid w:val="05EB2721"/>
    <w:rsid w:val="08CA54D8"/>
    <w:rsid w:val="0C6E12D2"/>
    <w:rsid w:val="0DA07278"/>
    <w:rsid w:val="123C00FA"/>
    <w:rsid w:val="14217C7A"/>
    <w:rsid w:val="146E4657"/>
    <w:rsid w:val="164B00F9"/>
    <w:rsid w:val="16E2246F"/>
    <w:rsid w:val="174F40ED"/>
    <w:rsid w:val="19657868"/>
    <w:rsid w:val="1E877280"/>
    <w:rsid w:val="1EC63501"/>
    <w:rsid w:val="2815516D"/>
    <w:rsid w:val="2B2602E8"/>
    <w:rsid w:val="2B857E42"/>
    <w:rsid w:val="2E53464D"/>
    <w:rsid w:val="314D5E0D"/>
    <w:rsid w:val="3AEC0F19"/>
    <w:rsid w:val="3B081E0B"/>
    <w:rsid w:val="40D41B87"/>
    <w:rsid w:val="436663F7"/>
    <w:rsid w:val="458E3331"/>
    <w:rsid w:val="45B63D0F"/>
    <w:rsid w:val="45E57ACB"/>
    <w:rsid w:val="485E751A"/>
    <w:rsid w:val="49956BDC"/>
    <w:rsid w:val="4FF649C6"/>
    <w:rsid w:val="53C22CB8"/>
    <w:rsid w:val="54A64BEB"/>
    <w:rsid w:val="55CA0DF1"/>
    <w:rsid w:val="55E84698"/>
    <w:rsid w:val="563733A8"/>
    <w:rsid w:val="56943332"/>
    <w:rsid w:val="59CD287E"/>
    <w:rsid w:val="5DAA1620"/>
    <w:rsid w:val="63A94811"/>
    <w:rsid w:val="65DF196D"/>
    <w:rsid w:val="67E43580"/>
    <w:rsid w:val="6A872EAD"/>
    <w:rsid w:val="71471CE9"/>
    <w:rsid w:val="75024A20"/>
    <w:rsid w:val="75AB7316"/>
    <w:rsid w:val="76637F8E"/>
    <w:rsid w:val="7EDF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1277</Words>
  <Characters>1732</Characters>
  <Lines>0</Lines>
  <Paragraphs>0</Paragraphs>
  <TotalTime>11</TotalTime>
  <ScaleCrop>false</ScaleCrop>
  <LinksUpToDate>false</LinksUpToDate>
  <CharactersWithSpaces>1840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2025-07-08T06:01:00Z</dcterms:created>
  <dc:creator>13596</dc:creator>
  <cp:lastModifiedBy>唐振桓</cp:lastModifiedBy>
  <dcterms:modified xsi:type="dcterms:W3CDTF">2026-03-13T07:30:47Z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BC81E9EF83D04502A85282B5FF300C32_12</vt:lpwstr>
  </property>
  <property fmtid="{D5CDD505-2E9C-101B-9397-08002B2CF9AE}" pid="4" name="KSOTemplateDocerSaveRecord">
    <vt:lpwstr>eyJoZGlkIjoiMzEwNTM5NzYwMDRjMzkwZTVkZjY2ODkwMGIxNGU0OTUiLCJ1c2VySWQiOiIxMzY4NzUxNDgwIn0=</vt:lpwstr>
  </property>
</Properties>
</file>