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921A1">
      <w:r>
        <w:rPr>
          <w:rFonts w:hint="default"/>
          <w:lang w:val="en-US" w:eastAsia="zh-CN"/>
        </w:rPr>
        <w:t>RQ2 漏洞治理过程（Vuln Management in Practice）  </w:t>
      </w:r>
    </w:p>
    <w:p w14:paraId="58CB495C">
      <w:pPr>
        <w:rPr>
          <w:rFonts w:hint="default"/>
        </w:rPr>
      </w:pPr>
      <w:r>
        <w:rPr>
          <w:rFonts w:hint="default"/>
          <w:lang w:val="en-US" w:eastAsia="zh-CN"/>
        </w:rPr>
        <w:t>从披露到修复再到发布，项目如何管理风险？（披露路径、修复滞后、发布滞后、修复策略、治理成熟度）</w:t>
      </w:r>
    </w:p>
    <w:p w14:paraId="6534E70C"/>
    <w:p w14:paraId="7FF420A5">
      <w:r>
        <w:t>RQ2</w:t>
      </w:r>
      <w:r>
        <w:rPr>
          <w:rFonts w:hint="eastAsia"/>
          <w:lang w:val="en-US" w:eastAsia="zh-CN"/>
        </w:rPr>
        <w:t>报告：</w:t>
      </w:r>
      <w:r>
        <w:t>医疗 AI 软件漏洞治理过程分析</w:t>
      </w:r>
    </w:p>
    <w:p w14:paraId="307BFE18">
      <w:r>
        <w:t>1. 研究背景与目的</w:t>
      </w:r>
    </w:p>
    <w:p w14:paraId="1ED5FB8E">
      <w:r>
        <w:rPr>
          <w:rFonts w:hint="eastAsia"/>
          <w:lang w:val="en-US" w:eastAsia="zh-CN"/>
        </w:rPr>
        <w:t>对于这个问题我们需要</w:t>
      </w:r>
      <w:r>
        <w:t>探讨医疗 AI 智能体（Medical AI Agents）在识别漏洞后的修复与治理表现。通过对比传统医疗开源软件（Traditional-OSS），我们</w:t>
      </w:r>
      <w:r>
        <w:rPr>
          <w:rFonts w:hint="eastAsia"/>
          <w:lang w:val="en-US" w:eastAsia="zh-CN"/>
        </w:rPr>
        <w:t>将</w:t>
      </w:r>
      <w:r>
        <w:t>验证：</w:t>
      </w:r>
    </w:p>
    <w:p w14:paraId="2421FDE1">
      <w:r>
        <w:t>修复复杂性：AI 医疗软件的修复是否因“业务逻辑鸿沟”而更具挑战？</w:t>
      </w:r>
    </w:p>
    <w:p w14:paraId="194DF7BD">
      <w:r>
        <w:t>治理透明度：新兴 AI 社区是否建立了足够的“漏洞感知”透明度？</w:t>
      </w:r>
    </w:p>
    <w:p w14:paraId="2FA629B9"/>
    <w:p w14:paraId="115B99CB">
      <w:pPr>
        <w:rPr>
          <w:rFonts w:hint="default" w:eastAsiaTheme="minorEastAsia"/>
          <w:lang w:val="en-US" w:eastAsia="zh-CN"/>
        </w:rPr>
      </w:pPr>
      <w:r>
        <w:t xml:space="preserve">2. </w:t>
      </w:r>
      <w:r>
        <w:rPr>
          <w:rFonts w:hint="eastAsia"/>
          <w:lang w:val="en-US" w:eastAsia="zh-CN"/>
        </w:rPr>
        <w:t>代码设计与运行</w:t>
      </w:r>
    </w:p>
    <w:p w14:paraId="0BFD6792">
      <w:r>
        <w:t>这个脚本直接从4000多个医疗项目的 JSON 数据库里，把隐藏在成千上万条记录中的1,336 条“修复动作”给</w:t>
      </w:r>
      <w:r>
        <w:rPr>
          <w:rFonts w:hint="eastAsia"/>
          <w:lang w:val="en-US" w:eastAsia="zh-CN"/>
        </w:rPr>
        <w:t>提取</w:t>
      </w:r>
      <w:r>
        <w:t>出来，并做了定量的对比分析。</w:t>
      </w:r>
    </w:p>
    <w:p w14:paraId="137669C4">
      <w:r>
        <w:t>脚本会自动带 Agent、LLM 关键词的项目划到“AI 组”，其他的划到“传统组”，方便后面</w:t>
      </w:r>
      <w:r>
        <w:rPr>
          <w:rFonts w:hint="eastAsia"/>
          <w:lang w:val="en-US" w:eastAsia="zh-CN"/>
        </w:rPr>
        <w:t>做比较。</w:t>
      </w:r>
      <w:r>
        <w:t>只有 PR 标题或内容里带 fix、patch、security 这些修复词的才算数，确保分析的是真正的“治理行为”。</w:t>
      </w:r>
    </w:p>
    <w:p w14:paraId="463255AF">
      <w:r>
        <w:t>看透明度：统计 PR 后面有没有写详细的说明（Body）。写得越多，说明治理越公开。</w:t>
      </w:r>
    </w:p>
    <w:p w14:paraId="0CBED32C">
      <w:r>
        <w:t>看复杂度：统计描述字数的长度。字数越多，说明这漏洞越绕人，验证了 AI 医疗逻辑复杂的论点。</w:t>
      </w:r>
    </w:p>
    <w:p w14:paraId="2BF8EE44">
      <w:r>
        <w:rPr>
          <w:rFonts w:hint="eastAsia"/>
          <w:lang w:val="en-US" w:eastAsia="zh-CN"/>
        </w:rPr>
        <w:t>最后</w:t>
      </w:r>
      <w:r>
        <w:t>把数据变成英文箱线图和柱状图。</w:t>
      </w:r>
    </w:p>
    <w:p w14:paraId="478FF337"/>
    <w:p w14:paraId="3A43557E">
      <w:pPr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>3. 实验结果分析</w:t>
      </w: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量化</w:t>
      </w:r>
      <w:r>
        <w:rPr>
          <w:rFonts w:hint="eastAsia"/>
          <w:b/>
          <w:bCs/>
          <w:color w:val="FF0000"/>
          <w:lang w:eastAsia="zh-CN"/>
        </w:rPr>
        <w:t>）（</w:t>
      </w:r>
      <w:r>
        <w:rPr>
          <w:rFonts w:hint="eastAsia"/>
          <w:b/>
          <w:bCs/>
          <w:color w:val="FF0000"/>
          <w:lang w:val="en-US" w:eastAsia="zh-CN"/>
        </w:rPr>
        <w:t>其他方面</w:t>
      </w:r>
      <w:r>
        <w:rPr>
          <w:rFonts w:hint="eastAsia"/>
          <w:b/>
          <w:bCs/>
          <w:color w:val="FF0000"/>
          <w:lang w:eastAsia="zh-CN"/>
        </w:rPr>
        <w:t>）（</w:t>
      </w:r>
      <w:r>
        <w:rPr>
          <w:rFonts w:hint="eastAsia"/>
          <w:b/>
          <w:bCs/>
          <w:color w:val="FF0000"/>
          <w:lang w:val="en-US" w:eastAsia="zh-CN"/>
        </w:rPr>
        <w:t>分析工具，指标要可靠</w:t>
      </w:r>
      <w:r>
        <w:rPr>
          <w:rFonts w:hint="eastAsia"/>
          <w:b/>
          <w:bCs/>
          <w:color w:val="FF0000"/>
          <w:lang w:eastAsia="zh-CN"/>
        </w:rPr>
        <w:t>）</w:t>
      </w:r>
    </w:p>
    <w:p w14:paraId="33603662">
      <w:pPr>
        <w:ind w:firstLine="210" w:firstLineChars="100"/>
        <w:rPr>
          <w:color w:val="FF0000"/>
        </w:rPr>
      </w:pPr>
      <w:r>
        <w:rPr>
          <w:color w:val="FF0000"/>
        </w:rPr>
        <w:t>3.1 修复复杂度的两极分化</w:t>
      </w:r>
    </w:p>
    <w:p w14:paraId="1912C0FB">
      <w:pPr>
        <w:ind w:firstLine="210" w:firstLineChars="100"/>
        <w:rPr>
          <w:color w:val="FF0000"/>
        </w:rPr>
      </w:pPr>
      <w:r>
        <w:rPr>
          <w:color w:val="FF0000"/>
        </w:rPr>
        <w:t>从生成的箱线图（Box Plot）可以观察到：</w:t>
      </w:r>
      <w:bookmarkStart w:id="0" w:name="_GoBack"/>
      <w:bookmarkEnd w:id="0"/>
    </w:p>
    <w:p w14:paraId="03E88BAD">
      <w:pPr>
        <w:ind w:left="210" w:leftChars="100" w:firstLine="0" w:firstLineChars="0"/>
        <w:rPr>
          <w:color w:val="FF0000"/>
        </w:rPr>
      </w:pPr>
      <w:r>
        <w:rPr>
          <w:color w:val="FF0000"/>
        </w:rPr>
        <w:t>中位数差异：AI-Agent/LLM 项目的修复描述中位数（约 200 字符）显著低于传统软件。</w:t>
      </w:r>
    </w:p>
    <w:p w14:paraId="030058B0">
      <w:pPr>
        <w:ind w:firstLine="210" w:firstLineChars="100"/>
        <w:rPr>
          <w:color w:val="FF0000"/>
        </w:rPr>
      </w:pPr>
      <w:r>
        <w:rPr>
          <w:color w:val="FF0000"/>
        </w:rPr>
        <w:t>长尾效应：尽管中位数较低，但 AI 项目存在大量异常高值（High-outliers）。</w:t>
      </w:r>
    </w:p>
    <w:p w14:paraId="59C7BD6E">
      <w:pPr>
        <w:ind w:left="210" w:leftChars="100" w:firstLine="0" w:firstLineChars="0"/>
        <w:rPr>
          <w:color w:val="FF0000"/>
        </w:rPr>
      </w:pPr>
      <w:r>
        <w:rPr>
          <w:color w:val="FF0000"/>
        </w:rPr>
        <w:t>这印证了论文一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我找了两篇关于</w:t>
      </w:r>
      <w:r>
        <w:rPr>
          <w:rFonts w:hint="default"/>
          <w:color w:val="FF0000"/>
          <w:lang w:val="en-US" w:eastAsia="zh-CN"/>
        </w:rPr>
        <w:t>漏洞治理过程</w:t>
      </w:r>
      <w:r>
        <w:rPr>
          <w:rFonts w:hint="eastAsia"/>
          <w:color w:val="FF0000"/>
          <w:lang w:val="en-US" w:eastAsia="zh-CN"/>
        </w:rPr>
        <w:t>的论文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中关于“业务逻辑鸿沟”的观点。医疗 AI 的修复呈现“两极分化”：一类是极其简单的提示词或配置调整；另一类则是涉及复杂的临床推理逻辑重构。这种不确定性显著增加了自动化修复工具的部署难度。</w:t>
      </w:r>
    </w:p>
    <w:p w14:paraId="35B70E29">
      <w:pPr>
        <w:ind w:left="210" w:leftChars="100" w:firstLine="0" w:firstLineChars="0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3810000" cy="2857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CE47">
      <w:pPr>
        <w:rPr>
          <w:color w:val="FF0000"/>
        </w:rPr>
      </w:pPr>
    </w:p>
    <w:p w14:paraId="4A33B3C6">
      <w:pPr>
        <w:ind w:firstLine="210" w:firstLineChars="100"/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 xml:space="preserve">3.2 治理透明度的不稳定性 </w:t>
      </w:r>
      <w:r>
        <w:rPr>
          <w:rFonts w:hint="eastAsia"/>
          <w:color w:val="FF0000"/>
          <w:lang w:eastAsia="zh-CN"/>
        </w:rPr>
        <w:t>（）</w:t>
      </w:r>
    </w:p>
    <w:p w14:paraId="352B82B7">
      <w:pPr>
        <w:ind w:firstLine="210" w:firstLineChars="100"/>
        <w:rPr>
          <w:color w:val="FF0000"/>
        </w:rPr>
      </w:pPr>
      <w:r>
        <w:rPr>
          <w:color w:val="FF0000"/>
        </w:rPr>
        <w:t>从柱状图（Bar Chart）中可以发现：</w:t>
      </w:r>
    </w:p>
    <w:p w14:paraId="4ACF8828">
      <w:pPr>
        <w:ind w:firstLine="210" w:firstLineChars="100"/>
        <w:rPr>
          <w:color w:val="FF0000"/>
        </w:rPr>
      </w:pPr>
      <w:r>
        <w:rPr>
          <w:color w:val="FF0000"/>
        </w:rPr>
        <w:t>均值表现：传统软件的治理透明度（约 80%）略优于 AI 医疗项目（约 78%）。</w:t>
      </w:r>
    </w:p>
    <w:p w14:paraId="13A0E776">
      <w:pPr>
        <w:ind w:left="210" w:leftChars="100" w:firstLine="0" w:firstLineChars="0"/>
        <w:rPr>
          <w:color w:val="FF0000"/>
        </w:rPr>
      </w:pPr>
      <w:r>
        <w:rPr>
          <w:color w:val="FF0000"/>
        </w:rPr>
        <w:t>波动性：AI 项目的误差棒（Error Bar）明显更长。这代表了 AI 医疗社区治理质量的高度碎片化。意味着用户在使用不同的医疗 AI 智能体时，面临的安全保障是不平等的，有的项目极其透明，有的则完全是黑盒 。</w:t>
      </w:r>
    </w:p>
    <w:p w14:paraId="18ED4BFE">
      <w:pPr>
        <w:ind w:left="210" w:leftChars="100" w:firstLine="0" w:firstLineChars="0"/>
        <w:rPr>
          <w:color w:val="FF0000"/>
        </w:rPr>
      </w:pPr>
      <w:r>
        <w:rPr>
          <w:color w:val="FF0000"/>
        </w:rPr>
        <w:t>参考论文二中关于“漏洞感知周期”的理论，治理透明度不足会直接延长漏洞的暴露窗口。医疗 AI 社区更高的波动性表明，该领域尚未形成统一的漏洞披露标准，“隐秘修复”（Silent Fix）现象时有发生，这为医疗数据的隐私保护埋下了隐患。</w:t>
      </w:r>
    </w:p>
    <w:p w14:paraId="54E0C124">
      <w:pPr>
        <w:ind w:left="210" w:leftChars="100" w:firstLine="0" w:firstLineChars="0"/>
      </w:pPr>
      <w:r>
        <w:drawing>
          <wp:inline distT="0" distB="0" distL="114300" distR="114300">
            <wp:extent cx="4115435" cy="2572385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A4F2">
      <w:pPr>
        <w:ind w:left="210" w:leftChars="100" w:firstLine="0" w:firstLineChars="0"/>
      </w:pPr>
    </w:p>
    <w:p w14:paraId="3B9C3809">
      <w:r>
        <w:t>4. 核心发现与结论</w:t>
      </w:r>
    </w:p>
    <w:p w14:paraId="0DF82414">
      <w:pPr>
        <w:ind w:firstLine="210" w:firstLineChars="100"/>
      </w:pPr>
      <w:r>
        <w:t>4.1 医疗 AI 治理的“高认知负荷”</w:t>
      </w:r>
    </w:p>
    <w:p w14:paraId="2119AFBD">
      <w:pPr>
        <w:ind w:left="210" w:leftChars="100" w:firstLine="0" w:firstLineChars="0"/>
      </w:pPr>
      <w:r>
        <w:t>数据证明，涉及医疗 AI 逻辑的修复往往伴随着极长的文字描述。这说明在医疗领域，漏洞治理不仅是代码层面的打补丁，更是语义层面的逻辑对齐。现有的自动化修复技术在处理此类“逻辑漏洞”时仍存在巨大瓶颈。</w:t>
      </w:r>
    </w:p>
    <w:p w14:paraId="6E88B022">
      <w:pPr>
        <w:ind w:firstLine="210" w:firstLineChars="100"/>
      </w:pPr>
      <w:r>
        <w:t>4.2 社区感知的“非均衡性”</w:t>
      </w:r>
    </w:p>
    <w:p w14:paraId="663A8503">
      <w:pPr>
        <w:ind w:left="210" w:leftChars="100" w:firstLine="0" w:firstLineChars="0"/>
      </w:pPr>
      <w:r>
        <w:t>AI 医疗项目在治理规范性上表现出较大的个体差异。部分头部项目透明度极高，但仍有相当比例的项目缺乏必要的修复审计追踪。</w:t>
      </w:r>
    </w:p>
    <w:p w14:paraId="530E3958"/>
    <w:p w14:paraId="2CDB87F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  <w:lang w:val="en-US" w:eastAsia="zh-CN"/>
        </w:rPr>
        <w:t>Commented [</w:t>
      </w:r>
      <w:r>
        <w:rPr>
          <w:rFonts w:hint="eastAsia"/>
          <w:b/>
          <w:bCs/>
          <w:sz w:val="24"/>
          <w:szCs w:val="24"/>
          <w:lang w:val="en-US" w:eastAsia="zh-CN"/>
        </w:rPr>
        <w:t>马威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1]: </w:t>
      </w:r>
      <w:r>
        <w:rPr>
          <w:rFonts w:hint="eastAsia"/>
          <w:b/>
          <w:bCs/>
          <w:sz w:val="24"/>
          <w:szCs w:val="24"/>
          <w:lang w:val="en-US" w:eastAsia="zh-CN"/>
        </w:rPr>
        <w:t>这个可以把方法，提升到方法论的高度吗？给出流程图，为什么这样做，合理性在哪里等等</w:t>
      </w:r>
    </w:p>
    <w:p w14:paraId="0C077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方法论</w:t>
      </w:r>
    </w:p>
    <w:p w14:paraId="03020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本研究不只是对漏洞数量的统计，而是提出了一种“</w:t>
      </w:r>
      <w:r>
        <w:rPr>
          <w:rFonts w:hint="eastAsia"/>
          <w:color w:val="FF0000"/>
          <w:lang w:val="en-US" w:eastAsia="zh-CN"/>
        </w:rPr>
        <w:t>行为代理度量法</w:t>
      </w:r>
      <w:r>
        <w:rPr>
          <w:rFonts w:hint="eastAsia"/>
          <w:lang w:val="en-US" w:eastAsia="zh-CN"/>
        </w:rPr>
        <w:t>（Behavioral Proxy Metrics）”。</w:t>
      </w:r>
    </w:p>
    <w:p w14:paraId="4F435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核心逻辑：将开发者在修复漏洞过程中的文本交互行为（自然语言描述）作为反映漏洞逻辑复杂度和治理透明度的代理指标。</w:t>
      </w:r>
    </w:p>
    <w:p w14:paraId="24C9D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范式转移：从“关注代码补丁本身”上升到“关注治理过程中的认知负荷”。这种方法论能够有效揭示在医疗 AI 这种黑盒系统中，开发者在尝试对齐业务逻辑时所付出的隐性成本。</w:t>
      </w:r>
    </w:p>
    <w:p w14:paraId="12B16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流程图</w:t>
      </w:r>
    </w:p>
    <w:p w14:paraId="23D63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数据从原始的分布式存储到最终生成学术画像，遵循以下标准化流程：</w:t>
      </w:r>
    </w:p>
    <w:p w14:paraId="407E8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数据提取层 (Data Extraction)：从 4,200 个医疗开源项目中检索所有状态为 Closed 的 Pull Requests (PRs)。</w:t>
      </w:r>
    </w:p>
    <w:p w14:paraId="74CC9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安全上下文过滤 (Security Context Filtering)：利用关键词密度算法识别包含 fix, vulnerability, patch 等治理行为的记录（最终锁定 1,336 条）。</w:t>
      </w:r>
    </w:p>
    <w:p w14:paraId="01347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多维特征量化 (Feature Quantification)：</w:t>
      </w:r>
    </w:p>
    <w:p w14:paraId="05E1F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复杂度维度：提取 body_len（文本长度）。</w:t>
      </w:r>
    </w:p>
    <w:p w14:paraId="57E3A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透明度维度：计算 fill-rate（填充率）。</w:t>
      </w:r>
    </w:p>
    <w:p w14:paraId="1D101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架构对齐与对比 (Architectural Alignment)：按技术栈将项目标记为 AI-Agent 与 Traditional，进行分组统计分析。</w:t>
      </w:r>
    </w:p>
    <w:p w14:paraId="39941D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60090" cy="3336925"/>
            <wp:effectExtent l="0" t="0" r="698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33F5">
      <w:r>
        <w:t>3. 为什么这样做</w:t>
      </w:r>
    </w:p>
    <w:p w14:paraId="5D74090A">
      <w:r>
        <w:t>解决“不可观测性”问题：医疗 AI 的核心漏洞往往不是传统溢出，而是逻辑偏差。代码改动可能只有一行（调参数），但解释为什么这么调需要大量文字。统计描述长度是捕捉这种“逻辑重构”过程的唯一客观手段。</w:t>
      </w:r>
    </w:p>
    <w:p w14:paraId="08D46FDD">
      <w:r>
        <w:t>衡量治理成熟度：医疗领域对合规性要求极高。通过统计PR描述的填充率，可以直观反映出新兴 AI 社区在面对医疗安全红线时，是否具备与传统医疗软件同等的审计透明度。</w:t>
      </w:r>
    </w:p>
    <w:p w14:paraId="774AC016">
      <w:r>
        <w:t>4. 合理性</w:t>
      </w:r>
    </w:p>
    <w:p w14:paraId="43C91D40">
      <w:r>
        <w:t>数据代表性：1,336 条真实治理记录跨越了从传统 HIS 系统到最先进的 LLM Agent 项目，样本量足以消除单体项目的偏见。</w:t>
      </w:r>
    </w:p>
    <w:p w14:paraId="7B8B283C">
      <w:r>
        <w:t>指标有效性：</w:t>
      </w:r>
    </w:p>
    <w:p w14:paraId="15FD0730">
      <w:pPr>
        <w:ind w:left="420" w:leftChars="200" w:firstLine="0" w:firstLineChars="0"/>
      </w:pPr>
      <w:r>
        <w:t>复杂度合理性：根据软件工程经验，语义逻辑越复杂、涉及临床决策风险越高的漏洞，开发者越倾向于通过长文来规避合规责任并指导后续审计。</w:t>
      </w:r>
    </w:p>
    <w:p w14:paraId="61104ECA">
      <w:pPr>
        <w:ind w:left="420" w:leftChars="200" w:firstLine="0" w:firstLineChars="0"/>
      </w:pPr>
      <w:r>
        <w:t>分类合理性：基于技术栈（如是否引用 LangChain, Transformers）进行二元分类，能够精准对比“业务逻辑驱动”与“代码结构驱动”两种不同治理范式的差异。</w:t>
      </w:r>
    </w:p>
    <w:p w14:paraId="0A8726DB">
      <w:r>
        <w:t>去噪处理：脚本排除了短于 10 字符的无效记录，确保分析的是“有意义的治理行为”，避免了数据噪声对结论的干扰。</w:t>
      </w:r>
    </w:p>
    <w:p w14:paraId="1821CD59">
      <w:pPr>
        <w:rPr>
          <w:rFonts w:hint="eastAsia" w:eastAsiaTheme="minorEastAsia"/>
          <w:lang w:eastAsia="zh-CN"/>
        </w:rPr>
      </w:pPr>
    </w:p>
    <w:p w14:paraId="6C39EA7F">
      <w:p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eastAsiaTheme="minorEastAsia"/>
          <w:b/>
          <w:bCs/>
          <w:sz w:val="24"/>
          <w:szCs w:val="24"/>
          <w:lang w:val="en-US" w:eastAsia="zh-CN"/>
        </w:rPr>
        <w:t>Commented [马威2]: 这个策略不太合理，写得多不一定质量高。也有可能是很长的 log 日志。</w:t>
      </w:r>
    </w:p>
    <w:p w14:paraId="510AE74C">
      <w:p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eastAsiaTheme="minorEastAsia"/>
          <w:b/>
          <w:bCs/>
          <w:sz w:val="24"/>
          <w:szCs w:val="24"/>
          <w:lang w:val="en-US" w:eastAsia="zh-CN"/>
        </w:rPr>
        <w:t>Commented [马威2R2]: 核心逻辑在于用什么方法衡量。</w:t>
      </w:r>
    </w:p>
    <w:p w14:paraId="103C23DB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>优化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一下</w:t>
      </w: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>研究方法论：基于语义清洗的治理度量</w:t>
      </w:r>
    </w:p>
    <w:p w14:paraId="268FA122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>针对“文本长度不等于治理质量”的潜在偏差，本研究在代码设计中引入了语义降噪与结构化过滤机制，以确保统计指标的科学性。</w:t>
      </w:r>
    </w:p>
    <w:p w14:paraId="0C126285">
      <w:pP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  <w:t>2.1 文本清洗与指标纯化 (Text Cleaning &amp; Metric Refinement)</w:t>
      </w:r>
    </w:p>
    <w:p w14:paraId="2CC3F002">
      <w:pP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  <w:t>为了准确衡量“修复复杂度”与“治理透明度”，脚本在统计 body_len 前执行了以下预处理步骤：</w:t>
      </w:r>
    </w:p>
    <w:p w14:paraId="6BBCC8D9">
      <w:pP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  <w:t>日志与代码块剔除 (Noise Removal)：利用正则表达式识别并移除 PR 描述中的 [Log]、Traceback 堆栈信息以及长段的 Markdown 代码块（``` 块）。</w:t>
      </w:r>
    </w:p>
    <w:p w14:paraId="68075971">
      <w:pP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  <w:t>逻辑依据：排除机器生成的冗余数据，仅保留开发者撰写的自然语言解释。</w:t>
      </w:r>
    </w:p>
    <w:p w14:paraId="3C1D8AE6">
      <w:pP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  <w:t>短文本降噪 (Trivial Content Filtering)：设定 20 字符的阈值，剔除如 "Update"、"Fixed"、"LGTM" 等无实质信息的琐碎描述。</w:t>
      </w:r>
    </w:p>
    <w:p w14:paraId="3666FED2">
      <w:pP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color w:val="FF0000"/>
          <w:sz w:val="21"/>
          <w:szCs w:val="21"/>
          <w:lang w:val="en-US" w:eastAsia="zh-CN"/>
        </w:rPr>
        <w:t>关键意图提取 (Intent Extraction)：利用关键词密度加权（如 root cause, reasoning, logic change, clinical impact），识别描述中是否包含对“修复逻辑”的阐述，而非简单的操作记录。</w:t>
      </w: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（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这部分还没有落实到位</w:t>
      </w: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）</w:t>
      </w:r>
    </w:p>
    <w:p w14:paraId="35AC55E0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>2.2 指标合理性的深度论证 (Rationale)</w:t>
      </w:r>
    </w:p>
    <w:p w14:paraId="6D275062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 xml:space="preserve">为什么“经过清洗的字数”能衡量复杂度？ </w:t>
      </w:r>
    </w:p>
    <w:p w14:paraId="4E48F2C3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>在医疗 AI 环境下，逻辑漏洞（如模型推理偏差）无法通过标准的漏洞签名识别。开发者必须通过自然语言来描述“临床路径的偏离”或“提示词注入的防御逻辑”。经过清洗后的长文本，本质上记录了开发者的认知负荷（Cognitive Load），这在软件工程中是衡量“架构复杂性”的公认代理指标。</w:t>
      </w:r>
    </w:p>
    <w:p w14:paraId="30FBF2C3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 xml:space="preserve">为什么“描述填充率”能衡量透明度？ </w:t>
      </w:r>
    </w:p>
    <w:p w14:paraId="0E29177E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  <w:t>透明度不代表质量的绝对高低，而代表“信息的可审计性”。即便是一份中等长度的有效说明，也比“空 Body”或“纯代码提交”提供了更多的安全审计线索。</w:t>
      </w:r>
    </w:p>
    <w:p w14:paraId="37B2E810">
      <w:pPr>
        <w:rPr>
          <w:rFonts w:hint="eastAsia" w:eastAsiaTheme="minorEastAsia"/>
          <w:b w:val="0"/>
          <w:bCs w:val="0"/>
          <w:lang w:val="en-US" w:eastAsia="zh-CN"/>
        </w:rPr>
      </w:pPr>
    </w:p>
    <w:p w14:paraId="01B95F85">
      <w:pPr>
        <w:rPr>
          <w:rFonts w:hint="eastAsia" w:eastAsiaTheme="minorEastAsia"/>
          <w:b w:val="0"/>
          <w:bCs w:val="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15C1"/>
    <w:rsid w:val="05EB2721"/>
    <w:rsid w:val="0D7A4630"/>
    <w:rsid w:val="0DA07278"/>
    <w:rsid w:val="123C00FA"/>
    <w:rsid w:val="14217C7A"/>
    <w:rsid w:val="146E4657"/>
    <w:rsid w:val="164B00F9"/>
    <w:rsid w:val="16E2246F"/>
    <w:rsid w:val="174F40ED"/>
    <w:rsid w:val="1E877280"/>
    <w:rsid w:val="1EC63501"/>
    <w:rsid w:val="2815516D"/>
    <w:rsid w:val="2B2602E8"/>
    <w:rsid w:val="2B857E42"/>
    <w:rsid w:val="2E53464D"/>
    <w:rsid w:val="314D5E0D"/>
    <w:rsid w:val="3AEC0F19"/>
    <w:rsid w:val="3B081E0B"/>
    <w:rsid w:val="3B8C57C0"/>
    <w:rsid w:val="400E0117"/>
    <w:rsid w:val="40D41B87"/>
    <w:rsid w:val="436663F7"/>
    <w:rsid w:val="458E3331"/>
    <w:rsid w:val="45B63D0F"/>
    <w:rsid w:val="45E57ACB"/>
    <w:rsid w:val="485E751A"/>
    <w:rsid w:val="49956BDC"/>
    <w:rsid w:val="4FF649C6"/>
    <w:rsid w:val="50052453"/>
    <w:rsid w:val="51EF5ECC"/>
    <w:rsid w:val="53C22CB8"/>
    <w:rsid w:val="54641CD2"/>
    <w:rsid w:val="54A64BEB"/>
    <w:rsid w:val="55CA0DF1"/>
    <w:rsid w:val="55E84698"/>
    <w:rsid w:val="563733A8"/>
    <w:rsid w:val="56943332"/>
    <w:rsid w:val="59CD287E"/>
    <w:rsid w:val="5DAA1620"/>
    <w:rsid w:val="60F332A4"/>
    <w:rsid w:val="63A94811"/>
    <w:rsid w:val="65DF196D"/>
    <w:rsid w:val="67E43580"/>
    <w:rsid w:val="6A872EAD"/>
    <w:rsid w:val="71471CE9"/>
    <w:rsid w:val="75024A20"/>
    <w:rsid w:val="75AB7316"/>
    <w:rsid w:val="76637F8E"/>
    <w:rsid w:val="77801D2F"/>
    <w:rsid w:val="78E10112"/>
    <w:rsid w:val="7EDF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2538</Words>
  <Characters>3149</Characters>
  <Lines>0</Lines>
  <Paragraphs>0</Paragraphs>
  <TotalTime>916</TotalTime>
  <ScaleCrop>false</ScaleCrop>
  <LinksUpToDate>false</LinksUpToDate>
  <CharactersWithSpaces>3313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13596</dc:creator>
  <cp:lastModifiedBy>唐振桓</cp:lastModifiedBy>
  <dcterms:modified xsi:type="dcterms:W3CDTF">2026-03-06T09:21:27Z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BC81E9EF83D04502A85282B5FF300C32_12</vt:lpwstr>
  </property>
  <property fmtid="{D5CDD505-2E9C-101B-9397-08002B2CF9AE}" pid="4" name="KSOTemplateDocerSaveRecord">
    <vt:lpwstr>eyJoZGlkIjoiMzEwNTM5NzYwMDRjMzkwZTVkZjY2ODkwMGIxNGU0OTUiLCJ1c2VySWQiOiIxMzY4NzUxNDgwIn0=</vt:lpwstr>
  </property>
</Properties>
</file>