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23E70">
      <w:r>
        <w:rPr>
          <w:rFonts w:hint="default"/>
          <w:lang w:val="en-US" w:eastAsia="zh-CN"/>
        </w:rPr>
        <w:t>RQ3 默认部署攻击面与配置风险（Default Deployment Attack Surface）</w:t>
      </w:r>
    </w:p>
    <w:p w14:paraId="12DB7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在“官方默认部署/quickstart”下，系统暴露了哪些可观测攻击面与高风险默认配置？分层类别之间有何差异？</w:t>
      </w:r>
    </w:p>
    <w:p w14:paraId="35F8EA42">
      <w:pPr>
        <w:rPr>
          <w:rFonts w:hint="default"/>
          <w:lang w:val="en-US" w:eastAsia="zh-CN"/>
        </w:rPr>
      </w:pPr>
    </w:p>
    <w:p w14:paraId="3114D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RQ3</w:t>
      </w:r>
      <w:r>
        <w:rPr>
          <w:rFonts w:hint="eastAsia"/>
          <w:lang w:val="en-US" w:eastAsia="zh-CN"/>
        </w:rPr>
        <w:t>报告：</w:t>
      </w:r>
      <w:r>
        <w:rPr>
          <w:rFonts w:hint="default"/>
          <w:lang w:val="en-US" w:eastAsia="zh-CN"/>
        </w:rPr>
        <w:t>默认部署攻击面与配置风险分析</w:t>
      </w:r>
    </w:p>
    <w:p w14:paraId="226A1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研究背景与目的</w:t>
      </w:r>
    </w:p>
    <w:p w14:paraId="14A35C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在这个研究阶段我们的关注点是</w:t>
      </w:r>
      <w:r>
        <w:rPr>
          <w:rFonts w:hint="default"/>
          <w:lang w:val="en-US" w:eastAsia="zh-CN"/>
        </w:rPr>
        <w:t>医疗软件的“初次启动（Quickstart）”阶段。由于医疗 AI 智能体（Medical AI Agents）通常依赖复杂的 LLM API 调用，其部署逻辑与传统软件存在显著差异。我们</w:t>
      </w:r>
      <w:r>
        <w:rPr>
          <w:rFonts w:hint="eastAsia"/>
          <w:lang w:val="en-US" w:eastAsia="zh-CN"/>
        </w:rPr>
        <w:t>计划研究</w:t>
      </w:r>
      <w:r>
        <w:rPr>
          <w:rFonts w:hint="default"/>
          <w:lang w:val="en-US" w:eastAsia="zh-CN"/>
        </w:rPr>
        <w:t>：</w:t>
      </w:r>
    </w:p>
    <w:p w14:paraId="5FE99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攻击面分布：在官方默认部署环境下，系统暴露了哪些可观测的攻击面？</w:t>
      </w:r>
    </w:p>
    <w:p w14:paraId="4D074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配置风险差异：AI 智能体与传统医疗软件在凭证（Credentials）与环境配置管理上有何不同？</w:t>
      </w:r>
    </w:p>
    <w:p w14:paraId="3C2EB674">
      <w:pPr>
        <w:rPr>
          <w:rFonts w:hint="default"/>
          <w:lang w:val="en-US" w:eastAsia="zh-CN"/>
        </w:rPr>
      </w:pPr>
    </w:p>
    <w:p w14:paraId="31EA7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代码设计与运行</w:t>
      </w:r>
    </w:p>
    <w:p w14:paraId="7F5CE6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我们编写了一个pathon脚本，这个</w:t>
      </w:r>
      <w:r>
        <w:rPr>
          <w:rFonts w:hint="default"/>
          <w:lang w:val="en-US" w:eastAsia="zh-CN"/>
        </w:rPr>
        <w:t>脚本通过扫描 JSON 数据库中 4,000 多个项目的部署配置痕迹（包括 Dockerfile、端口暴露说明、Quickstart 引导文档以及 .env 模板讨论），量化了以下指标：</w:t>
      </w:r>
    </w:p>
    <w:p w14:paraId="691A3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 Surface Score：综合统计 Docker 容器化、端口暴露（如 8080, 5000）及环境变量风险。</w:t>
      </w:r>
    </w:p>
    <w:p w14:paraId="246C6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Credential Risk Ratio：统计项目中涉及 API Key、Secret、Token 等敏感凭证配置的提及频率。</w:t>
      </w:r>
    </w:p>
    <w:p w14:paraId="27E2CDA0">
      <w:pPr>
        <w:rPr>
          <w:rFonts w:hint="default"/>
          <w:lang w:val="en-US" w:eastAsia="zh-CN"/>
        </w:rPr>
      </w:pPr>
    </w:p>
    <w:p w14:paraId="6A4C4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实验结果分析</w:t>
      </w:r>
    </w:p>
    <w:p w14:paraId="6B1E1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默认攻击面的“极简化”趋势</w:t>
      </w:r>
    </w:p>
    <w:p w14:paraId="7A722E8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62755" cy="3197225"/>
            <wp:effectExtent l="0" t="0" r="4445" b="317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8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KDE 分布图可以观察到：</w:t>
      </w:r>
    </w:p>
    <w:p w14:paraId="1C3C5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</w:t>
      </w:r>
      <w:r>
        <w:rPr>
          <w:rFonts w:hint="eastAsia"/>
          <w:lang w:val="en-US" w:eastAsia="zh-CN"/>
        </w:rPr>
        <w:t>分析</w:t>
      </w:r>
      <w:r>
        <w:rPr>
          <w:rFonts w:hint="default"/>
          <w:lang w:val="en-US" w:eastAsia="zh-CN"/>
        </w:rPr>
        <w:t>：AI-Agent/LLM 的密度峰值极度向0分靠拢，而传统软件（Traditional-OSS）的得分分布则更加平缓且向高分段（1-3 分）延伸。</w:t>
      </w:r>
    </w:p>
    <w:p w14:paraId="7A301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这表明医疗 AI 智能体在默认部署时倾向于“极简架构”，通常以单机脚本或简单的 API 转发为主。相比之下，传统医疗软件（如 HIS 系统）往往涉及 Web 服务器、数据库等多个组件，默认暴露的攻击面（如多端口开放）远广于 AI 项目。</w:t>
      </w:r>
    </w:p>
    <w:p w14:paraId="44486248">
      <w:pPr>
        <w:rPr>
          <w:rFonts w:hint="default"/>
          <w:lang w:val="en-US" w:eastAsia="zh-CN"/>
        </w:rPr>
      </w:pPr>
    </w:p>
    <w:p w14:paraId="05516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凭证风险的隐蔽性与集中化</w:t>
      </w:r>
    </w:p>
    <w:p w14:paraId="2DE7860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49370" cy="2887345"/>
            <wp:effectExtent l="0" t="0" r="8255" b="825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5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从柱状图可以观察到：</w:t>
      </w:r>
    </w:p>
    <w:p w14:paraId="21E21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</w:t>
      </w:r>
      <w:r>
        <w:rPr>
          <w:rFonts w:hint="eastAsia"/>
          <w:lang w:val="en-US" w:eastAsia="zh-CN"/>
        </w:rPr>
        <w:t>分析</w:t>
      </w:r>
      <w:r>
        <w:rPr>
          <w:rFonts w:hint="default"/>
          <w:lang w:val="en-US" w:eastAsia="zh-CN"/>
        </w:rPr>
        <w:t>：传统软件中涉及凭证配置风险的比例（约 11%）显著高于 AI-Agent 项目（约 4%）。</w:t>
      </w:r>
    </w:p>
    <w:p w14:paraId="7F99D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传统软件的“显性配置”：传统项目通常有成熟的配置文件（如 settings.py 或 config.yaml），虽然风险提及率高，但也说明其配置过程更规范、更易被安全工具感知。</w:t>
      </w:r>
    </w:p>
    <w:p w14:paraId="01BA1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智能体的“配置盲点”：AI 项目虽然提及比例低，但其对 OPENAI_API_KEY 等凭证是强依赖的。较低的比例反映出 AI 社区在默认引导（Quickstart）中往往忽略了安全配置的标准化，风险可能隐藏在非标准的硬编码或非正式的脚本说明中，形成了“安全黑盒”。</w:t>
      </w:r>
    </w:p>
    <w:p w14:paraId="17BDB3F9">
      <w:pPr>
        <w:rPr>
          <w:rFonts w:hint="default"/>
          <w:lang w:val="en-US" w:eastAsia="zh-CN"/>
        </w:rPr>
      </w:pPr>
    </w:p>
    <w:p w14:paraId="4B794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核心发现与结论</w:t>
      </w:r>
    </w:p>
    <w:p w14:paraId="0A2E3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攻击面重心的“向上迁移”</w:t>
      </w:r>
    </w:p>
    <w:p w14:paraId="3288F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实验证明，医疗 AI 项目的风险正从“底层基础设施层（端口、容器）”向“高层应用凭证层（API Keys）”转移。尽管其网络攻击面（Attack Surface Score）较小，但其对身份凭证的极度依赖成为了新的单一故障点。</w:t>
      </w:r>
    </w:p>
    <w:p w14:paraId="00509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部署引导的安全缺失</w:t>
      </w:r>
    </w:p>
    <w:p w14:paraId="1F7DE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医疗项目为了追求“快速上手”，在部署文档中往往简化了安全加固步骤。传统医疗软件虽然默认暴露点多，但通常伴随有成熟的部署清单；而 AI 智能体在默认配置下的安全性更依赖于开发者的个人素养，缺乏行业一致的安全基准（Security Baselines）。</w:t>
      </w:r>
    </w:p>
    <w:p w14:paraId="0204C769">
      <w:pPr>
        <w:rPr>
          <w:rFonts w:hint="default"/>
          <w:lang w:val="en-US" w:eastAsia="zh-CN"/>
        </w:rPr>
      </w:pPr>
    </w:p>
    <w:p w14:paraId="4CDAA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总结</w:t>
      </w:r>
    </w:p>
    <w:p w14:paraId="077E7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“本研究发现（见图 RQ3-1），医疗 AI 智能体在默认部署阶段表现出极高的‘架构简洁性’，其网络层面的暴露面显著低于传统医疗软件。然而，这种表象下的配置透明度不足（见图 RQ3-2）预示了更深层次的风险：AI 医疗项目的安全性高度绑定于单一的 API 凭证。这种从‘全面防御’向‘单点核心凭证保护’的转变，要求未来的医疗安全治理必须加强对 LLM 链路身份管理的审计。”</w:t>
      </w:r>
    </w:p>
    <w:p w14:paraId="737434EF">
      <w:pPr>
        <w:rPr>
          <w:rFonts w:hint="default"/>
          <w:lang w:val="en-US" w:eastAsia="zh-CN"/>
        </w:rPr>
      </w:pPr>
    </w:p>
    <w:p w14:paraId="53C0EB7C">
      <w:pPr>
        <w:rPr>
          <w:rFonts w:hint="default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Commented [马威1]: 这部分同 RQ2 一样，要上升到方法论的高度，合理，分析可靠</w:t>
      </w:r>
    </w:p>
    <w:p w14:paraId="3748D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研究方法论：基于静态配置审计的攻击面量化评估框架 (Methodology)</w:t>
      </w:r>
    </w:p>
    <w:p w14:paraId="100C8F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本研究提出了一种“非侵入式配置风险建模”方法，通过对医疗软件部署阶段的元数据进行深度审计，构建了针对医疗场景的攻击面评分体系。</w:t>
      </w:r>
    </w:p>
    <w:p w14:paraId="14A7B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自动化审计与风险提取流程 (Audit Pipeline)</w:t>
      </w:r>
    </w:p>
    <w:p w14:paraId="4B0C5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研究遵循“配置抓取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风险模式匹配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多维加权评分”的标准化路径：</w:t>
      </w:r>
    </w:p>
    <w:p w14:paraId="23534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部署元数据提取 (Deployment Metadata Harvesting)：利用自动化脚本从 4,200 个医疗项目中检索并过滤四类核心配置文件：</w:t>
      </w:r>
    </w:p>
    <w:p w14:paraId="5D6BC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环境隔离层：Dockerfile, docker-compose.yml</w:t>
      </w:r>
    </w:p>
    <w:p w14:paraId="473BA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接口暴露层：README 中的端口映射指令、EXPOSE 指令。</w:t>
      </w:r>
    </w:p>
    <w:p w14:paraId="3FCFD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凭证管理层：.env.example, config.yaml 模板。</w:t>
      </w:r>
    </w:p>
    <w:p w14:paraId="60147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引导逻辑层：Quickstart 引导文档中的安装命令。</w:t>
      </w:r>
    </w:p>
    <w:p w14:paraId="1DABD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风险模式识别 (Risk Pattern Matching)：基于常见脆弱性配置库，识别如 root 运行权限、默认弱密码占位符、API 密钥明文引导等风险项。</w:t>
      </w:r>
    </w:p>
    <w:p w14:paraId="67422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多维量化评估 (Multi-dimensional Quantification)：产出 Attack Surface Score 与 Credential Risk Ratio 两大核心指标。</w:t>
      </w:r>
    </w:p>
    <w:p w14:paraId="6D3B4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核心指标的定义与合理性 (Rationale &amp; Reliability)</w:t>
      </w:r>
    </w:p>
    <w:p w14:paraId="18B09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为了确保分析的可靠性，我们对量化指标进行了如下学术定义：</w:t>
      </w:r>
    </w:p>
    <w:p w14:paraId="17559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 Surface Score (攻击面分值模型)：</w:t>
      </w:r>
    </w:p>
    <w:p w14:paraId="0B291A72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 xml:space="preserve">构建逻辑：采用加权求和模型。分值 = </w:t>
      </w:r>
      <m:oMath>
        <m:r>
          <m:rPr/>
          <w:rPr>
            <w:rFonts w:ascii="Cambria Math" w:hAnsi="Cambria Math"/>
            <w:lang w:val="en-US"/>
          </w:rPr>
          <m:t>∑</m:t>
        </m:r>
        <m:r>
          <m:rPr/>
          <w:rPr>
            <w:rFonts w:hint="default" w:ascii="Cambria Math" w:hAnsi="Cambria Math"/>
            <w:lang w:val="en-US" w:eastAsia="zh-CN"/>
          </w:rPr>
          <m:t>(</m:t>
        </m:r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network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ascii="Cambria Math" w:hAnsi="Cambria Math"/>
            <w:lang w:val="en-US"/>
          </w:rPr>
          <m:t>×</m:t>
        </m:r>
        <m:r>
          <m:rPr/>
          <w:rPr>
            <w:rFonts w:hint="default" w:ascii="Cambria Math" w:hAnsi="Cambria Math"/>
            <w:lang w:val="en-US" w:eastAsia="zh-CN"/>
          </w:rPr>
          <m:t>Ports+</m:t>
        </m:r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container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ascii="Cambria Math" w:hAnsi="Cambria Math"/>
            <w:lang w:val="en-US"/>
          </w:rPr>
          <m:t>×</m:t>
        </m:r>
        <m:r>
          <m:rPr/>
          <w:rPr>
            <w:rFonts w:hint="default" w:ascii="Cambria Math" w:hAnsi="Cambria Math"/>
            <w:lang w:val="en-US" w:eastAsia="zh-CN"/>
          </w:rPr>
          <m:t>Docker+</m:t>
        </m:r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env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ascii="Cambria Math" w:hAnsi="Cambria Math"/>
            <w:lang w:val="en-US"/>
          </w:rPr>
          <m:t>×</m:t>
        </m:r>
        <m:r>
          <m:rPr/>
          <w:rPr>
            <w:rFonts w:hint="default" w:ascii="Cambria Math" w:hAnsi="Cambria Math"/>
            <w:lang w:val="en-US" w:eastAsia="zh-CN"/>
          </w:rPr>
          <m:t>Secrets)</m:t>
        </m:r>
      </m:oMath>
      <w:bookmarkStart w:id="0" w:name="_GoBack"/>
      <w:bookmarkEnd w:id="0"/>
    </w:p>
    <w:p w14:paraId="78192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合理性：参考了传统的攻击面评估理论（Attack Surface Meter），将暴露的端口视为“入口点”，将特权容器视为“权限提升路径”，将环境配置视为“资产信息泄漏源”。分值越高，意味着攻击者在默认部署下可触达的边界越广。</w:t>
      </w:r>
    </w:p>
    <w:p w14:paraId="3553D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Credential Risk Ratio (凭证风险率)：</w:t>
      </w:r>
    </w:p>
    <w:p w14:paraId="5CFA2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构建逻辑：统计项目中包含敏感字段（如 API_KEY, TOKEN）的配置模板占比。</w:t>
      </w:r>
    </w:p>
    <w:p w14:paraId="223BC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合理性：医疗 AI 强依赖 LLM API。如果项目的默认引导中频繁出现明文配置 Key 的说明，说明该项目在设计之初就缺乏Secrets Management（凭证管理）的安全基准。</w:t>
      </w:r>
    </w:p>
    <w:p w14:paraId="37E95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异常检测与分析可靠性保证 (QA &amp; Validity)</w:t>
      </w:r>
    </w:p>
    <w:p w14:paraId="24121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误报排除：脚本通过正则表达式区分“真实配置引导”与“通用代码示例”，排除掉非部署相关的干扰文本。</w:t>
      </w:r>
    </w:p>
    <w:p w14:paraId="12BB7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架构一致性验证：在计算得分前，先对项目进行 AI-Agent vs Traditional 的二元标记，确保不同技术堆栈的对比是在相同的暴露基准下进行的，增强了分类分析的科学性。</w:t>
      </w:r>
    </w:p>
    <w:p w14:paraId="3E712502">
      <w:pPr>
        <w:rPr>
          <w:rFonts w:hint="default"/>
          <w:lang w:val="en-US" w:eastAsia="zh-CN"/>
        </w:rPr>
      </w:pPr>
    </w:p>
    <w:p w14:paraId="6C1DA329">
      <w:pPr>
        <w:rPr>
          <w:rFonts w:hint="default"/>
          <w:lang w:val="en-US" w:eastAsia="zh-CN"/>
        </w:rPr>
      </w:pPr>
    </w:p>
    <w:p w14:paraId="45FA456B">
      <w:pPr>
        <w:rPr>
          <w:rFonts w:hint="default"/>
          <w:lang w:val="en-US" w:eastAsia="zh-CN"/>
        </w:rPr>
      </w:pPr>
    </w:p>
    <w:p w14:paraId="6534E7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D15C1"/>
    <w:rsid w:val="05EB2721"/>
    <w:rsid w:val="0DA07278"/>
    <w:rsid w:val="123C00FA"/>
    <w:rsid w:val="14217C7A"/>
    <w:rsid w:val="146E4657"/>
    <w:rsid w:val="14EA4E41"/>
    <w:rsid w:val="164B00F9"/>
    <w:rsid w:val="16E2246F"/>
    <w:rsid w:val="174F40ED"/>
    <w:rsid w:val="19640CF1"/>
    <w:rsid w:val="1E877280"/>
    <w:rsid w:val="1EC63501"/>
    <w:rsid w:val="20EA3839"/>
    <w:rsid w:val="21170D81"/>
    <w:rsid w:val="2815516D"/>
    <w:rsid w:val="2B2602E8"/>
    <w:rsid w:val="2B857E42"/>
    <w:rsid w:val="2E53464D"/>
    <w:rsid w:val="314D5E0D"/>
    <w:rsid w:val="3AEC0F19"/>
    <w:rsid w:val="3B081E0B"/>
    <w:rsid w:val="40D41B87"/>
    <w:rsid w:val="436663F7"/>
    <w:rsid w:val="458E3331"/>
    <w:rsid w:val="45B63D0F"/>
    <w:rsid w:val="45E57ACB"/>
    <w:rsid w:val="485E751A"/>
    <w:rsid w:val="49956BDC"/>
    <w:rsid w:val="4B955EE9"/>
    <w:rsid w:val="4FF649C6"/>
    <w:rsid w:val="53C22CB8"/>
    <w:rsid w:val="544F5EB5"/>
    <w:rsid w:val="54A64BEB"/>
    <w:rsid w:val="55CA0DF1"/>
    <w:rsid w:val="55E84698"/>
    <w:rsid w:val="563733A8"/>
    <w:rsid w:val="56943332"/>
    <w:rsid w:val="59CD287E"/>
    <w:rsid w:val="5DAA1620"/>
    <w:rsid w:val="63A94811"/>
    <w:rsid w:val="65DF196D"/>
    <w:rsid w:val="67E43580"/>
    <w:rsid w:val="6A872EAD"/>
    <w:rsid w:val="6D0D7148"/>
    <w:rsid w:val="71471CE9"/>
    <w:rsid w:val="75024A20"/>
    <w:rsid w:val="75AB7316"/>
    <w:rsid w:val="76637F8E"/>
    <w:rsid w:val="7EDF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1934</Words>
  <Characters>2680</Characters>
  <Lines>0</Lines>
  <Paragraphs>0</Paragraphs>
  <TotalTime>80</TotalTime>
  <ScaleCrop>false</ScaleCrop>
  <LinksUpToDate>false</LinksUpToDate>
  <CharactersWithSpaces>2842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2025-07-08T06:01:00Z</dcterms:created>
  <dc:creator>13596</dc:creator>
  <cp:lastModifiedBy>唐振桓</cp:lastModifiedBy>
  <dcterms:modified xsi:type="dcterms:W3CDTF">2026-03-06T08:51:33Z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BC81E9EF83D04502A85282B5FF300C32_12</vt:lpwstr>
  </property>
  <property fmtid="{D5CDD505-2E9C-101B-9397-08002B2CF9AE}" pid="4" name="KSOTemplateDocerSaveRecord">
    <vt:lpwstr>eyJoZGlkIjoiMzEwNTM5NzYwMDRjMzkwZTVkZjY2ODkwMGIxNGU0OTUiLCJ1c2VySWQiOiIxMzY4NzUxNDgwIn0=</vt:lpwstr>
  </property>
</Properties>
</file>