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Đánh giá và Phân tích Mô hình Học máy</w:t>
      </w:r>
    </w:p>
    <w:p>
      <w:pPr>
        <w:pStyle w:val="Heading2"/>
      </w:pPr>
      <w:r>
        <w:rPr>
          <w:rFonts w:ascii="Times New Roman" w:hAnsi="Times New Roman"/>
          <w:color w:val="000000"/>
        </w:rPr>
        <w:t>1. Pipeline Tiền xử lý dữ liệu</w:t>
      </w:r>
    </w:p>
    <w:p>
      <w:r>
        <w:rPr>
          <w:rFonts w:ascii="Times New Roman" w:hAnsi="Times New Roman"/>
          <w:sz w:val="26"/>
        </w:rPr>
        <w:t>Trước khi đưa vào quá trình huấn luyện mô hình, bộ dữ liệu thô được xử lý thông qua một quy trình tự động (Pipeline) bao gồm các bước:</w:t>
      </w:r>
    </w:p>
    <w:p>
      <w:pPr>
        <w:pStyle w:val="Heading3"/>
      </w:pPr>
      <w:r>
        <w:rPr>
          <w:rFonts w:ascii="Times New Roman" w:hAnsi="Times New Roman"/>
          <w:color w:val="000000"/>
        </w:rPr>
        <w:t>1.1. Kỹ nghệ đặc trưng (Feature Engineering)</w:t>
      </w:r>
    </w:p>
    <w:p>
      <w:r>
        <w:rPr>
          <w:rFonts w:ascii="Times New Roman" w:hAnsi="Times New Roman"/>
          <w:sz w:val="26"/>
        </w:rPr>
        <w:t>Hệ thống tính toán và trích xuất thêm 3 biến phái sinh nhằm cung cấp góc nhìn tổng quát về năng lực học tập của học sinh:</w:t>
      </w:r>
    </w:p>
    <w:p>
      <w:pPr>
        <w:pStyle w:val="ListBullet"/>
      </w:pPr>
      <w:r>
        <w:rPr>
          <w:rFonts w:ascii="Times New Roman" w:hAnsi="Times New Roman"/>
          <w:b/>
          <w:sz w:val="26"/>
        </w:rPr>
        <w:t>avg_score:</w:t>
      </w:r>
      <w:r>
        <w:rPr>
          <w:rFonts w:ascii="Times New Roman" w:hAnsi="Times New Roman"/>
          <w:sz w:val="26"/>
        </w:rPr>
        <w:t xml:space="preserve"> Điểm trung bình cộng của toàn bộ 7 môn học.</w:t>
      </w:r>
    </w:p>
    <w:p>
      <w:pPr>
        <w:pStyle w:val="ListBullet"/>
      </w:pPr>
      <w:r>
        <w:rPr>
          <w:rFonts w:ascii="Times New Roman" w:hAnsi="Times New Roman"/>
          <w:b/>
          <w:sz w:val="26"/>
        </w:rPr>
        <w:t>natural_science_score:</w:t>
      </w:r>
      <w:r>
        <w:rPr>
          <w:rFonts w:ascii="Times New Roman" w:hAnsi="Times New Roman"/>
          <w:sz w:val="26"/>
        </w:rPr>
        <w:t xml:space="preserve"> Điểm trung bình khối Khoa học Tự nhiên (Toán, Vật lý, Hóa học, Sinh học).</w:t>
      </w:r>
    </w:p>
    <w:p>
      <w:pPr>
        <w:pStyle w:val="ListBullet"/>
      </w:pPr>
      <w:r>
        <w:rPr>
          <w:rFonts w:ascii="Times New Roman" w:hAnsi="Times New Roman"/>
          <w:b/>
          <w:sz w:val="26"/>
        </w:rPr>
        <w:t>social_science_score:</w:t>
      </w:r>
      <w:r>
        <w:rPr>
          <w:rFonts w:ascii="Times New Roman" w:hAnsi="Times New Roman"/>
          <w:sz w:val="26"/>
        </w:rPr>
        <w:t xml:space="preserve"> Điểm trung bình khối Khoa học Xã hội (Ngữ văn, Lịch sử, Tiếng Anh).</w:t>
      </w:r>
    </w:p>
    <w:p>
      <w:pPr>
        <w:pStyle w:val="Heading3"/>
      </w:pPr>
      <w:r>
        <w:rPr>
          <w:rFonts w:ascii="Times New Roman" w:hAnsi="Times New Roman"/>
          <w:color w:val="000000"/>
        </w:rPr>
        <w:t>1.2. Tiêu chuẩn hóa dữ liệu (ColumnTransformer)</w:t>
      </w:r>
    </w:p>
    <w:p>
      <w:pPr>
        <w:pStyle w:val="ListBullet"/>
      </w:pPr>
      <w:r>
        <w:rPr>
          <w:rFonts w:ascii="Times New Roman" w:hAnsi="Times New Roman"/>
          <w:b/>
          <w:sz w:val="26"/>
        </w:rPr>
        <w:t>StandardScaler:</w:t>
      </w:r>
      <w:r>
        <w:rPr>
          <w:rFonts w:ascii="Times New Roman" w:hAnsi="Times New Roman"/>
          <w:sz w:val="26"/>
        </w:rPr>
        <w:t xml:space="preserve"> Áp dụng cho 10 biến số thực (Điểm các môn và điểm trung bình). Kỹ thuật này giúp đưa các biến về cùng một thang đo với phân phối chuẩn (Kỳ vọng μ = 0, Độ lệch chuẩn σ = 1), ngăn ngừa việc các môn có phổ điểm lớn lấn át các môn khác.</w:t>
      </w:r>
    </w:p>
    <w:p>
      <w:pPr>
        <w:pStyle w:val="ListBullet"/>
      </w:pPr>
      <w:r>
        <w:rPr>
          <w:rFonts w:ascii="Times New Roman" w:hAnsi="Times New Roman"/>
          <w:b/>
          <w:sz w:val="26"/>
        </w:rPr>
        <w:t>OneHotEncoder:</w:t>
      </w:r>
      <w:r>
        <w:rPr>
          <w:rFonts w:ascii="Times New Roman" w:hAnsi="Times New Roman"/>
          <w:sz w:val="26"/>
        </w:rPr>
        <w:t xml:space="preserve"> Áp dụng cho biến phân loại mbti_type. Phương pháp này chuyển đổi 16 nhóm tính cách thành 16 biến giả (dummy variables) nhị phân, giúp mô hình toán học có thể hiểu và xử lý được đặc trưng tâm lý học.</w:t>
      </w:r>
    </w:p>
    <w:p>
      <w:pPr>
        <w:pStyle w:val="Heading2"/>
      </w:pPr>
      <w:r>
        <w:rPr>
          <w:rFonts w:ascii="Times New Roman" w:hAnsi="Times New Roman"/>
          <w:color w:val="000000"/>
        </w:rPr>
        <w:t>2. Đánh giá và so sánh các mô hình học máy</w:t>
      </w:r>
    </w:p>
    <w:p>
      <w:r>
        <w:rPr>
          <w:rFonts w:ascii="Times New Roman" w:hAnsi="Times New Roman"/>
          <w:b/>
          <w:sz w:val="26"/>
        </w:rPr>
        <w:t>Bảng 4.4. So sánh hiệu năng tổng thể của ba thuật toán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24"/>
              </w:rPr>
              <w:t>Mô hình</w:t>
            </w:r>
          </w:p>
        </w:tc>
        <w:tc>
          <w:tcPr>
            <w:tcW w:type="dxa" w:w="1440"/>
          </w:tcPr>
          <w:p>
            <w:pPr>
              <w:jc w:val="center"/>
            </w:pPr>
            <w:r/>
            <w:r>
              <w:rPr>
                <w:rFonts w:ascii="Times New Roman" w:hAnsi="Times New Roman"/>
                <w:b/>
                <w:sz w:val="24"/>
              </w:rPr>
              <w:t>Train Accuracy</w:t>
            </w:r>
          </w:p>
        </w:tc>
        <w:tc>
          <w:tcPr>
            <w:tcW w:type="dxa" w:w="1440"/>
          </w:tcPr>
          <w:p>
            <w:pPr>
              <w:jc w:val="center"/>
            </w:pPr>
            <w:r/>
            <w:r>
              <w:rPr>
                <w:rFonts w:ascii="Times New Roman" w:hAnsi="Times New Roman"/>
                <w:b/>
                <w:sz w:val="24"/>
              </w:rPr>
              <w:t>Test Accuracy</w:t>
            </w:r>
          </w:p>
        </w:tc>
        <w:tc>
          <w:tcPr>
            <w:tcW w:type="dxa" w:w="1440"/>
          </w:tcPr>
          <w:p>
            <w:pPr>
              <w:jc w:val="center"/>
            </w:pPr>
            <w:r/>
            <w:r>
              <w:rPr>
                <w:rFonts w:ascii="Times New Roman" w:hAnsi="Times New Roman"/>
                <w:b/>
                <w:sz w:val="24"/>
              </w:rPr>
              <w:t>Precision</w:t>
              <w:br/>
              <w:t>(Macro)</w:t>
            </w:r>
          </w:p>
        </w:tc>
        <w:tc>
          <w:tcPr>
            <w:tcW w:type="dxa" w:w="1440"/>
          </w:tcPr>
          <w:p>
            <w:pPr>
              <w:jc w:val="center"/>
            </w:pPr>
            <w:r/>
            <w:r>
              <w:rPr>
                <w:rFonts w:ascii="Times New Roman" w:hAnsi="Times New Roman"/>
                <w:b/>
                <w:sz w:val="24"/>
              </w:rPr>
              <w:t>Recall</w:t>
              <w:br/>
              <w:t>(Macro)</w:t>
            </w:r>
          </w:p>
        </w:tc>
        <w:tc>
          <w:tcPr>
            <w:tcW w:type="dxa" w:w="1440"/>
          </w:tcPr>
          <w:p>
            <w:pPr>
              <w:jc w:val="center"/>
            </w:pPr>
            <w:r/>
            <w:r>
              <w:rPr>
                <w:rFonts w:ascii="Times New Roman" w:hAnsi="Times New Roman"/>
                <w:b/>
                <w:sz w:val="24"/>
              </w:rPr>
              <w:t>F1-Score</w:t>
              <w:br/>
              <w:t>(Macro)</w:t>
            </w:r>
          </w:p>
        </w:tc>
      </w:tr>
      <w:tr>
        <w:tc>
          <w:tcPr>
            <w:tcW w:type="dxa" w:w="1440"/>
          </w:tcPr>
          <w:p>
            <w:pPr>
              <w:jc w:val="center"/>
            </w:pPr>
            <w:r/>
            <w:r>
              <w:rPr>
                <w:rFonts w:ascii="Times New Roman" w:hAnsi="Times New Roman"/>
                <w:sz w:val="24"/>
              </w:rPr>
              <w:t>Random Forest (Chính)</w:t>
            </w:r>
          </w:p>
        </w:tc>
        <w:tc>
          <w:tcPr>
            <w:tcW w:type="dxa" w:w="1440"/>
          </w:tcPr>
          <w:p>
            <w:pPr>
              <w:jc w:val="center"/>
            </w:pPr>
            <w:r/>
            <w:r>
              <w:rPr>
                <w:rFonts w:ascii="Times New Roman" w:hAnsi="Times New Roman"/>
                <w:sz w:val="24"/>
              </w:rPr>
              <w:t>93.98%</w:t>
            </w:r>
          </w:p>
        </w:tc>
        <w:tc>
          <w:tcPr>
            <w:tcW w:type="dxa" w:w="1440"/>
          </w:tcPr>
          <w:p>
            <w:pPr>
              <w:jc w:val="center"/>
            </w:pPr>
            <w:r/>
            <w:r>
              <w:rPr>
                <w:rFonts w:ascii="Times New Roman" w:hAnsi="Times New Roman"/>
                <w:sz w:val="24"/>
              </w:rPr>
              <w:t>87.37%</w:t>
            </w:r>
          </w:p>
        </w:tc>
        <w:tc>
          <w:tcPr>
            <w:tcW w:type="dxa" w:w="1440"/>
          </w:tcPr>
          <w:p>
            <w:pPr>
              <w:jc w:val="center"/>
            </w:pPr>
            <w:r/>
            <w:r>
              <w:rPr>
                <w:rFonts w:ascii="Times New Roman" w:hAnsi="Times New Roman"/>
                <w:sz w:val="24"/>
              </w:rPr>
              <w:t>87.60%</w:t>
            </w:r>
          </w:p>
        </w:tc>
        <w:tc>
          <w:tcPr>
            <w:tcW w:type="dxa" w:w="1440"/>
          </w:tcPr>
          <w:p>
            <w:pPr>
              <w:jc w:val="center"/>
            </w:pPr>
            <w:r/>
            <w:r>
              <w:rPr>
                <w:rFonts w:ascii="Times New Roman" w:hAnsi="Times New Roman"/>
                <w:sz w:val="24"/>
              </w:rPr>
              <w:t>87.37%</w:t>
            </w:r>
          </w:p>
        </w:tc>
        <w:tc>
          <w:tcPr>
            <w:tcW w:type="dxa" w:w="1440"/>
          </w:tcPr>
          <w:p>
            <w:pPr>
              <w:jc w:val="center"/>
            </w:pPr>
            <w:r/>
            <w:r>
              <w:rPr>
                <w:rFonts w:ascii="Times New Roman" w:hAnsi="Times New Roman"/>
                <w:sz w:val="24"/>
              </w:rPr>
              <w:t>87.41%</w:t>
            </w:r>
          </w:p>
        </w:tc>
      </w:tr>
      <w:tr>
        <w:tc>
          <w:tcPr>
            <w:tcW w:type="dxa" w:w="1440"/>
          </w:tcPr>
          <w:p>
            <w:pPr>
              <w:jc w:val="center"/>
            </w:pPr>
            <w:r/>
            <w:r>
              <w:rPr>
                <w:rFonts w:ascii="Times New Roman" w:hAnsi="Times New Roman"/>
                <w:sz w:val="24"/>
              </w:rPr>
              <w:t>SVM (RBF Kernel)</w:t>
            </w:r>
          </w:p>
        </w:tc>
        <w:tc>
          <w:tcPr>
            <w:tcW w:type="dxa" w:w="1440"/>
          </w:tcPr>
          <w:p>
            <w:pPr>
              <w:jc w:val="center"/>
            </w:pPr>
            <w:r/>
            <w:r>
              <w:rPr>
                <w:rFonts w:ascii="Times New Roman" w:hAnsi="Times New Roman"/>
                <w:sz w:val="24"/>
              </w:rPr>
              <w:t>87.14%</w:t>
            </w:r>
          </w:p>
        </w:tc>
        <w:tc>
          <w:tcPr>
            <w:tcW w:type="dxa" w:w="1440"/>
          </w:tcPr>
          <w:p>
            <w:pPr>
              <w:jc w:val="center"/>
            </w:pPr>
            <w:r/>
            <w:r>
              <w:rPr>
                <w:rFonts w:ascii="Times New Roman" w:hAnsi="Times New Roman"/>
                <w:sz w:val="24"/>
              </w:rPr>
              <w:t>86.80%</w:t>
            </w:r>
          </w:p>
        </w:tc>
        <w:tc>
          <w:tcPr>
            <w:tcW w:type="dxa" w:w="1440"/>
          </w:tcPr>
          <w:p>
            <w:pPr>
              <w:jc w:val="center"/>
            </w:pPr>
            <w:r/>
            <w:r>
              <w:rPr>
                <w:rFonts w:ascii="Times New Roman" w:hAnsi="Times New Roman"/>
                <w:sz w:val="24"/>
              </w:rPr>
              <w:t>87.85%</w:t>
            </w:r>
          </w:p>
        </w:tc>
        <w:tc>
          <w:tcPr>
            <w:tcW w:type="dxa" w:w="1440"/>
          </w:tcPr>
          <w:p>
            <w:pPr>
              <w:jc w:val="center"/>
            </w:pPr>
            <w:r/>
            <w:r>
              <w:rPr>
                <w:rFonts w:ascii="Times New Roman" w:hAnsi="Times New Roman"/>
                <w:sz w:val="24"/>
              </w:rPr>
              <w:t>86.81%</w:t>
            </w:r>
          </w:p>
        </w:tc>
        <w:tc>
          <w:tcPr>
            <w:tcW w:type="dxa" w:w="1440"/>
          </w:tcPr>
          <w:p>
            <w:pPr>
              <w:jc w:val="center"/>
            </w:pPr>
            <w:r/>
            <w:r>
              <w:rPr>
                <w:rFonts w:ascii="Times New Roman" w:hAnsi="Times New Roman"/>
                <w:sz w:val="24"/>
              </w:rPr>
              <w:t>86.98%</w:t>
            </w:r>
          </w:p>
        </w:tc>
      </w:tr>
      <w:tr>
        <w:tc>
          <w:tcPr>
            <w:tcW w:type="dxa" w:w="1440"/>
          </w:tcPr>
          <w:p>
            <w:pPr>
              <w:jc w:val="center"/>
            </w:pPr>
            <w:r/>
            <w:r>
              <w:rPr>
                <w:rFonts w:ascii="Times New Roman" w:hAnsi="Times New Roman"/>
                <w:sz w:val="24"/>
              </w:rPr>
              <w:t>Decision Tree</w:t>
            </w:r>
          </w:p>
        </w:tc>
        <w:tc>
          <w:tcPr>
            <w:tcW w:type="dxa" w:w="1440"/>
          </w:tcPr>
          <w:p>
            <w:pPr>
              <w:jc w:val="center"/>
            </w:pPr>
            <w:r/>
            <w:r>
              <w:rPr>
                <w:rFonts w:ascii="Times New Roman" w:hAnsi="Times New Roman"/>
                <w:sz w:val="24"/>
              </w:rPr>
              <w:t>83.50%</w:t>
            </w:r>
          </w:p>
        </w:tc>
        <w:tc>
          <w:tcPr>
            <w:tcW w:type="dxa" w:w="1440"/>
          </w:tcPr>
          <w:p>
            <w:pPr>
              <w:jc w:val="center"/>
            </w:pPr>
            <w:r/>
            <w:r>
              <w:rPr>
                <w:rFonts w:ascii="Times New Roman" w:hAnsi="Times New Roman"/>
                <w:sz w:val="24"/>
              </w:rPr>
              <w:t>79.55%</w:t>
            </w:r>
          </w:p>
        </w:tc>
        <w:tc>
          <w:tcPr>
            <w:tcW w:type="dxa" w:w="1440"/>
          </w:tcPr>
          <w:p>
            <w:pPr>
              <w:jc w:val="center"/>
            </w:pPr>
            <w:r/>
            <w:r>
              <w:rPr>
                <w:rFonts w:ascii="Times New Roman" w:hAnsi="Times New Roman"/>
                <w:sz w:val="24"/>
              </w:rPr>
              <w:t>80.87%</w:t>
            </w:r>
          </w:p>
        </w:tc>
        <w:tc>
          <w:tcPr>
            <w:tcW w:type="dxa" w:w="1440"/>
          </w:tcPr>
          <w:p>
            <w:pPr>
              <w:jc w:val="center"/>
            </w:pPr>
            <w:r/>
            <w:r>
              <w:rPr>
                <w:rFonts w:ascii="Times New Roman" w:hAnsi="Times New Roman"/>
                <w:sz w:val="24"/>
              </w:rPr>
              <w:t>79.55%</w:t>
            </w:r>
          </w:p>
        </w:tc>
        <w:tc>
          <w:tcPr>
            <w:tcW w:type="dxa" w:w="1440"/>
          </w:tcPr>
          <w:p>
            <w:pPr>
              <w:jc w:val="center"/>
            </w:pPr>
            <w:r/>
            <w:r>
              <w:rPr>
                <w:rFonts w:ascii="Times New Roman" w:hAnsi="Times New Roman"/>
                <w:sz w:val="24"/>
              </w:rPr>
              <w:t>79.52%</w:t>
            </w:r>
          </w:p>
        </w:tc>
      </w:tr>
    </w:tbl>
    <w:p>
      <w:r>
        <w:rPr>
          <w:rFonts w:ascii="Times New Roman" w:hAnsi="Times New Roman"/>
          <w:b/>
          <w:sz w:val="26"/>
        </w:rPr>
        <w:t>Nhận xét:</w:t>
      </w:r>
    </w:p>
    <w:p>
      <w:pPr>
        <w:pStyle w:val="ListBullet"/>
      </w:pPr>
      <w:r>
        <w:rPr>
          <w:rFonts w:ascii="Times New Roman" w:hAnsi="Times New Roman"/>
          <w:b/>
          <w:sz w:val="26"/>
        </w:rPr>
        <w:t>Random Forest</w:t>
      </w:r>
      <w:r>
        <w:rPr>
          <w:rFonts w:ascii="Times New Roman" w:hAnsi="Times New Roman"/>
          <w:sz w:val="26"/>
        </w:rPr>
        <w:t xml:space="preserve"> đạt kết quả tốt nhất trên hầu hết các chỉ số với độ chính xác thực tế (Test Accuracy) đạt 87.37% và F1-Score đạt 87.41%. Việc tinh chỉnh giới hạn độ sâu của cây (max_depth) và số mẫu tại lá đã giúp mô hình cân bằng tốt, Train Accuracy ở mức 93.98% cho thấy hiện tượng quá khớp (Overfitting) đã được kiểm soát hiệu quả. Đây là thuật toán được lựa chọn triển khai cho hệ thống chính.</w:t>
      </w:r>
    </w:p>
    <w:p>
      <w:pPr>
        <w:pStyle w:val="ListBullet"/>
      </w:pPr>
      <w:r>
        <w:rPr>
          <w:rFonts w:ascii="Times New Roman" w:hAnsi="Times New Roman"/>
          <w:b/>
          <w:sz w:val="26"/>
        </w:rPr>
        <w:t>SVM (RBF Kernel)</w:t>
      </w:r>
      <w:r>
        <w:rPr>
          <w:rFonts w:ascii="Times New Roman" w:hAnsi="Times New Roman"/>
          <w:sz w:val="26"/>
        </w:rPr>
        <w:t xml:space="preserve"> bám sát với Accuracy đạt 86.80%. Thuật toán này thể hiện tính ổn định tuyệt đối (Train và Test tương đương nhau) nhờ siêu phẳng phân cách phi tuyến và tham số điều chuẩn (Regularization) mạnh C=0.05. Tuy nhiên, tốc độ suy luận và khả năng giải thích (XAI) của SVM kém hơn nên chỉ được dùng làm đối trọng so sánh.</w:t>
      </w:r>
    </w:p>
    <w:p>
      <w:pPr>
        <w:pStyle w:val="ListBullet"/>
      </w:pPr>
      <w:r>
        <w:rPr>
          <w:rFonts w:ascii="Times New Roman" w:hAnsi="Times New Roman"/>
          <w:b/>
          <w:sz w:val="26"/>
        </w:rPr>
        <w:t>Decision Tree</w:t>
      </w:r>
      <w:r>
        <w:rPr>
          <w:rFonts w:ascii="Times New Roman" w:hAnsi="Times New Roman"/>
          <w:sz w:val="26"/>
        </w:rPr>
        <w:t xml:space="preserve"> ghi nhận mức hiệu năng thấp nhất (79.55%). Dù đã được cắt tỉa (Pruning) để giảm Overfitting, đặc tính của một cây quyết định đơn lẻ vẫn khó có thể vượt qua sức mạnh tổng hợp của phương pháp học tập kết hợp (Ensemble Learning) như Random Forest.</w:t>
      </w:r>
    </w:p>
    <w:p>
      <w:pPr>
        <w:pStyle w:val="ListBullet"/>
      </w:pPr>
    </w:p>
    <w:p>
      <w:pPr>
        <w:pStyle w:val="Heading2"/>
      </w:pPr>
      <w:r>
        <w:rPr>
          <w:rFonts w:ascii="Times New Roman" w:hAnsi="Times New Roman"/>
          <w:color w:val="000000"/>
        </w:rPr>
        <w:t>3. Phân tích hiệu suất chi tiết thuật toán Random Forest</w:t>
      </w:r>
    </w:p>
    <w:p>
      <w:r>
        <w:rPr>
          <w:rFonts w:ascii="Times New Roman" w:hAnsi="Times New Roman"/>
          <w:b/>
          <w:sz w:val="26"/>
        </w:rPr>
        <w:t>Bảng 4.5. Báo cáo đo lường chi tiết theo từng nhóm ngành (Classification Report)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4"/>
              </w:rPr>
              <w:t>Nhóm ngành</w:t>
            </w:r>
          </w:p>
        </w:tc>
        <w:tc>
          <w:tcPr>
            <w:tcW w:type="dxa" w:w="1728"/>
          </w:tcPr>
          <w:p>
            <w:pPr>
              <w:jc w:val="center"/>
            </w:pPr>
            <w:r/>
            <w:r>
              <w:rPr>
                <w:rFonts w:ascii="Times New Roman" w:hAnsi="Times New Roman"/>
                <w:b/>
                <w:sz w:val="24"/>
              </w:rPr>
              <w:t>Precision</w:t>
            </w:r>
          </w:p>
        </w:tc>
        <w:tc>
          <w:tcPr>
            <w:tcW w:type="dxa" w:w="1728"/>
          </w:tcPr>
          <w:p>
            <w:pPr>
              <w:jc w:val="center"/>
            </w:pPr>
            <w:r/>
            <w:r>
              <w:rPr>
                <w:rFonts w:ascii="Times New Roman" w:hAnsi="Times New Roman"/>
                <w:b/>
                <w:sz w:val="24"/>
              </w:rPr>
              <w:t>Recall</w:t>
            </w:r>
          </w:p>
        </w:tc>
        <w:tc>
          <w:tcPr>
            <w:tcW w:type="dxa" w:w="1728"/>
          </w:tcPr>
          <w:p>
            <w:pPr>
              <w:jc w:val="center"/>
            </w:pPr>
            <w:r/>
            <w:r>
              <w:rPr>
                <w:rFonts w:ascii="Times New Roman" w:hAnsi="Times New Roman"/>
                <w:b/>
                <w:sz w:val="24"/>
              </w:rPr>
              <w:t>F1-Score</w:t>
            </w:r>
          </w:p>
        </w:tc>
        <w:tc>
          <w:tcPr>
            <w:tcW w:type="dxa" w:w="1728"/>
          </w:tcPr>
          <w:p>
            <w:pPr>
              <w:jc w:val="center"/>
            </w:pPr>
            <w:r/>
            <w:r>
              <w:rPr>
                <w:rFonts w:ascii="Times New Roman" w:hAnsi="Times New Roman"/>
                <w:b/>
                <w:sz w:val="24"/>
              </w:rPr>
              <w:t>Support</w:t>
            </w:r>
          </w:p>
        </w:tc>
      </w:tr>
      <w:tr>
        <w:tc>
          <w:tcPr>
            <w:tcW w:type="dxa" w:w="1728"/>
          </w:tcPr>
          <w:p>
            <w:pPr>
              <w:jc w:val="center"/>
            </w:pPr>
            <w:r/>
            <w:r>
              <w:rPr>
                <w:rFonts w:ascii="Times New Roman" w:hAnsi="Times New Roman"/>
                <w:sz w:val="24"/>
              </w:rPr>
              <w:t>Công nghệ Thông tin &amp; Kỹ thuật Máy tính</w:t>
            </w:r>
          </w:p>
        </w:tc>
        <w:tc>
          <w:tcPr>
            <w:tcW w:type="dxa" w:w="1728"/>
          </w:tcPr>
          <w:p>
            <w:pPr>
              <w:jc w:val="center"/>
            </w:pPr>
            <w:r/>
            <w:r>
              <w:rPr>
                <w:rFonts w:ascii="Times New Roman" w:hAnsi="Times New Roman"/>
                <w:sz w:val="24"/>
              </w:rPr>
              <w:t>0.92</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0.92</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Du lịch &amp; Dịch vụ</w:t>
            </w:r>
          </w:p>
        </w:tc>
        <w:tc>
          <w:tcPr>
            <w:tcW w:type="dxa" w:w="1728"/>
          </w:tcPr>
          <w:p>
            <w:pPr>
              <w:jc w:val="center"/>
            </w:pPr>
            <w:r/>
            <w:r>
              <w:rPr>
                <w:rFonts w:ascii="Times New Roman" w:hAnsi="Times New Roman"/>
                <w:sz w:val="24"/>
              </w:rPr>
              <w:t>0.88</w:t>
            </w:r>
          </w:p>
        </w:tc>
        <w:tc>
          <w:tcPr>
            <w:tcW w:type="dxa" w:w="1728"/>
          </w:tcPr>
          <w:p>
            <w:pPr>
              <w:jc w:val="center"/>
            </w:pPr>
            <w:r/>
            <w:r>
              <w:rPr>
                <w:rFonts w:ascii="Times New Roman" w:hAnsi="Times New Roman"/>
                <w:sz w:val="24"/>
              </w:rPr>
              <w:t>0.84</w:t>
            </w:r>
          </w:p>
        </w:tc>
        <w:tc>
          <w:tcPr>
            <w:tcW w:type="dxa" w:w="1728"/>
          </w:tcPr>
          <w:p>
            <w:pPr>
              <w:jc w:val="center"/>
            </w:pPr>
            <w:r/>
            <w:r>
              <w:rPr>
                <w:rFonts w:ascii="Times New Roman" w:hAnsi="Times New Roman"/>
                <w:sz w:val="24"/>
              </w:rPr>
              <w:t>0.86</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Kinh tế &amp; Quản lý</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0.94</w:t>
            </w:r>
          </w:p>
        </w:tc>
        <w:tc>
          <w:tcPr>
            <w:tcW w:type="dxa" w:w="1728"/>
          </w:tcPr>
          <w:p>
            <w:pPr>
              <w:jc w:val="center"/>
            </w:pPr>
            <w:r/>
            <w:r>
              <w:rPr>
                <w:rFonts w:ascii="Times New Roman" w:hAnsi="Times New Roman"/>
                <w:sz w:val="24"/>
              </w:rPr>
              <w:t>0.92</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Kỹ thuật, Cơ khí &amp; Ô tô</w:t>
            </w:r>
          </w:p>
        </w:tc>
        <w:tc>
          <w:tcPr>
            <w:tcW w:type="dxa" w:w="1728"/>
          </w:tcPr>
          <w:p>
            <w:pPr>
              <w:jc w:val="center"/>
            </w:pPr>
            <w:r/>
            <w:r>
              <w:rPr>
                <w:rFonts w:ascii="Times New Roman" w:hAnsi="Times New Roman"/>
                <w:sz w:val="24"/>
              </w:rPr>
              <w:t>0.74</w:t>
            </w:r>
          </w:p>
        </w:tc>
        <w:tc>
          <w:tcPr>
            <w:tcW w:type="dxa" w:w="1728"/>
          </w:tcPr>
          <w:p>
            <w:pPr>
              <w:jc w:val="center"/>
            </w:pPr>
            <w:r/>
            <w:r>
              <w:rPr>
                <w:rFonts w:ascii="Times New Roman" w:hAnsi="Times New Roman"/>
                <w:sz w:val="24"/>
              </w:rPr>
              <w:t>0.79</w:t>
            </w:r>
          </w:p>
        </w:tc>
        <w:tc>
          <w:tcPr>
            <w:tcW w:type="dxa" w:w="1728"/>
          </w:tcPr>
          <w:p>
            <w:pPr>
              <w:jc w:val="center"/>
            </w:pPr>
            <w:r/>
            <w:r>
              <w:rPr>
                <w:rFonts w:ascii="Times New Roman" w:hAnsi="Times New Roman"/>
                <w:sz w:val="24"/>
              </w:rPr>
              <w:t>0.76</w:t>
            </w:r>
          </w:p>
        </w:tc>
        <w:tc>
          <w:tcPr>
            <w:tcW w:type="dxa" w:w="1728"/>
          </w:tcPr>
          <w:p>
            <w:pPr>
              <w:jc w:val="center"/>
            </w:pPr>
            <w:r/>
            <w:r>
              <w:rPr>
                <w:rFonts w:ascii="Times New Roman" w:hAnsi="Times New Roman"/>
                <w:sz w:val="24"/>
              </w:rPr>
              <w:t>134</w:t>
            </w:r>
          </w:p>
        </w:tc>
      </w:tr>
      <w:tr>
        <w:tc>
          <w:tcPr>
            <w:tcW w:type="dxa" w:w="1728"/>
          </w:tcPr>
          <w:p>
            <w:pPr>
              <w:jc w:val="center"/>
            </w:pPr>
            <w:r/>
            <w:r>
              <w:rPr>
                <w:rFonts w:ascii="Times New Roman" w:hAnsi="Times New Roman"/>
                <w:sz w:val="24"/>
              </w:rPr>
              <w:t>Luật &amp; Xã hội</w:t>
            </w:r>
          </w:p>
        </w:tc>
        <w:tc>
          <w:tcPr>
            <w:tcW w:type="dxa" w:w="1728"/>
          </w:tcPr>
          <w:p>
            <w:pPr>
              <w:jc w:val="center"/>
            </w:pPr>
            <w:r/>
            <w:r>
              <w:rPr>
                <w:rFonts w:ascii="Times New Roman" w:hAnsi="Times New Roman"/>
                <w:sz w:val="24"/>
              </w:rPr>
              <w:t>0.90</w:t>
            </w:r>
          </w:p>
        </w:tc>
        <w:tc>
          <w:tcPr>
            <w:tcW w:type="dxa" w:w="1728"/>
          </w:tcPr>
          <w:p>
            <w:pPr>
              <w:jc w:val="center"/>
            </w:pPr>
            <w:r/>
            <w:r>
              <w:rPr>
                <w:rFonts w:ascii="Times New Roman" w:hAnsi="Times New Roman"/>
                <w:sz w:val="24"/>
              </w:rPr>
              <w:t>0.87</w:t>
            </w:r>
          </w:p>
        </w:tc>
        <w:tc>
          <w:tcPr>
            <w:tcW w:type="dxa" w:w="1728"/>
          </w:tcPr>
          <w:p>
            <w:pPr>
              <w:jc w:val="center"/>
            </w:pPr>
            <w:r/>
            <w:r>
              <w:rPr>
                <w:rFonts w:ascii="Times New Roman" w:hAnsi="Times New Roman"/>
                <w:sz w:val="24"/>
              </w:rPr>
              <w:t>0.89</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Nghệ thuật &amp; Thiết kế</w:t>
            </w:r>
          </w:p>
        </w:tc>
        <w:tc>
          <w:tcPr>
            <w:tcW w:type="dxa" w:w="1728"/>
          </w:tcPr>
          <w:p>
            <w:pPr>
              <w:jc w:val="center"/>
            </w:pPr>
            <w:r/>
            <w:r>
              <w:rPr>
                <w:rFonts w:ascii="Times New Roman" w:hAnsi="Times New Roman"/>
                <w:sz w:val="24"/>
              </w:rPr>
              <w:t>0.79</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0.85</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Ngôn ngữ &amp; Văn hóa</w:t>
            </w:r>
          </w:p>
        </w:tc>
        <w:tc>
          <w:tcPr>
            <w:tcW w:type="dxa" w:w="1728"/>
          </w:tcPr>
          <w:p>
            <w:pPr>
              <w:jc w:val="center"/>
            </w:pPr>
            <w:r/>
            <w:r>
              <w:rPr>
                <w:rFonts w:ascii="Times New Roman" w:hAnsi="Times New Roman"/>
                <w:sz w:val="24"/>
              </w:rPr>
              <w:t>0.98</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0.94</w:t>
            </w:r>
          </w:p>
        </w:tc>
        <w:tc>
          <w:tcPr>
            <w:tcW w:type="dxa" w:w="1728"/>
          </w:tcPr>
          <w:p>
            <w:pPr>
              <w:jc w:val="center"/>
            </w:pPr>
            <w:r/>
            <w:r>
              <w:rPr>
                <w:rFonts w:ascii="Times New Roman" w:hAnsi="Times New Roman"/>
                <w:sz w:val="24"/>
              </w:rPr>
              <w:t>134</w:t>
            </w:r>
          </w:p>
        </w:tc>
      </w:tr>
      <w:tr>
        <w:tc>
          <w:tcPr>
            <w:tcW w:type="dxa" w:w="1728"/>
          </w:tcPr>
          <w:p>
            <w:pPr>
              <w:jc w:val="center"/>
            </w:pPr>
            <w:r/>
            <w:r>
              <w:rPr>
                <w:rFonts w:ascii="Times New Roman" w:hAnsi="Times New Roman"/>
                <w:sz w:val="24"/>
              </w:rPr>
              <w:t>Nông nghiệp &amp; Môi trường</w:t>
            </w:r>
          </w:p>
        </w:tc>
        <w:tc>
          <w:tcPr>
            <w:tcW w:type="dxa" w:w="1728"/>
          </w:tcPr>
          <w:p>
            <w:pPr>
              <w:jc w:val="center"/>
            </w:pPr>
            <w:r/>
            <w:r>
              <w:rPr>
                <w:rFonts w:ascii="Times New Roman" w:hAnsi="Times New Roman"/>
                <w:sz w:val="24"/>
              </w:rPr>
              <w:t>0.90</w:t>
            </w:r>
          </w:p>
        </w:tc>
        <w:tc>
          <w:tcPr>
            <w:tcW w:type="dxa" w:w="1728"/>
          </w:tcPr>
          <w:p>
            <w:pPr>
              <w:jc w:val="center"/>
            </w:pPr>
            <w:r/>
            <w:r>
              <w:rPr>
                <w:rFonts w:ascii="Times New Roman" w:hAnsi="Times New Roman"/>
                <w:sz w:val="24"/>
              </w:rPr>
              <w:t>0.86</w:t>
            </w:r>
          </w:p>
        </w:tc>
        <w:tc>
          <w:tcPr>
            <w:tcW w:type="dxa" w:w="1728"/>
          </w:tcPr>
          <w:p>
            <w:pPr>
              <w:jc w:val="center"/>
            </w:pPr>
            <w:r/>
            <w:r>
              <w:rPr>
                <w:rFonts w:ascii="Times New Roman" w:hAnsi="Times New Roman"/>
                <w:sz w:val="24"/>
              </w:rPr>
              <w:t>0.88</w:t>
            </w:r>
          </w:p>
        </w:tc>
        <w:tc>
          <w:tcPr>
            <w:tcW w:type="dxa" w:w="1728"/>
          </w:tcPr>
          <w:p>
            <w:pPr>
              <w:jc w:val="center"/>
            </w:pPr>
            <w:r/>
            <w:r>
              <w:rPr>
                <w:rFonts w:ascii="Times New Roman" w:hAnsi="Times New Roman"/>
                <w:sz w:val="24"/>
              </w:rPr>
              <w:t>134</w:t>
            </w:r>
          </w:p>
        </w:tc>
      </w:tr>
      <w:tr>
        <w:tc>
          <w:tcPr>
            <w:tcW w:type="dxa" w:w="1728"/>
          </w:tcPr>
          <w:p>
            <w:pPr>
              <w:jc w:val="center"/>
            </w:pPr>
            <w:r/>
            <w:r>
              <w:rPr>
                <w:rFonts w:ascii="Times New Roman" w:hAnsi="Times New Roman"/>
                <w:sz w:val="24"/>
              </w:rPr>
              <w:t>Sư phạm &amp; Giáo dục</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0.92</w:t>
            </w:r>
          </w:p>
        </w:tc>
        <w:tc>
          <w:tcPr>
            <w:tcW w:type="dxa" w:w="1728"/>
          </w:tcPr>
          <w:p>
            <w:pPr>
              <w:jc w:val="center"/>
            </w:pPr>
            <w:r/>
            <w:r>
              <w:rPr>
                <w:rFonts w:ascii="Times New Roman" w:hAnsi="Times New Roman"/>
                <w:sz w:val="24"/>
              </w:rPr>
              <w:t>0.92</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Truyền thông &amp; Báo chí</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0.87</w:t>
            </w:r>
          </w:p>
        </w:tc>
        <w:tc>
          <w:tcPr>
            <w:tcW w:type="dxa" w:w="1728"/>
          </w:tcPr>
          <w:p>
            <w:pPr>
              <w:jc w:val="center"/>
            </w:pPr>
            <w:r/>
            <w:r>
              <w:rPr>
                <w:rFonts w:ascii="Times New Roman" w:hAnsi="Times New Roman"/>
                <w:sz w:val="24"/>
              </w:rPr>
              <w:t>0.89</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Xây dựng &amp; Quy hoạch</w:t>
            </w:r>
          </w:p>
        </w:tc>
        <w:tc>
          <w:tcPr>
            <w:tcW w:type="dxa" w:w="1728"/>
          </w:tcPr>
          <w:p>
            <w:pPr>
              <w:jc w:val="center"/>
            </w:pPr>
            <w:r/>
            <w:r>
              <w:rPr>
                <w:rFonts w:ascii="Times New Roman" w:hAnsi="Times New Roman"/>
                <w:sz w:val="24"/>
              </w:rPr>
              <w:t>0.78</w:t>
            </w:r>
          </w:p>
        </w:tc>
        <w:tc>
          <w:tcPr>
            <w:tcW w:type="dxa" w:w="1728"/>
          </w:tcPr>
          <w:p>
            <w:pPr>
              <w:jc w:val="center"/>
            </w:pPr>
            <w:r/>
            <w:r>
              <w:rPr>
                <w:rFonts w:ascii="Times New Roman" w:hAnsi="Times New Roman"/>
                <w:sz w:val="24"/>
              </w:rPr>
              <w:t>0.74</w:t>
            </w:r>
          </w:p>
        </w:tc>
        <w:tc>
          <w:tcPr>
            <w:tcW w:type="dxa" w:w="1728"/>
          </w:tcPr>
          <w:p>
            <w:pPr>
              <w:jc w:val="center"/>
            </w:pPr>
            <w:r/>
            <w:r>
              <w:rPr>
                <w:rFonts w:ascii="Times New Roman" w:hAnsi="Times New Roman"/>
                <w:sz w:val="24"/>
              </w:rPr>
              <w:t>0.76</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sz w:val="24"/>
              </w:rPr>
              <w:t>Y tế &amp; Sức khỏe</w:t>
            </w:r>
          </w:p>
        </w:tc>
        <w:tc>
          <w:tcPr>
            <w:tcW w:type="dxa" w:w="1728"/>
          </w:tcPr>
          <w:p>
            <w:pPr>
              <w:jc w:val="center"/>
            </w:pPr>
            <w:r/>
            <w:r>
              <w:rPr>
                <w:rFonts w:ascii="Times New Roman" w:hAnsi="Times New Roman"/>
                <w:sz w:val="24"/>
              </w:rPr>
              <w:t>0.90</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0.91</w:t>
            </w:r>
          </w:p>
        </w:tc>
        <w:tc>
          <w:tcPr>
            <w:tcW w:type="dxa" w:w="1728"/>
          </w:tcPr>
          <w:p>
            <w:pPr>
              <w:jc w:val="center"/>
            </w:pPr>
            <w:r/>
            <w:r>
              <w:rPr>
                <w:rFonts w:ascii="Times New Roman" w:hAnsi="Times New Roman"/>
                <w:sz w:val="24"/>
              </w:rPr>
              <w:t>133</w:t>
            </w:r>
          </w:p>
        </w:tc>
      </w:tr>
      <w:tr>
        <w:tc>
          <w:tcPr>
            <w:tcW w:type="dxa" w:w="1728"/>
          </w:tcPr>
          <w:p>
            <w:pPr>
              <w:jc w:val="center"/>
            </w:pPr>
            <w:r/>
            <w:r>
              <w:rPr>
                <w:rFonts w:ascii="Times New Roman" w:hAnsi="Times New Roman"/>
                <w:b/>
                <w:sz w:val="24"/>
              </w:rPr>
              <w:t>Trung bình Macro (Macro Average)</w:t>
            </w:r>
          </w:p>
        </w:tc>
        <w:tc>
          <w:tcPr>
            <w:tcW w:type="dxa" w:w="1728"/>
          </w:tcPr>
          <w:p>
            <w:pPr>
              <w:jc w:val="center"/>
            </w:pPr>
            <w:r/>
            <w:r>
              <w:rPr>
                <w:rFonts w:ascii="Times New Roman" w:hAnsi="Times New Roman"/>
                <w:sz w:val="24"/>
              </w:rPr>
              <w:t>0.88</w:t>
            </w:r>
          </w:p>
        </w:tc>
        <w:tc>
          <w:tcPr>
            <w:tcW w:type="dxa" w:w="1728"/>
          </w:tcPr>
          <w:p>
            <w:pPr>
              <w:jc w:val="center"/>
            </w:pPr>
            <w:r/>
            <w:r>
              <w:rPr>
                <w:rFonts w:ascii="Times New Roman" w:hAnsi="Times New Roman"/>
                <w:sz w:val="24"/>
              </w:rPr>
              <w:t>0.87</w:t>
            </w:r>
          </w:p>
        </w:tc>
        <w:tc>
          <w:tcPr>
            <w:tcW w:type="dxa" w:w="1728"/>
          </w:tcPr>
          <w:p>
            <w:pPr>
              <w:jc w:val="center"/>
            </w:pPr>
            <w:r/>
            <w:r>
              <w:rPr>
                <w:rFonts w:ascii="Times New Roman" w:hAnsi="Times New Roman"/>
                <w:sz w:val="24"/>
              </w:rPr>
              <w:t>0.87</w:t>
            </w:r>
          </w:p>
        </w:tc>
        <w:tc>
          <w:tcPr>
            <w:tcW w:type="dxa" w:w="1728"/>
          </w:tcPr>
          <w:p>
            <w:pPr>
              <w:jc w:val="center"/>
            </w:pPr>
            <w:r/>
            <w:r>
              <w:rPr>
                <w:rFonts w:ascii="Times New Roman" w:hAnsi="Times New Roman"/>
                <w:sz w:val="24"/>
              </w:rPr>
              <w:t>1599</w:t>
            </w:r>
          </w:p>
        </w:tc>
      </w:tr>
    </w:tbl>
    <w:p>
      <w:r>
        <w:rPr>
          <w:rFonts w:ascii="Times New Roman" w:hAnsi="Times New Roman"/>
          <w:b/>
          <w:sz w:val="26"/>
        </w:rPr>
        <w:t>Nhận xét chi tiết:</w:t>
      </w:r>
    </w:p>
    <w:p>
      <w:pPr>
        <w:pStyle w:val="ListBullet"/>
      </w:pPr>
      <w:r>
        <w:rPr>
          <w:rFonts w:ascii="Times New Roman" w:hAnsi="Times New Roman"/>
          <w:b/>
          <w:sz w:val="26"/>
        </w:rPr>
        <w:t>Nhóm ngành nhận diện tốt nhất:</w:t>
      </w:r>
      <w:r>
        <w:rPr>
          <w:rFonts w:ascii="Times New Roman" w:hAnsi="Times New Roman"/>
          <w:sz w:val="26"/>
        </w:rPr>
        <w:t xml:space="preserve"> "Ngôn ngữ &amp; Văn hóa" vươn lên dẫn đầu (F1 = 0.94) cùng "Kinh tế &amp; Quản lý", "Sư phạm &amp; Giáo dục" (F1 = 0.92). Đây là các khối ngành có sự rạch ròi về cả mặt điểm số năng lực (ví dụ: Ngôn ngữ yêu cầu điểm Tiếng Anh cao vượt trội) lẫn tính cách MBTI đặc thù.</w:t>
      </w:r>
    </w:p>
    <w:p>
      <w:pPr>
        <w:pStyle w:val="ListBullet"/>
      </w:pPr>
      <w:r>
        <w:rPr>
          <w:rFonts w:ascii="Times New Roman" w:hAnsi="Times New Roman"/>
          <w:b/>
          <w:sz w:val="26"/>
        </w:rPr>
        <w:t>Nhóm ngành dễ nhầm lẫn nhất:</w:t>
      </w:r>
      <w:r>
        <w:rPr>
          <w:rFonts w:ascii="Times New Roman" w:hAnsi="Times New Roman"/>
          <w:sz w:val="26"/>
        </w:rPr>
        <w:t xml:space="preserve"> "Kỹ thuật, Cơ khí &amp; Ô tô" và "Xây dựng &amp; Quy hoạch" đều ghi nhận mức F1-Score thấp nhất là 0.76. Nguyên nhân xuất phát từ việc hai nhóm này chia sẻ không gian đặc trưng rất giống nhau (cùng đòi hỏi tư duy Logic, điểm Toán và Vật lý cao), dẫn đến việc bộ phân lớp gặp đôi chút khó khăn trong việc thiết lập ranh giới quyết định.</w:t>
      </w:r>
    </w:p>
    <w:p>
      <w:pPr>
        <w:pStyle w:val="ListBullet"/>
      </w:pPr>
    </w:p>
    <w:p>
      <w:pPr>
        <w:pStyle w:val="Heading2"/>
      </w:pPr>
      <w:r>
        <w:rPr>
          <w:rFonts w:ascii="Times New Roman" w:hAnsi="Times New Roman"/>
          <w:color w:val="000000"/>
        </w:rPr>
        <w:t>4. Tối ưu siêu tham số (Hyperparameter Tuning)</w:t>
      </w:r>
    </w:p>
    <w:p>
      <w:r>
        <w:rPr>
          <w:rFonts w:ascii="Times New Roman" w:hAnsi="Times New Roman"/>
          <w:sz w:val="26"/>
        </w:rPr>
        <w:t>Nhằm tìm ra cấu trúc cây tối ưu và ngăn ngừa việc mô hình học vẹt (Memorization), Random Forest được tinh chỉnh bằng thuật toán Tìm kiếm dạng lưới (GridSearchCV) kết hợp Kiểm định chéo 5 vòng (5-Fold Cross Validation). Hàm mục tiêu dùng để đánh giá là f1_macro.</w:t>
      </w:r>
    </w:p>
    <w:p>
      <w:r>
        <w:rPr>
          <w:rFonts w:ascii="Times New Roman" w:hAnsi="Times New Roman"/>
          <w:b/>
          <w:sz w:val="26"/>
        </w:rPr>
        <w:t>Bảng 4.6. Không gian tìm kiếm siêu tham số cho Random Forest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4"/>
              </w:rPr>
              <w:t>Siêu tham số</w:t>
            </w:r>
          </w:p>
        </w:tc>
        <w:tc>
          <w:tcPr>
            <w:tcW w:type="dxa" w:w="2880"/>
          </w:tcPr>
          <w:p>
            <w:pPr>
              <w:jc w:val="center"/>
            </w:pPr>
            <w:r/>
            <w:r>
              <w:rPr>
                <w:rFonts w:ascii="Times New Roman" w:hAnsi="Times New Roman"/>
                <w:b/>
                <w:sz w:val="24"/>
              </w:rPr>
              <w:t>Ý nghĩa</w:t>
            </w:r>
          </w:p>
        </w:tc>
        <w:tc>
          <w:tcPr>
            <w:tcW w:type="dxa" w:w="2880"/>
          </w:tcPr>
          <w:p>
            <w:pPr>
              <w:jc w:val="center"/>
            </w:pPr>
            <w:r/>
            <w:r>
              <w:rPr>
                <w:rFonts w:ascii="Times New Roman" w:hAnsi="Times New Roman"/>
                <w:b/>
                <w:sz w:val="24"/>
              </w:rPr>
              <w:t>Các giá trị thử nghiệm</w:t>
            </w:r>
          </w:p>
        </w:tc>
      </w:tr>
      <w:tr>
        <w:tc>
          <w:tcPr>
            <w:tcW w:type="dxa" w:w="2880"/>
          </w:tcPr>
          <w:p>
            <w:pPr>
              <w:jc w:val="center"/>
            </w:pPr>
            <w:r/>
            <w:r>
              <w:rPr>
                <w:rFonts w:ascii="Times New Roman" w:hAnsi="Times New Roman"/>
                <w:sz w:val="24"/>
              </w:rPr>
              <w:t>n_estimators</w:t>
            </w:r>
          </w:p>
        </w:tc>
        <w:tc>
          <w:tcPr>
            <w:tcW w:type="dxa" w:w="2880"/>
          </w:tcPr>
          <w:p>
            <w:pPr>
              <w:jc w:val="center"/>
            </w:pPr>
            <w:r/>
            <w:r>
              <w:rPr>
                <w:rFonts w:ascii="Times New Roman" w:hAnsi="Times New Roman"/>
                <w:sz w:val="24"/>
              </w:rPr>
              <w:t>Số lượng cây quyết định</w:t>
            </w:r>
          </w:p>
        </w:tc>
        <w:tc>
          <w:tcPr>
            <w:tcW w:type="dxa" w:w="2880"/>
          </w:tcPr>
          <w:p>
            <w:pPr>
              <w:jc w:val="center"/>
            </w:pPr>
            <w:r/>
            <w:r>
              <w:rPr>
                <w:rFonts w:ascii="Times New Roman" w:hAnsi="Times New Roman"/>
                <w:sz w:val="24"/>
              </w:rPr>
              <w:t>100, 200</w:t>
            </w:r>
          </w:p>
        </w:tc>
      </w:tr>
      <w:tr>
        <w:tc>
          <w:tcPr>
            <w:tcW w:type="dxa" w:w="2880"/>
          </w:tcPr>
          <w:p>
            <w:pPr>
              <w:jc w:val="center"/>
            </w:pPr>
            <w:r/>
            <w:r>
              <w:rPr>
                <w:rFonts w:ascii="Times New Roman" w:hAnsi="Times New Roman"/>
                <w:sz w:val="24"/>
              </w:rPr>
              <w:t>max_depth</w:t>
            </w:r>
          </w:p>
        </w:tc>
        <w:tc>
          <w:tcPr>
            <w:tcW w:type="dxa" w:w="2880"/>
          </w:tcPr>
          <w:p>
            <w:pPr>
              <w:jc w:val="center"/>
            </w:pPr>
            <w:r/>
            <w:r>
              <w:rPr>
                <w:rFonts w:ascii="Times New Roman" w:hAnsi="Times New Roman"/>
                <w:sz w:val="24"/>
              </w:rPr>
              <w:t>Độ sâu tối đa của mỗi cây</w:t>
            </w:r>
          </w:p>
        </w:tc>
        <w:tc>
          <w:tcPr>
            <w:tcW w:type="dxa" w:w="2880"/>
          </w:tcPr>
          <w:p>
            <w:pPr>
              <w:jc w:val="center"/>
            </w:pPr>
            <w:r/>
            <w:r>
              <w:rPr>
                <w:rFonts w:ascii="Times New Roman" w:hAnsi="Times New Roman"/>
                <w:sz w:val="24"/>
              </w:rPr>
              <w:t>8, 12, 16</w:t>
            </w:r>
          </w:p>
        </w:tc>
      </w:tr>
      <w:tr>
        <w:tc>
          <w:tcPr>
            <w:tcW w:type="dxa" w:w="2880"/>
          </w:tcPr>
          <w:p>
            <w:pPr>
              <w:jc w:val="center"/>
            </w:pPr>
            <w:r/>
            <w:r>
              <w:rPr>
                <w:rFonts w:ascii="Times New Roman" w:hAnsi="Times New Roman"/>
                <w:sz w:val="24"/>
              </w:rPr>
              <w:t>min_samples_split</w:t>
            </w:r>
          </w:p>
        </w:tc>
        <w:tc>
          <w:tcPr>
            <w:tcW w:type="dxa" w:w="2880"/>
          </w:tcPr>
          <w:p>
            <w:pPr>
              <w:jc w:val="center"/>
            </w:pPr>
            <w:r/>
            <w:r>
              <w:rPr>
                <w:rFonts w:ascii="Times New Roman" w:hAnsi="Times New Roman"/>
                <w:sz w:val="24"/>
              </w:rPr>
              <w:t>Số mẫu tối thiểu để tách nút</w:t>
            </w:r>
          </w:p>
        </w:tc>
        <w:tc>
          <w:tcPr>
            <w:tcW w:type="dxa" w:w="2880"/>
          </w:tcPr>
          <w:p>
            <w:pPr>
              <w:jc w:val="center"/>
            </w:pPr>
            <w:r/>
            <w:r>
              <w:rPr>
                <w:rFonts w:ascii="Times New Roman" w:hAnsi="Times New Roman"/>
                <w:sz w:val="24"/>
              </w:rPr>
              <w:t>10, 15, 20</w:t>
            </w:r>
          </w:p>
        </w:tc>
      </w:tr>
      <w:tr>
        <w:tc>
          <w:tcPr>
            <w:tcW w:type="dxa" w:w="2880"/>
          </w:tcPr>
          <w:p>
            <w:pPr>
              <w:jc w:val="center"/>
            </w:pPr>
            <w:r/>
            <w:r>
              <w:rPr>
                <w:rFonts w:ascii="Times New Roman" w:hAnsi="Times New Roman"/>
                <w:sz w:val="24"/>
              </w:rPr>
              <w:t>min_samples_leaf</w:t>
            </w:r>
          </w:p>
        </w:tc>
        <w:tc>
          <w:tcPr>
            <w:tcW w:type="dxa" w:w="2880"/>
          </w:tcPr>
          <w:p>
            <w:pPr>
              <w:jc w:val="center"/>
            </w:pPr>
            <w:r/>
            <w:r>
              <w:rPr>
                <w:rFonts w:ascii="Times New Roman" w:hAnsi="Times New Roman"/>
                <w:sz w:val="24"/>
              </w:rPr>
              <w:t>Số mẫu tối thiểu ở nút lá</w:t>
            </w:r>
          </w:p>
        </w:tc>
        <w:tc>
          <w:tcPr>
            <w:tcW w:type="dxa" w:w="2880"/>
          </w:tcPr>
          <w:p>
            <w:pPr>
              <w:jc w:val="center"/>
            </w:pPr>
            <w:r/>
            <w:r>
              <w:rPr>
                <w:rFonts w:ascii="Times New Roman" w:hAnsi="Times New Roman"/>
                <w:sz w:val="24"/>
              </w:rPr>
              <w:t>4, 6, 8</w:t>
            </w:r>
          </w:p>
        </w:tc>
      </w:tr>
    </w:tbl>
    <w:p>
      <w:r>
        <w:rPr>
          <w:rFonts w:ascii="Times New Roman" w:hAnsi="Times New Roman"/>
          <w:sz w:val="26"/>
        </w:rPr>
        <w:t>Quá trình quét qua không gian bao gồm 2 × 3 × 3 × 3 = 54 tổ hợp tham số. Với mỗi tổ hợp được chạy kiểm định chéo 5 lần, tổng cộng hệ thống đã thực hiện 270 vòng huấn luyện.</w:t>
      </w:r>
    </w:p>
    <w:p>
      <w:r>
        <w:rPr>
          <w:rFonts w:ascii="Times New Roman" w:hAnsi="Times New Roman"/>
          <w:sz w:val="26"/>
        </w:rPr>
        <w:t>Dựa trên điểm số F1 cao nhất trên tập Validation, bộ siêu tham số tốt nhất được thuật toán tự động xác định là:</w:t>
      </w:r>
    </w:p>
    <w:p>
      <w:r>
        <w:rPr>
          <w:rFonts w:ascii="Times New Roman" w:hAnsi="Times New Roman"/>
          <w:b/>
          <w:sz w:val="26"/>
        </w:rPr>
        <w:t>Bảng 4.6b. Bộ siêu tham số tối ưu</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Siêu tham số</w:t>
            </w:r>
          </w:p>
        </w:tc>
        <w:tc>
          <w:tcPr>
            <w:tcW w:type="dxa" w:w="4320"/>
          </w:tcPr>
          <w:p>
            <w:pPr>
              <w:jc w:val="center"/>
            </w:pPr>
            <w:r/>
            <w:r>
              <w:rPr>
                <w:rFonts w:ascii="Times New Roman" w:hAnsi="Times New Roman"/>
                <w:b/>
                <w:sz w:val="24"/>
              </w:rPr>
              <w:t>Giá trị tối ưu</w:t>
            </w:r>
          </w:p>
        </w:tc>
      </w:tr>
      <w:tr>
        <w:tc>
          <w:tcPr>
            <w:tcW w:type="dxa" w:w="4320"/>
          </w:tcPr>
          <w:p>
            <w:pPr>
              <w:jc w:val="center"/>
            </w:pPr>
            <w:r/>
            <w:r>
              <w:rPr>
                <w:rFonts w:ascii="Times New Roman" w:hAnsi="Times New Roman"/>
                <w:sz w:val="24"/>
              </w:rPr>
              <w:t>max_depth</w:t>
            </w:r>
          </w:p>
        </w:tc>
        <w:tc>
          <w:tcPr>
            <w:tcW w:type="dxa" w:w="4320"/>
          </w:tcPr>
          <w:p>
            <w:pPr>
              <w:jc w:val="center"/>
            </w:pPr>
            <w:r/>
            <w:r>
              <w:rPr>
                <w:rFonts w:ascii="Times New Roman" w:hAnsi="Times New Roman"/>
                <w:sz w:val="24"/>
              </w:rPr>
              <w:t>16</w:t>
            </w:r>
          </w:p>
        </w:tc>
      </w:tr>
      <w:tr>
        <w:tc>
          <w:tcPr>
            <w:tcW w:type="dxa" w:w="4320"/>
          </w:tcPr>
          <w:p>
            <w:pPr>
              <w:jc w:val="center"/>
            </w:pPr>
            <w:r/>
            <w:r>
              <w:rPr>
                <w:rFonts w:ascii="Times New Roman" w:hAnsi="Times New Roman"/>
                <w:sz w:val="24"/>
              </w:rPr>
              <w:t>min_samples_leaf</w:t>
            </w:r>
          </w:p>
        </w:tc>
        <w:tc>
          <w:tcPr>
            <w:tcW w:type="dxa" w:w="4320"/>
          </w:tcPr>
          <w:p>
            <w:pPr>
              <w:jc w:val="center"/>
            </w:pPr>
            <w:r/>
            <w:r>
              <w:rPr>
                <w:rFonts w:ascii="Times New Roman" w:hAnsi="Times New Roman"/>
                <w:sz w:val="24"/>
              </w:rPr>
              <w:t>4</w:t>
            </w:r>
          </w:p>
        </w:tc>
      </w:tr>
      <w:tr>
        <w:tc>
          <w:tcPr>
            <w:tcW w:type="dxa" w:w="4320"/>
          </w:tcPr>
          <w:p>
            <w:pPr>
              <w:jc w:val="center"/>
            </w:pPr>
            <w:r/>
            <w:r>
              <w:rPr>
                <w:rFonts w:ascii="Times New Roman" w:hAnsi="Times New Roman"/>
                <w:sz w:val="24"/>
              </w:rPr>
              <w:t>min_samples_split</w:t>
            </w:r>
          </w:p>
        </w:tc>
        <w:tc>
          <w:tcPr>
            <w:tcW w:type="dxa" w:w="4320"/>
          </w:tcPr>
          <w:p>
            <w:pPr>
              <w:jc w:val="center"/>
            </w:pPr>
            <w:r/>
            <w:r>
              <w:rPr>
                <w:rFonts w:ascii="Times New Roman" w:hAnsi="Times New Roman"/>
                <w:sz w:val="24"/>
              </w:rPr>
              <w:t>15</w:t>
            </w:r>
          </w:p>
        </w:tc>
      </w:tr>
      <w:tr>
        <w:tc>
          <w:tcPr>
            <w:tcW w:type="dxa" w:w="4320"/>
          </w:tcPr>
          <w:p>
            <w:pPr>
              <w:jc w:val="center"/>
            </w:pPr>
            <w:r/>
            <w:r>
              <w:rPr>
                <w:rFonts w:ascii="Times New Roman" w:hAnsi="Times New Roman"/>
                <w:sz w:val="24"/>
              </w:rPr>
              <w:t>n_estimators</w:t>
            </w:r>
          </w:p>
        </w:tc>
        <w:tc>
          <w:tcPr>
            <w:tcW w:type="dxa" w:w="4320"/>
          </w:tcPr>
          <w:p>
            <w:pPr>
              <w:jc w:val="center"/>
            </w:pPr>
            <w:r/>
            <w:r>
              <w:rPr>
                <w:rFonts w:ascii="Times New Roman" w:hAnsi="Times New Roman"/>
                <w:sz w:val="24"/>
              </w:rPr>
              <w:t>200</w:t>
            </w:r>
          </w:p>
        </w:tc>
      </w:tr>
    </w:tbl>
    <w:p>
      <w:r>
        <w:rPr>
          <w:rFonts w:ascii="Times New Roman" w:hAnsi="Times New Roman"/>
          <w:sz w:val="26"/>
        </w:rPr>
        <w:t>Cấu hình này đã thiết lập thành công trạng thái cân bằng lý tưởng (Bias-Variance Tradeoff) cho hệ thống gợi ý chuyên ngành.</w:t>
      </w:r>
    </w:p>
    <w:p>
      <w:pPr>
        <w:pStyle w:val="Heading2"/>
      </w:pPr>
      <w:r>
        <w:rPr>
          <w:rFonts w:ascii="Times New Roman" w:hAnsi="Times New Roman"/>
          <w:color w:val="000000"/>
        </w:rPr>
        <w:t>5. Kiểm định độ tin cậy bằng K-Fold Cross Validation</w:t>
      </w:r>
    </w:p>
    <w:p>
      <w:r>
        <w:rPr>
          <w:rFonts w:ascii="Times New Roman" w:hAnsi="Times New Roman"/>
          <w:sz w:val="26"/>
        </w:rPr>
        <w:t>Để đánh giá tính ổn định và khả năng tổng quát hóa của mô hình Random Forest trên nhiều phân phối dữ liệu khác nhau, hệ thống thực hiện kiểm định chéo phân tầng (Stratified K-Fold Cross Validation) với K=5.</w:t>
      </w:r>
    </w:p>
    <w:p>
      <w:r>
        <w:rPr>
          <w:rFonts w:ascii="Times New Roman" w:hAnsi="Times New Roman"/>
          <w:b/>
          <w:sz w:val="26"/>
        </w:rPr>
        <w:t>Bảng 4.7. Kết quả kiểm định chéo 5 vòng (5-Fold Cross Validation)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Vòng (Fold)</w:t>
            </w:r>
          </w:p>
        </w:tc>
        <w:tc>
          <w:tcPr>
            <w:tcW w:type="dxa" w:w="4320"/>
          </w:tcPr>
          <w:p>
            <w:pPr>
              <w:jc w:val="center"/>
            </w:pPr>
            <w:r/>
            <w:r>
              <w:rPr>
                <w:rFonts w:ascii="Times New Roman" w:hAnsi="Times New Roman"/>
                <w:b/>
                <w:sz w:val="24"/>
              </w:rPr>
              <w:t>Accuracy</w:t>
            </w:r>
          </w:p>
        </w:tc>
      </w:tr>
      <w:tr>
        <w:tc>
          <w:tcPr>
            <w:tcW w:type="dxa" w:w="4320"/>
          </w:tcPr>
          <w:p>
            <w:pPr>
              <w:jc w:val="center"/>
            </w:pPr>
            <w:r/>
            <w:r>
              <w:rPr>
                <w:rFonts w:ascii="Times New Roman" w:hAnsi="Times New Roman"/>
                <w:sz w:val="24"/>
              </w:rPr>
              <w:t>1</w:t>
            </w:r>
          </w:p>
        </w:tc>
        <w:tc>
          <w:tcPr>
            <w:tcW w:type="dxa" w:w="4320"/>
          </w:tcPr>
          <w:p>
            <w:pPr>
              <w:jc w:val="center"/>
            </w:pPr>
            <w:r/>
            <w:r>
              <w:rPr>
                <w:rFonts w:ascii="Times New Roman" w:hAnsi="Times New Roman"/>
                <w:sz w:val="24"/>
              </w:rPr>
              <w:t>87.99%</w:t>
            </w:r>
          </w:p>
        </w:tc>
      </w:tr>
      <w:tr>
        <w:tc>
          <w:tcPr>
            <w:tcW w:type="dxa" w:w="4320"/>
          </w:tcPr>
          <w:p>
            <w:pPr>
              <w:jc w:val="center"/>
            </w:pPr>
            <w:r/>
            <w:r>
              <w:rPr>
                <w:rFonts w:ascii="Times New Roman" w:hAnsi="Times New Roman"/>
                <w:sz w:val="24"/>
              </w:rPr>
              <w:t>2</w:t>
            </w:r>
          </w:p>
        </w:tc>
        <w:tc>
          <w:tcPr>
            <w:tcW w:type="dxa" w:w="4320"/>
          </w:tcPr>
          <w:p>
            <w:pPr>
              <w:jc w:val="center"/>
            </w:pPr>
            <w:r/>
            <w:r>
              <w:rPr>
                <w:rFonts w:ascii="Times New Roman" w:hAnsi="Times New Roman"/>
                <w:sz w:val="24"/>
              </w:rPr>
              <w:t>88.31%</w:t>
            </w:r>
          </w:p>
        </w:tc>
      </w:tr>
      <w:tr>
        <w:tc>
          <w:tcPr>
            <w:tcW w:type="dxa" w:w="4320"/>
          </w:tcPr>
          <w:p>
            <w:pPr>
              <w:jc w:val="center"/>
            </w:pPr>
            <w:r/>
            <w:r>
              <w:rPr>
                <w:rFonts w:ascii="Times New Roman" w:hAnsi="Times New Roman"/>
                <w:sz w:val="24"/>
              </w:rPr>
              <w:t>3</w:t>
            </w:r>
          </w:p>
        </w:tc>
        <w:tc>
          <w:tcPr>
            <w:tcW w:type="dxa" w:w="4320"/>
          </w:tcPr>
          <w:p>
            <w:pPr>
              <w:jc w:val="center"/>
            </w:pPr>
            <w:r/>
            <w:r>
              <w:rPr>
                <w:rFonts w:ascii="Times New Roman" w:hAnsi="Times New Roman"/>
                <w:sz w:val="24"/>
              </w:rPr>
              <w:t>88.61%</w:t>
            </w:r>
          </w:p>
        </w:tc>
      </w:tr>
      <w:tr>
        <w:tc>
          <w:tcPr>
            <w:tcW w:type="dxa" w:w="4320"/>
          </w:tcPr>
          <w:p>
            <w:pPr>
              <w:jc w:val="center"/>
            </w:pPr>
            <w:r/>
            <w:r>
              <w:rPr>
                <w:rFonts w:ascii="Times New Roman" w:hAnsi="Times New Roman"/>
                <w:sz w:val="24"/>
              </w:rPr>
              <w:t>4</w:t>
            </w:r>
          </w:p>
        </w:tc>
        <w:tc>
          <w:tcPr>
            <w:tcW w:type="dxa" w:w="4320"/>
          </w:tcPr>
          <w:p>
            <w:pPr>
              <w:jc w:val="center"/>
            </w:pPr>
            <w:r/>
            <w:r>
              <w:rPr>
                <w:rFonts w:ascii="Times New Roman" w:hAnsi="Times New Roman"/>
                <w:sz w:val="24"/>
              </w:rPr>
              <w:t>87.73%</w:t>
            </w:r>
          </w:p>
        </w:tc>
      </w:tr>
      <w:tr>
        <w:tc>
          <w:tcPr>
            <w:tcW w:type="dxa" w:w="4320"/>
          </w:tcPr>
          <w:p>
            <w:pPr>
              <w:jc w:val="center"/>
            </w:pPr>
            <w:r/>
            <w:r>
              <w:rPr>
                <w:rFonts w:ascii="Times New Roman" w:hAnsi="Times New Roman"/>
                <w:sz w:val="24"/>
              </w:rPr>
              <w:t>5</w:t>
            </w:r>
          </w:p>
        </w:tc>
        <w:tc>
          <w:tcPr>
            <w:tcW w:type="dxa" w:w="4320"/>
          </w:tcPr>
          <w:p>
            <w:pPr>
              <w:jc w:val="center"/>
            </w:pPr>
            <w:r/>
            <w:r>
              <w:rPr>
                <w:rFonts w:ascii="Times New Roman" w:hAnsi="Times New Roman"/>
                <w:sz w:val="24"/>
              </w:rPr>
              <w:t>86.17%</w:t>
            </w:r>
          </w:p>
        </w:tc>
      </w:tr>
      <w:tr>
        <w:tc>
          <w:tcPr>
            <w:tcW w:type="dxa" w:w="4320"/>
          </w:tcPr>
          <w:p>
            <w:pPr>
              <w:jc w:val="center"/>
            </w:pPr>
            <w:r/>
            <w:r>
              <w:rPr>
                <w:rFonts w:ascii="Times New Roman" w:hAnsi="Times New Roman"/>
                <w:sz w:val="24"/>
              </w:rPr>
              <w:t>Trung bình (Mean)</w:t>
            </w:r>
          </w:p>
        </w:tc>
        <w:tc>
          <w:tcPr>
            <w:tcW w:type="dxa" w:w="4320"/>
          </w:tcPr>
          <w:p>
            <w:pPr>
              <w:jc w:val="center"/>
            </w:pPr>
            <w:r/>
            <w:r>
              <w:rPr>
                <w:rFonts w:ascii="Times New Roman" w:hAnsi="Times New Roman"/>
                <w:sz w:val="24"/>
              </w:rPr>
              <w:t>87.76%</w:t>
            </w:r>
          </w:p>
        </w:tc>
      </w:tr>
      <w:tr>
        <w:tc>
          <w:tcPr>
            <w:tcW w:type="dxa" w:w="4320"/>
          </w:tcPr>
          <w:p>
            <w:pPr>
              <w:jc w:val="center"/>
            </w:pPr>
            <w:r/>
            <w:r>
              <w:rPr>
                <w:rFonts w:ascii="Times New Roman" w:hAnsi="Times New Roman"/>
                <w:sz w:val="24"/>
              </w:rPr>
              <w:t>Độ lệch chuẩn (Std)</w:t>
            </w:r>
          </w:p>
        </w:tc>
        <w:tc>
          <w:tcPr>
            <w:tcW w:type="dxa" w:w="4320"/>
          </w:tcPr>
          <w:p>
            <w:pPr>
              <w:jc w:val="center"/>
            </w:pPr>
            <w:r/>
            <w:r>
              <w:rPr>
                <w:rFonts w:ascii="Times New Roman" w:hAnsi="Times New Roman"/>
                <w:sz w:val="24"/>
              </w:rPr>
              <w:t>±0.85%</w:t>
            </w:r>
          </w:p>
        </w:tc>
      </w:tr>
    </w:tbl>
    <w:p>
      <w:r>
        <w:rPr>
          <w:rFonts w:ascii="Times New Roman" w:hAnsi="Times New Roman"/>
          <w:b/>
          <w:sz w:val="26"/>
        </w:rPr>
        <w:t>Nhận xét:</w:t>
      </w:r>
    </w:p>
    <w:p>
      <w:r>
        <w:rPr>
          <w:rFonts w:ascii="Times New Roman" w:hAnsi="Times New Roman"/>
          <w:sz w:val="26"/>
        </w:rPr>
        <w:t>Độ lệch chuẩn cực nhỏ (σ = 0.85%) cho thấy mô hình có tính ổn định rất cao. Kết quả dự đoán luôn dao động đều đặn trong khoảng hẹp 86.17% – 88.61% bất kể dữ liệu được phân chia ngẫu nhiên theo cách nào. Điều này chứng minh mô hình không bị phụ thuộc vào một phân phối dữ liệu cố định (không xảy ra hiện tượng Data Bias) và hoàn toàn đủ tin cậy để triển khai trong hệ thống tư vấn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