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ROI &amp; BUSINESS CASE</w:t>
      </w:r>
    </w:p>
    <w:p>
      <w:pPr>
        <w:jc w:val="center"/>
      </w:pPr>
      <w:r>
        <w:rPr>
          <w:rFonts w:ascii="Arial" w:hAnsi="Arial"/>
          <w:color w:val="6B7280"/>
          <w:sz w:val="22"/>
        </w:rPr>
        <w:t>Phân Tích Lợi Nhuận Đầu Tư — Hotel Management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BEAFE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Ví dụ tính toán dựa trên: Khách sạn 50 phòng, ADR 800.000 đ, công suất 70%, 30 ngày/tháng.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1. Tiết Kiệm Chi Phí Hoa Hồng 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25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2551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Trước HMS</w:t>
            </w:r>
          </w:p>
        </w:tc>
        <w:tc>
          <w:tcPr>
            <w:tcW w:type="dxa" w:w="2551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Sau HMS (6 tháng)</w:t>
            </w:r>
          </w:p>
        </w:tc>
      </w:tr>
      <w:tr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% booking qua OTA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80%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50%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% booking qua portal riêng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0%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30%</w:t>
            </w:r>
          </w:p>
        </w:tc>
      </w:tr>
      <w:tr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Hoa hồng OTA trung bình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20%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Doanh thu/tháng (50 phòng, 70% occ, 800K ADR)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840.000.000 đ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840.000.000 đ</w:t>
            </w:r>
          </w:p>
        </w:tc>
      </w:tr>
      <w:tr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Hoa hồng OTA phải trả/tháng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134.400.000 đ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84.000.000 đ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Tiết kiệm hoa hồng/tháng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50.400.000 đ</w:t>
            </w:r>
          </w:p>
        </w:tc>
      </w:tr>
      <w:tr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Tiết kiệm hoa hồng/năm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604.800.000 đ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2. Tiết Kiệm Chi Phí Nhân Sự (Kiosk tự phục vụ)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2551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Trước HMS</w:t>
            </w:r>
          </w:p>
        </w:tc>
        <w:tc>
          <w:tcPr>
            <w:tcW w:type="dxa" w:w="2551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Sau HMS</w:t>
            </w:r>
          </w:p>
        </w:tc>
      </w:tr>
      <w:tr>
        <w:tc>
          <w:tcPr>
            <w:tcW w:type="dxa" w:w="45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Nhân viên lễ tân ca đêm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 người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 người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Lương/người/tháng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8.000.000 đ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8.000.000 đ</w:t>
            </w:r>
          </w:p>
        </w:tc>
      </w:tr>
      <w:tr>
        <w:tc>
          <w:tcPr>
            <w:tcW w:type="dxa" w:w="45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Tiết kiệm nhân sự/tháng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8.000.000 đ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Tiết kiệm nhân sự/năm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96.000.000 đ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3. Tổng Hợp ROI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8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Năm 1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Năm 2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Năm 3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Tiết kiệm hoa hồng OTA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604.800.000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604.800.000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604.800.000 đ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Tiết kiệm nhân sự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96.000.000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96.000.000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96.000.000 đ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Chi phí HMS (Professional)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-107.000.000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-42.000.000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-42.000.000 đ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Lợi nhuận ròng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593.800.000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658.800.000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658.800.000 đ</w:t>
            </w:r>
          </w:p>
        </w:tc>
      </w:tr>
      <w:tr>
        <w:tc>
          <w:tcPr>
            <w:tcW w:type="dxa" w:w="368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ROI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555%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1.570%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2.585%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color w:val="6B7280"/>
          <w:sz w:val="20"/>
        </w:rPr>
        <w:t>Năm 1: 65M (triển khai) + 42M (12 tháng hỗ trợ) = 107M. Năm 2+: chỉ 42M/năm.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4. Thời Gian Hoàn Vốn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Ký hợp đồng</w:t>
              <w:br/>
              <w:t>Tháng 1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Triển khai</w:t>
              <w:br/>
              <w:t>Tháng 2–4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Bắt đầu tiết kiệm</w:t>
              <w:br/>
              <w:t>Tháng 5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Hoàn vốn</w:t>
              <w:br/>
              <w:t>Tháng 7–8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Lợi nhuận ròng</w:t>
              <w:br/>
              <w:t>Tháng 9+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  <w:t>Thời gian hoàn vốn trung bình: 3–5 tháng sau khi đi live.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5. Lợi Ích Không Định Lượng Được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Nâng cao trải nghiệm khách hàng — ít chờ đợi, check-in nhanh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Báo cáo real-time giúp quyết định nhanh, chính xác hơn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Giảm sai sót do thủ công (overbooking, nhập liệu sai, mất thông tin)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Dữ liệu khách hàng tập trung — cơ sở cho chương trình loyalty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Hình ảnh chuyên nghiệp khi có kiosk hiện đại tại khách sạn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