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b w:val="1"/>
          <w:bCs w:val="1"/>
          <w:sz w:val="24"/>
          <w:szCs w:val="24"/>
          <w:rtl w:val="0"/>
          <w:lang w:val="en-US"/>
        </w:rPr>
        <w:t>Artificial Intelligence in Personal Financial Planning: A Literature Survey</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[Author Names]</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i w:val="1"/>
          <w:iCs w:val="1"/>
          <w:sz w:val="18"/>
          <w:szCs w:val="18"/>
          <w:rtl w:val="0"/>
          <w:lang w:val="en-US"/>
        </w:rPr>
        <w:t>[Institution Name, Department]</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18"/>
          <w:szCs w:val="18"/>
          <w:rtl w:val="0"/>
          <w:lang w:val="en-US"/>
        </w:rPr>
        <w:t>Final Year Project: AI-Powered Personal Financial Planner  |  September 2026</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b w:val="1"/>
          <w:bCs w:val="1"/>
          <w:i w:val="1"/>
          <w:iCs w:val="1"/>
          <w:sz w:val="20"/>
          <w:szCs w:val="20"/>
          <w:rtl w:val="0"/>
          <w:lang w:val="de-DE"/>
        </w:rPr>
        <w:t>Abstract</w:t>
      </w:r>
      <w:r>
        <w:rPr>
          <w:rFonts w:ascii="Times New Roman" w:hAnsi="Times New Roman" w:hint="default"/>
          <w:b w:val="1"/>
          <w:bCs w:val="1"/>
          <w:i w:val="1"/>
          <w:iCs w:val="1"/>
          <w:sz w:val="20"/>
          <w:szCs w:val="20"/>
          <w:rtl w:val="0"/>
          <w:lang w:val="en-US"/>
        </w:rPr>
        <w:t>—</w:t>
      </w:r>
      <w:r>
        <w:rPr>
          <w:rFonts w:ascii="Times New Roman" w:hAnsi="Times New Roman"/>
          <w:i w:val="1"/>
          <w:iCs w:val="1"/>
          <w:sz w:val="20"/>
          <w:szCs w:val="20"/>
          <w:rtl w:val="0"/>
          <w:lang w:val="en-US"/>
        </w:rPr>
        <w:t>Robo-advisory assets under management were estimated at USD 1.8 trillion globally in 2023 and are projected to exceed USD 6 trillion by 2027 (Statista, 2024), and large language models such as GPT-4, BloombergGPT and FinGPT have begun to reshape how financial text is analysed and how investment advice is delivered. This survey reviews 22 papers published between 2023 and 2026 across five areas of that shift: large language models and natural language processing applied to financial data, AI-based stock market prediction, robo-advisory and automated portfolio management, cloud infrastructure for financial AI, and algorithmic trading. Sources were drawn from arXiv, the Journal of Financial Economics, Expert Systems with Applications, the Journal of Business Research, and IEEE conference proceedings. The review finds that the individual technical components of an AI financial planner are reasonably mature, but that no reviewed system integrates them end to end for retail users, particularly in emerging markets such as India. Explainability of AI-generated financial recommendations remains limited, multimodal data fusion is rarely validated together, and almost no study tracks robo-advisory outcomes over more than a year or two. These gaps motivate the design of the proposed FinAI Personal Financial Planner, which combines an LLM-based conversational interface with predictive analytics, portfolio optimisation and cloud-native deployment tailored to Indian retail investors.</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cs="Times New Roman" w:hAnsi="Times New Roman" w:eastAsia="Times New Roman"/>
          <w:i w:val="1"/>
          <w:iCs w:val="1"/>
          <w:sz w:val="20"/>
          <w:szCs w:val="20"/>
        </w:rPr>
      </w:pPr>
      <w:r>
        <w:rPr>
          <w:rFonts w:ascii="Times New Roman" w:hAnsi="Times New Roman"/>
          <w:b w:val="1"/>
          <w:bCs w:val="1"/>
          <w:i w:val="1"/>
          <w:iCs w:val="1"/>
          <w:sz w:val="20"/>
          <w:szCs w:val="20"/>
          <w:rtl w:val="0"/>
          <w:lang w:val="en-US"/>
        </w:rPr>
        <w:t>Keywords</w:t>
      </w:r>
      <w:r>
        <w:rPr>
          <w:rFonts w:ascii="Times New Roman" w:hAnsi="Times New Roman" w:hint="default"/>
          <w:b w:val="1"/>
          <w:bCs w:val="1"/>
          <w:i w:val="1"/>
          <w:iCs w:val="1"/>
          <w:sz w:val="20"/>
          <w:szCs w:val="20"/>
          <w:rtl w:val="0"/>
          <w:lang w:val="en-US"/>
        </w:rPr>
        <w:t>—</w:t>
      </w:r>
      <w:r>
        <w:rPr>
          <w:rFonts w:ascii="Times New Roman" w:hAnsi="Times New Roman"/>
          <w:i w:val="1"/>
          <w:iCs w:val="1"/>
          <w:sz w:val="20"/>
          <w:szCs w:val="20"/>
          <w:rtl w:val="0"/>
          <w:lang w:val="en-US"/>
        </w:rPr>
        <w:t>artificial intelligence, personal financial planning, large language models, robo-advisors, stock market prediction, portfolio management, fintech, natural language processing, cloud computing</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b w:val="1"/>
          <w:bCs w:val="1"/>
          <w:sz w:val="20"/>
          <w:szCs w:val="20"/>
          <w:rtl w:val="0"/>
          <w:lang w:val="en-US"/>
        </w:rPr>
        <w:t>I. INTRODUCTION</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Personal financial advice has traditionally been delivered by human planners working with static tools: spreadsheets, risk questionnaires, and periodic portfolio reviews. Over the past decade that model has started to change, as cheaper cloud computing, open financial data APIs and increasingly capable foundation models have made it possible to build automated systems that process large volumes of financial data, generate recommendations tailored to individual users, and respond to questions in plain language [1], [4].</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The scale of this shift is visible in the numbers. Robo-advisory assets under management reached an estimated USD 1.8 trillion in 2023 and are projected to exceed USD 6 trillion by 2027 (Statista, 2024). At the same time, large language models such as GPT-4, BloombergGPT and FinGPT have opened new possibilities in financial text analysis, conversational advisory, automated reporting and investment signal generation [1]</w:t>
      </w:r>
      <w:r>
        <w:rPr>
          <w:rFonts w:ascii="Times New Roman" w:hAnsi="Times New Roman" w:hint="default"/>
          <w:sz w:val="20"/>
          <w:szCs w:val="20"/>
          <w:rtl w:val="0"/>
          <w:lang w:val="en-US"/>
        </w:rPr>
        <w:t>–</w:t>
      </w:r>
      <w:r>
        <w:rPr>
          <w:rFonts w:ascii="Times New Roman" w:hAnsi="Times New Roman"/>
          <w:sz w:val="20"/>
          <w:szCs w:val="20"/>
          <w:rtl w:val="0"/>
          <w:lang w:val="en-US"/>
        </w:rPr>
        <w:t>[3]. India is a particularly relevant market for this technology: with over 100 million demat account holders as of 2024 and a fast-growing base of retail investors, there is a clear need for financial guidance systems built for the Indian context rather than adapted from Western products [19].</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Despite this momentum, no system in the reviewed literature combines a conversational natural-language interface, real-time market prediction and portfolio optimisation, risk-profile-aware robo-advisory logic, explainable recommendations, and a compliant cloud-native architecture into a single working product. Most existing systems address one or two of these pieces in isolation. Closing that integration gap is the central motivation for this survey and for the proposed FinAI Personal Financial Planner.</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b w:val="1"/>
          <w:bCs w:val="1"/>
          <w:i w:val="1"/>
          <w:iCs w:val="1"/>
          <w:sz w:val="20"/>
          <w:szCs w:val="20"/>
          <w:rtl w:val="0"/>
          <w:lang w:val="en-US"/>
        </w:rPr>
        <w:t>A. Motivation</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The FinAI system aims to give retail investors in India, many of whom have little access to professional financial advisors, a financial planning assistant that is personalised, understandable and trustworthy. This survey maps what is already known across the technology areas the system depends on: what has been demonstrated, where the gaps are, and which approaches look most promising for the system</w:t>
      </w:r>
      <w:r>
        <w:rPr>
          <w:rFonts w:ascii="Arial Unicode MS" w:hAnsi="Arial Unicode MS" w:hint="default"/>
          <w:sz w:val="20"/>
          <w:szCs w:val="20"/>
          <w:rtl w:val="0"/>
          <w:lang w:val="en-US"/>
        </w:rPr>
        <w:t>’</w:t>
      </w:r>
      <w:r>
        <w:rPr>
          <w:rFonts w:ascii="Times New Roman" w:hAnsi="Times New Roman"/>
          <w:sz w:val="20"/>
          <w:szCs w:val="20"/>
          <w:rtl w:val="0"/>
          <w:lang w:val="pt-PT"/>
        </w:rPr>
        <w:t>s design.</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b w:val="1"/>
          <w:bCs w:val="1"/>
          <w:i w:val="1"/>
          <w:iCs w:val="1"/>
          <w:sz w:val="20"/>
          <w:szCs w:val="20"/>
          <w:rtl w:val="0"/>
          <w:lang w:val="en-US"/>
        </w:rPr>
        <w:t>B. Objectives of the Survey</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1) Review and synthesise the existing literature on AI applications in personal finance across five key domains.</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2) Categorise and critically assess the methods, datasets and results reported across the 22 papers reviewed.</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3) Identify research gaps relevant to building an integrated AI personal financial planner.</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4) Propose a conceptual framework that draws the reviewed findings together.</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cs="Times New Roman" w:hAnsi="Times New Roman" w:eastAsia="Times New Roman"/>
          <w:sz w:val="20"/>
          <w:szCs w:val="20"/>
        </w:rPr>
      </w:pPr>
      <w:r>
        <w:rPr>
          <w:rFonts w:ascii="Times New Roman" w:hAnsi="Times New Roman"/>
          <w:sz w:val="20"/>
          <w:szCs w:val="20"/>
          <w:rtl w:val="0"/>
          <w:lang w:val="en-US"/>
        </w:rPr>
        <w:t>5) Provide the academic grounding for the design decisions made in the FinAI system.</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b w:val="1"/>
          <w:bCs w:val="1"/>
          <w:sz w:val="20"/>
          <w:szCs w:val="20"/>
          <w:rtl w:val="0"/>
          <w:lang w:val="en-US"/>
        </w:rPr>
        <w:t>II. SCOPE AND METHODOLOGY OF REVIEW</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b w:val="1"/>
          <w:bCs w:val="1"/>
          <w:i w:val="1"/>
          <w:iCs w:val="1"/>
          <w:sz w:val="20"/>
          <w:szCs w:val="20"/>
          <w:rtl w:val="0"/>
          <w:lang w:val="en-US"/>
        </w:rPr>
        <w:t>A. Review Protocol</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This survey follows a semi-systematic literature review methodology. Papers were sourced from two curated datasets compiled for this project, supplemented by forward and backward citation tracing. To be included, a paper had to appear in a peer-reviewed journal, conference proceedings or an established preprint archive (arXiv) between 2023 and 2026, and to address at least one of the five domains listed above.</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b w:val="1"/>
          <w:bCs w:val="1"/>
          <w:i w:val="1"/>
          <w:iCs w:val="1"/>
          <w:sz w:val="20"/>
          <w:szCs w:val="20"/>
          <w:rtl w:val="0"/>
          <w:lang w:val="en-US"/>
        </w:rPr>
        <w:t>B. Distribution of Reviewed Papers</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The 22 papers span five domains as summarised in Table I. Twelve of the 22 papers were published in 2024, which fits the timeline: GPT-4 and comparable models became widely available in 2023, and the bulk of LLM-focused financial research followed the year after.</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b w:val="1"/>
          <w:bCs w:val="1"/>
          <w:sz w:val="18"/>
          <w:szCs w:val="18"/>
          <w:rtl w:val="0"/>
          <w:lang w:val="en-US"/>
        </w:rPr>
        <w:t>TABLE I. DISTRIBUTION BY DOMAIN</w:t>
      </w:r>
    </w:p>
    <w:tbl>
      <w:tblPr>
        <w:tblW w:w="52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1200"/>
        <w:gridCol w:w="1200"/>
      </w:tblGrid>
      <w:tr>
        <w:tblPrEx>
          <w:shd w:val="clear" w:color="auto" w:fill="ced7e7"/>
        </w:tblPrEx>
        <w:trPr>
          <w:trHeight w:val="193"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b w:val="1"/>
                <w:bCs w:val="1"/>
                <w:sz w:val="16"/>
                <w:szCs w:val="16"/>
                <w:shd w:val="nil" w:color="auto" w:fill="auto"/>
                <w:rtl w:val="0"/>
                <w:lang w:val="fr-FR"/>
              </w:rPr>
              <w:t>Domain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s>
            </w:pPr>
            <w:r>
              <w:rPr>
                <w:rFonts w:ascii="Times New Roman" w:hAnsi="Times New Roman"/>
                <w:b w:val="1"/>
                <w:bCs w:val="1"/>
                <w:sz w:val="16"/>
                <w:szCs w:val="16"/>
                <w:shd w:val="nil" w:color="auto" w:fill="auto"/>
                <w:rtl w:val="0"/>
                <w:lang w:val="en-US"/>
              </w:rPr>
              <w:t>Papers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s>
            </w:pPr>
            <w:r>
              <w:rPr>
                <w:rFonts w:ascii="Times New Roman" w:hAnsi="Times New Roman"/>
                <w:b w:val="1"/>
                <w:bCs w:val="1"/>
                <w:sz w:val="16"/>
                <w:szCs w:val="16"/>
                <w:shd w:val="nil" w:color="auto" w:fill="auto"/>
                <w:rtl w:val="0"/>
                <w:lang w:val="en-US"/>
              </w:rPr>
              <w:t>% of Total</w:t>
            </w:r>
          </w:p>
        </w:tc>
      </w:tr>
      <w:tr>
        <w:tblPrEx>
          <w:shd w:val="clear" w:color="auto" w:fill="ced7e7"/>
        </w:tblPrEx>
        <w:trPr>
          <w:trHeight w:val="193"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6"/>
                <w:szCs w:val="16"/>
                <w:shd w:val="nil" w:color="auto" w:fill="auto"/>
                <w:rtl w:val="0"/>
                <w:lang w:val="en-US"/>
              </w:rPr>
              <w:t>LLMs and Financial NLP</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fr-FR"/>
              </w:rPr>
              <w:t>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fr-FR"/>
              </w:rPr>
              <w:t>27.3%</w:t>
            </w:r>
          </w:p>
        </w:tc>
      </w:tr>
      <w:tr>
        <w:tblPrEx>
          <w:shd w:val="clear" w:color="auto" w:fill="ced7e7"/>
        </w:tblPrEx>
        <w:trPr>
          <w:trHeight w:val="193"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6"/>
                <w:szCs w:val="16"/>
                <w:shd w:val="nil" w:color="auto" w:fill="auto"/>
                <w:rtl w:val="0"/>
                <w:lang w:val="en-US"/>
              </w:rPr>
              <w:t>Stock Market Prediction (AI/ML)</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fr-FR"/>
              </w:rPr>
              <w:t>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fr-FR"/>
              </w:rPr>
              <w:t>18.2%</w:t>
            </w:r>
          </w:p>
        </w:tc>
      </w:tr>
      <w:tr>
        <w:tblPrEx>
          <w:shd w:val="clear" w:color="auto" w:fill="ced7e7"/>
        </w:tblPrEx>
        <w:trPr>
          <w:trHeight w:val="408"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6"/>
                <w:szCs w:val="16"/>
                <w:shd w:val="nil" w:color="auto" w:fill="auto"/>
                <w:rtl w:val="0"/>
                <w:lang w:val="en-US"/>
              </w:rPr>
              <w:t>Portfolio Optimisation and Robo-Advisory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fr-FR"/>
              </w:rPr>
              <w:t>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fr-FR"/>
              </w:rPr>
              <w:t>27.3%</w:t>
            </w:r>
          </w:p>
        </w:tc>
      </w:tr>
      <w:tr>
        <w:tblPrEx>
          <w:shd w:val="clear" w:color="auto" w:fill="ced7e7"/>
        </w:tblPrEx>
        <w:trPr>
          <w:trHeight w:val="408"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6"/>
                <w:szCs w:val="16"/>
                <w:shd w:val="nil" w:color="auto" w:fill="auto"/>
                <w:rtl w:val="0"/>
                <w:lang w:val="en-US"/>
              </w:rPr>
              <w:t>Cloud Computing (Financial AI Infrastructure)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fr-FR"/>
              </w:rPr>
              <w:t>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fr-FR"/>
              </w:rPr>
              <w:t>18.2%</w:t>
            </w:r>
          </w:p>
        </w:tc>
      </w:tr>
      <w:tr>
        <w:tblPrEx>
          <w:shd w:val="clear" w:color="auto" w:fill="ced7e7"/>
        </w:tblPrEx>
        <w:trPr>
          <w:trHeight w:val="408"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6"/>
                <w:szCs w:val="16"/>
                <w:shd w:val="nil" w:color="auto" w:fill="auto"/>
                <w:rtl w:val="0"/>
                <w:lang w:val="en-US"/>
              </w:rPr>
              <w:t>Algorithmic and High-Frequency Trading</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fr-FR"/>
              </w:rPr>
              <w:t>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fr-FR"/>
              </w:rPr>
              <w:t>9.1%</w:t>
            </w:r>
          </w:p>
        </w:tc>
      </w:tr>
      <w:tr>
        <w:tblPrEx>
          <w:shd w:val="clear" w:color="auto" w:fill="ced7e7"/>
        </w:tblPrEx>
        <w:trPr>
          <w:trHeight w:val="193"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6"/>
                <w:szCs w:val="16"/>
                <w:shd w:val="nil" w:color="auto" w:fill="auto"/>
                <w:rtl w:val="0"/>
                <w:lang w:val="fr-FR"/>
              </w:rPr>
              <w:t>Total</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fr-FR"/>
              </w:rPr>
              <w:t>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fr-FR"/>
              </w:rPr>
              <w:t>100%</w:t>
            </w:r>
          </w:p>
        </w:tc>
      </w:tr>
    </w:tbl>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 w:hanging="108"/>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lang w:val="de-DE"/>
        </w:rPr>
      </w:pPr>
      <w:r>
        <w:rPr>
          <w:rFonts w:ascii="Times New Roman" w:hAnsi="Times New Roman"/>
          <w:b w:val="1"/>
          <w:bCs w:val="1"/>
          <w:sz w:val="20"/>
          <w:szCs w:val="20"/>
          <w:rtl w:val="0"/>
          <w:lang w:val="de-DE"/>
        </w:rPr>
        <w:t>III. LITERATURE REVIEW</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b w:val="1"/>
          <w:bCs w:val="1"/>
          <w:i w:val="1"/>
          <w:iCs w:val="1"/>
          <w:sz w:val="20"/>
          <w:szCs w:val="20"/>
          <w:rtl w:val="0"/>
          <w:lang w:val="en-US"/>
        </w:rPr>
        <w:t>A. Large Language Models in Finance</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Six of the reviewed papers deal directly with the design, training, evaluation or application of large language models to financial tasks.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b w:val="1"/>
          <w:bCs w:val="1"/>
          <w:sz w:val="20"/>
          <w:szCs w:val="20"/>
          <w:rtl w:val="0"/>
          <w:lang w:val="en-US"/>
        </w:rPr>
        <w:t>1) General Surveys and Taxonomies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Li et al. [R1] survey LLM applications across financial analysis, forecasting, question answering and decision support, comparing zero-/few-shot prompting, domain-specific fine-tuning and building a custom financial LLM from scratch. They also propose a decision framework to help practitioners choose between lightweight model adaptation and full custom development. The paper identifies five recurring problems: financial data is noisy, temporally sensitive and often proprietary; training large-scale financial LLMs is computationally expensive; general-purpose models tend to underperform on specialised financial tasks; LLMs can produce plausible but factually wrong financial statements; and financial data is subject to heavy regulatory constraints around privacy.</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Du et al. [R4] map financial NLP into ten application areas, giving the broadest taxonomy in the reviewed literature. Their survey traces the field</w:t>
      </w:r>
      <w:r>
        <w:rPr>
          <w:rFonts w:ascii="Arial Unicode MS" w:hAnsi="Arial Unicode MS" w:hint="default"/>
          <w:sz w:val="20"/>
          <w:szCs w:val="20"/>
          <w:rtl w:val="0"/>
          <w:lang w:val="en-US"/>
        </w:rPr>
        <w:t>’</w:t>
      </w:r>
      <w:r>
        <w:rPr>
          <w:rFonts w:ascii="Times New Roman" w:hAnsi="Times New Roman"/>
          <w:sz w:val="20"/>
          <w:szCs w:val="20"/>
          <w:rtl w:val="0"/>
          <w:lang w:val="en-US"/>
        </w:rPr>
        <w:t>s shift from narrow sentiment classification toward systems that support investment decisions, regulatory compliance, ESG analysis and conversational advisory.</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b w:val="1"/>
          <w:bCs w:val="1"/>
          <w:sz w:val="18"/>
          <w:szCs w:val="18"/>
          <w:rtl w:val="0"/>
          <w:lang w:val="en-US"/>
        </w:rPr>
        <w:t>TABLE II. TEN APPLICATION AREAS OF FINANCIAL NLP (ADAPTED FROM DU ET AL. [R4])</w:t>
      </w:r>
    </w:p>
    <w:tbl>
      <w:tblPr>
        <w:tblW w:w="52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
        <w:gridCol w:w="2200"/>
        <w:gridCol w:w="2400"/>
      </w:tblGrid>
      <w:tr>
        <w:tblPrEx>
          <w:shd w:val="clear" w:color="auto" w:fill="ced7e7"/>
        </w:tblPrEx>
        <w:trPr>
          <w:trHeight w:val="193" w:hRule="atLeast"/>
        </w:trPr>
        <w:tc>
          <w:tcPr>
            <w:tcW w:type="dxa" w:w="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pPr>
            <w:r>
              <w:rPr>
                <w:rFonts w:ascii="Times New Roman" w:hAnsi="Times New Roman"/>
                <w:b w:val="1"/>
                <w:bCs w:val="1"/>
                <w:sz w:val="16"/>
                <w:szCs w:val="16"/>
                <w:shd w:val="nil" w:color="auto" w:fill="auto"/>
                <w:rtl w:val="0"/>
                <w:lang w:val="fr-FR"/>
              </w:rPr>
              <w:t>#</w:t>
            </w: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b w:val="1"/>
                <w:bCs w:val="1"/>
                <w:sz w:val="16"/>
                <w:szCs w:val="16"/>
                <w:shd w:val="nil" w:color="auto" w:fill="auto"/>
                <w:rtl w:val="0"/>
                <w:lang w:val="en-US"/>
              </w:rPr>
              <w:t>Application Area</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b w:val="1"/>
                <w:bCs w:val="1"/>
                <w:sz w:val="16"/>
                <w:szCs w:val="16"/>
                <w:shd w:val="nil" w:color="auto" w:fill="auto"/>
                <w:rtl w:val="0"/>
                <w:lang w:val="en-US"/>
              </w:rPr>
              <w:t>Key Tasks</w:t>
            </w:r>
          </w:p>
        </w:tc>
      </w:tr>
      <w:tr>
        <w:tblPrEx>
          <w:shd w:val="clear" w:color="auto" w:fill="ced7e7"/>
        </w:tblPrEx>
        <w:trPr>
          <w:trHeight w:val="408" w:hRule="atLeast"/>
        </w:trPr>
        <w:tc>
          <w:tcPr>
            <w:tcW w:type="dxa" w:w="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rFonts w:ascii="Times New Roman" w:hAnsi="Times New Roman"/>
                <w:sz w:val="16"/>
                <w:szCs w:val="16"/>
                <w:shd w:val="nil" w:color="auto" w:fill="auto"/>
                <w:rtl w:val="0"/>
                <w:lang w:val="fr-FR"/>
              </w:rPr>
              <w:t>1</w:t>
            </w: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6"/>
                <w:szCs w:val="16"/>
                <w:shd w:val="nil" w:color="auto" w:fill="auto"/>
                <w:rtl w:val="0"/>
                <w:lang w:val="en-US"/>
              </w:rPr>
              <w:t>Financial Sentiment Analysis</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6"/>
                <w:szCs w:val="16"/>
                <w:shd w:val="nil" w:color="auto" w:fill="auto"/>
                <w:rtl w:val="0"/>
                <w:lang w:val="en-US"/>
              </w:rPr>
              <w:t>Document classification, opinion mining</w:t>
            </w:r>
          </w:p>
        </w:tc>
      </w:tr>
      <w:tr>
        <w:tblPrEx>
          <w:shd w:val="clear" w:color="auto" w:fill="ced7e7"/>
        </w:tblPrEx>
        <w:trPr>
          <w:trHeight w:val="408" w:hRule="atLeast"/>
        </w:trPr>
        <w:tc>
          <w:tcPr>
            <w:tcW w:type="dxa" w:w="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rFonts w:ascii="Times New Roman" w:hAnsi="Times New Roman"/>
                <w:sz w:val="16"/>
                <w:szCs w:val="16"/>
                <w:shd w:val="nil" w:color="auto" w:fill="auto"/>
                <w:rtl w:val="0"/>
                <w:lang w:val="fr-FR"/>
              </w:rPr>
              <w:t>2</w:t>
            </w: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6"/>
                <w:szCs w:val="16"/>
                <w:shd w:val="nil" w:color="auto" w:fill="auto"/>
                <w:rtl w:val="0"/>
                <w:lang w:val="it-IT"/>
              </w:rPr>
              <w:t>Narrative Financial Processing</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6"/>
                <w:szCs w:val="16"/>
                <w:shd w:val="nil" w:color="auto" w:fill="auto"/>
                <w:rtl w:val="0"/>
                <w:lang w:val="en-US"/>
              </w:rPr>
              <w:t>Earnings call analysis, MD&amp;A parsing</w:t>
            </w:r>
          </w:p>
        </w:tc>
      </w:tr>
      <w:tr>
        <w:tblPrEx>
          <w:shd w:val="clear" w:color="auto" w:fill="ced7e7"/>
        </w:tblPrEx>
        <w:trPr>
          <w:trHeight w:val="193" w:hRule="atLeast"/>
        </w:trPr>
        <w:tc>
          <w:tcPr>
            <w:tcW w:type="dxa" w:w="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rFonts w:ascii="Times New Roman" w:hAnsi="Times New Roman"/>
                <w:sz w:val="16"/>
                <w:szCs w:val="16"/>
                <w:shd w:val="nil" w:color="auto" w:fill="auto"/>
                <w:rtl w:val="0"/>
                <w:lang w:val="fr-FR"/>
              </w:rPr>
              <w:t>3</w:t>
            </w: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6"/>
                <w:szCs w:val="16"/>
                <w:shd w:val="nil" w:color="auto" w:fill="auto"/>
                <w:rtl w:val="0"/>
                <w:lang w:val="en-US"/>
              </w:rPr>
              <w:t>Financial Forecasting</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6"/>
                <w:szCs w:val="16"/>
                <w:shd w:val="nil" w:color="auto" w:fill="auto"/>
                <w:rtl w:val="0"/>
                <w:lang w:val="en-US"/>
              </w:rPr>
              <w:t>Price prediction, return prediction</w:t>
            </w:r>
          </w:p>
        </w:tc>
      </w:tr>
      <w:tr>
        <w:tblPrEx>
          <w:shd w:val="clear" w:color="auto" w:fill="ced7e7"/>
        </w:tblPrEx>
        <w:trPr>
          <w:trHeight w:val="193" w:hRule="atLeast"/>
        </w:trPr>
        <w:tc>
          <w:tcPr>
            <w:tcW w:type="dxa" w:w="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rFonts w:ascii="Times New Roman" w:hAnsi="Times New Roman"/>
                <w:sz w:val="16"/>
                <w:szCs w:val="16"/>
                <w:shd w:val="nil" w:color="auto" w:fill="auto"/>
                <w:rtl w:val="0"/>
                <w:lang w:val="fr-FR"/>
              </w:rPr>
              <w:t>4</w:t>
            </w: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6"/>
                <w:szCs w:val="16"/>
                <w:shd w:val="nil" w:color="auto" w:fill="auto"/>
                <w:rtl w:val="0"/>
                <w:lang w:val="it-IT"/>
              </w:rPr>
              <w:t>Portfolio Management</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6"/>
                <w:szCs w:val="16"/>
                <w:shd w:val="nil" w:color="auto" w:fill="auto"/>
                <w:rtl w:val="0"/>
                <w:lang w:val="en-US"/>
              </w:rPr>
              <w:t>Asset allocation, factor analysis</w:t>
            </w:r>
          </w:p>
        </w:tc>
      </w:tr>
      <w:tr>
        <w:tblPrEx>
          <w:shd w:val="clear" w:color="auto" w:fill="ced7e7"/>
        </w:tblPrEx>
        <w:trPr>
          <w:trHeight w:val="193" w:hRule="atLeast"/>
        </w:trPr>
        <w:tc>
          <w:tcPr>
            <w:tcW w:type="dxa" w:w="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rFonts w:ascii="Times New Roman" w:hAnsi="Times New Roman"/>
                <w:sz w:val="16"/>
                <w:szCs w:val="16"/>
                <w:shd w:val="nil" w:color="auto" w:fill="auto"/>
                <w:rtl w:val="0"/>
                <w:lang w:val="fr-FR"/>
              </w:rPr>
              <w:t>5</w:t>
            </w: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6"/>
                <w:szCs w:val="16"/>
                <w:shd w:val="nil" w:color="auto" w:fill="auto"/>
                <w:rtl w:val="0"/>
                <w:lang w:val="en-US"/>
              </w:rPr>
              <w:t>Question Answering</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6"/>
                <w:szCs w:val="16"/>
                <w:shd w:val="nil" w:color="auto" w:fill="auto"/>
                <w:rtl w:val="0"/>
                <w:lang w:val="en-US"/>
              </w:rPr>
              <w:t>Financial QA, table understanding</w:t>
            </w:r>
          </w:p>
        </w:tc>
      </w:tr>
      <w:tr>
        <w:tblPrEx>
          <w:shd w:val="clear" w:color="auto" w:fill="ced7e7"/>
        </w:tblPrEx>
        <w:trPr>
          <w:trHeight w:val="408" w:hRule="atLeast"/>
        </w:trPr>
        <w:tc>
          <w:tcPr>
            <w:tcW w:type="dxa" w:w="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rFonts w:ascii="Times New Roman" w:hAnsi="Times New Roman"/>
                <w:sz w:val="16"/>
                <w:szCs w:val="16"/>
                <w:shd w:val="nil" w:color="auto" w:fill="auto"/>
                <w:rtl w:val="0"/>
                <w:lang w:val="fr-FR"/>
              </w:rPr>
              <w:t>6</w:t>
            </w: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6"/>
                <w:szCs w:val="16"/>
                <w:shd w:val="nil" w:color="auto" w:fill="auto"/>
                <w:rtl w:val="0"/>
                <w:lang w:val="en-US"/>
              </w:rPr>
              <w:t>Virtual Assistants and Chatbots</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6"/>
                <w:szCs w:val="16"/>
                <w:shd w:val="nil" w:color="auto" w:fill="auto"/>
                <w:rtl w:val="0"/>
                <w:lang w:val="en-US"/>
              </w:rPr>
              <w:t>Conversational finance, robo-advisory</w:t>
            </w:r>
          </w:p>
        </w:tc>
      </w:tr>
      <w:tr>
        <w:tblPrEx>
          <w:shd w:val="clear" w:color="auto" w:fill="ced7e7"/>
        </w:tblPrEx>
        <w:trPr>
          <w:trHeight w:val="193" w:hRule="atLeast"/>
        </w:trPr>
        <w:tc>
          <w:tcPr>
            <w:tcW w:type="dxa" w:w="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rFonts w:ascii="Times New Roman" w:hAnsi="Times New Roman"/>
                <w:sz w:val="16"/>
                <w:szCs w:val="16"/>
                <w:shd w:val="nil" w:color="auto" w:fill="auto"/>
                <w:rtl w:val="0"/>
                <w:lang w:val="fr-FR"/>
              </w:rPr>
              <w:t>7</w:t>
            </w: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6"/>
                <w:szCs w:val="16"/>
                <w:shd w:val="nil" w:color="auto" w:fill="auto"/>
                <w:rtl w:val="0"/>
                <w:lang w:val="fr-FR"/>
              </w:rPr>
              <w:t>Risk Management</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6"/>
                <w:szCs w:val="16"/>
                <w:shd w:val="nil" w:color="auto" w:fill="auto"/>
                <w:rtl w:val="0"/>
                <w:lang w:val="en-US"/>
              </w:rPr>
              <w:t>Credit scoring, fraud detection</w:t>
            </w:r>
          </w:p>
        </w:tc>
      </w:tr>
      <w:tr>
        <w:tblPrEx>
          <w:shd w:val="clear" w:color="auto" w:fill="ced7e7"/>
        </w:tblPrEx>
        <w:trPr>
          <w:trHeight w:val="193" w:hRule="atLeast"/>
        </w:trPr>
        <w:tc>
          <w:tcPr>
            <w:tcW w:type="dxa" w:w="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rFonts w:ascii="Times New Roman" w:hAnsi="Times New Roman"/>
                <w:sz w:val="16"/>
                <w:szCs w:val="16"/>
                <w:shd w:val="nil" w:color="auto" w:fill="auto"/>
                <w:rtl w:val="0"/>
                <w:lang w:val="fr-FR"/>
              </w:rPr>
              <w:t>8</w:t>
            </w: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6"/>
                <w:szCs w:val="16"/>
                <w:shd w:val="nil" w:color="auto" w:fill="auto"/>
                <w:rtl w:val="0"/>
                <w:lang w:val="en-US"/>
              </w:rPr>
              <w:t>Regulatory Compliance</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6"/>
                <w:szCs w:val="16"/>
                <w:shd w:val="nil" w:color="auto" w:fill="auto"/>
                <w:rtl w:val="0"/>
                <w:lang w:val="en-US"/>
              </w:rPr>
              <w:t>Contract review, AML, KYC</w:t>
            </w:r>
          </w:p>
        </w:tc>
      </w:tr>
      <w:tr>
        <w:tblPrEx>
          <w:shd w:val="clear" w:color="auto" w:fill="ced7e7"/>
        </w:tblPrEx>
        <w:trPr>
          <w:trHeight w:val="193" w:hRule="atLeast"/>
        </w:trPr>
        <w:tc>
          <w:tcPr>
            <w:tcW w:type="dxa" w:w="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rFonts w:ascii="Times New Roman" w:hAnsi="Times New Roman"/>
                <w:sz w:val="16"/>
                <w:szCs w:val="16"/>
                <w:shd w:val="nil" w:color="auto" w:fill="auto"/>
                <w:rtl w:val="0"/>
                <w:lang w:val="fr-FR"/>
              </w:rPr>
              <w:t>9</w:t>
            </w: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6"/>
                <w:szCs w:val="16"/>
                <w:shd w:val="nil" w:color="auto" w:fill="auto"/>
                <w:rtl w:val="0"/>
                <w:lang w:val="en-US"/>
              </w:rPr>
              <w:t>ESG and Sustainable Finance</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6"/>
                <w:szCs w:val="16"/>
                <w:shd w:val="nil" w:color="auto" w:fill="auto"/>
                <w:rtl w:val="0"/>
                <w:lang w:val="en-US"/>
              </w:rPr>
              <w:t>ESG scoring, green bond analysis</w:t>
            </w:r>
          </w:p>
        </w:tc>
      </w:tr>
      <w:tr>
        <w:tblPrEx>
          <w:shd w:val="clear" w:color="auto" w:fill="ced7e7"/>
        </w:tblPrEx>
        <w:trPr>
          <w:trHeight w:val="193" w:hRule="atLeast"/>
        </w:trPr>
        <w:tc>
          <w:tcPr>
            <w:tcW w:type="dxa" w:w="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rFonts w:ascii="Times New Roman" w:hAnsi="Times New Roman"/>
                <w:sz w:val="16"/>
                <w:szCs w:val="16"/>
                <w:shd w:val="nil" w:color="auto" w:fill="auto"/>
                <w:rtl w:val="0"/>
                <w:lang w:val="fr-FR"/>
              </w:rPr>
              <w:t>10</w:t>
            </w: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6"/>
                <w:szCs w:val="16"/>
                <w:shd w:val="nil" w:color="auto" w:fill="auto"/>
                <w:rtl w:val="0"/>
                <w:lang w:val="en-US"/>
              </w:rPr>
              <w:t>Explainable AI</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6"/>
                <w:szCs w:val="16"/>
                <w:shd w:val="nil" w:color="auto" w:fill="auto"/>
                <w:rtl w:val="0"/>
                <w:lang w:val="en-US"/>
              </w:rPr>
              <w:t>Model interpretability</w:t>
            </w:r>
          </w:p>
        </w:tc>
      </w:tr>
    </w:tbl>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 w:hanging="108"/>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b w:val="1"/>
          <w:bCs w:val="1"/>
          <w:sz w:val="20"/>
          <w:szCs w:val="20"/>
          <w:rtl w:val="0"/>
          <w:lang w:val="en-US"/>
        </w:rPr>
        <w:t>2) Domain-Specific Financial LLMs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BloombergGPT [R2] is the first publicly documented large-scale (50-billion-parameter) LLM trained specifically for finance, using a mix of roughly 363 billion Bloomberg financial tokens and 345 billion general-purpose tokens. Across both financial and general-language benchmarks, the model shows that domain-specific pretraining at this scale improves finance-task performance without much loss of general-language competence.</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Where BloombergGPT is proprietary, FinGPT [R3] takes an open-source, data-centric approach. Its main technical contribution is Low-Rank Adaptation (LoRA), which allows parameter-efficient fine-tuning of open base models on automatically curated financial data. The authors demonstrate the approach on financial sentiment analysis, robo-advising, algorithmic trading and general financial analysis.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lang w:val="de-DE"/>
        </w:rPr>
      </w:pPr>
      <w:r>
        <w:rPr>
          <w:rFonts w:ascii="Times New Roman" w:hAnsi="Times New Roman"/>
          <w:b w:val="1"/>
          <w:bCs w:val="1"/>
          <w:sz w:val="18"/>
          <w:szCs w:val="18"/>
          <w:rtl w:val="0"/>
          <w:lang w:val="de-DE"/>
        </w:rPr>
        <w:t>TABLE III. COMPARISON OF MAJOR FINANCIAL LLM APPROACHES</w:t>
      </w:r>
    </w:p>
    <w:tbl>
      <w:tblPr>
        <w:tblW w:w="62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00"/>
        <w:gridCol w:w="1400"/>
        <w:gridCol w:w="1100"/>
        <w:gridCol w:w="2100"/>
      </w:tblGrid>
      <w:tr>
        <w:tblPrEx>
          <w:shd w:val="clear" w:color="auto" w:fill="ced7e7"/>
        </w:tblPrEx>
        <w:trPr>
          <w:trHeight w:val="193" w:hRule="atLeast"/>
        </w:trPr>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s>
            </w:pPr>
            <w:r>
              <w:rPr>
                <w:rFonts w:ascii="Times New Roman" w:hAnsi="Times New Roman"/>
                <w:b w:val="1"/>
                <w:bCs w:val="1"/>
                <w:sz w:val="16"/>
                <w:szCs w:val="16"/>
                <w:shd w:val="nil" w:color="auto" w:fill="auto"/>
                <w:rtl w:val="0"/>
                <w:lang w:val="en-US"/>
              </w:rPr>
              <w:t>Model/Approach</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s>
            </w:pPr>
            <w:r>
              <w:rPr>
                <w:rFonts w:ascii="Times New Roman" w:hAnsi="Times New Roman"/>
                <w:b w:val="1"/>
                <w:bCs w:val="1"/>
                <w:sz w:val="16"/>
                <w:szCs w:val="16"/>
                <w:shd w:val="nil" w:color="auto" w:fill="auto"/>
                <w:rtl w:val="0"/>
                <w:lang w:val="pt-PT"/>
              </w:rPr>
              <w:t>Parameters</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s>
            </w:pPr>
            <w:r>
              <w:rPr>
                <w:rFonts w:ascii="Times New Roman" w:hAnsi="Times New Roman"/>
                <w:b w:val="1"/>
                <w:bCs w:val="1"/>
                <w:sz w:val="16"/>
                <w:szCs w:val="16"/>
                <w:shd w:val="nil" w:color="auto" w:fill="auto"/>
                <w:rtl w:val="0"/>
                <w:lang w:val="en-US"/>
              </w:rPr>
              <w:t>Open Source</w:t>
            </w:r>
          </w:p>
        </w:tc>
        <w:tc>
          <w:tcPr>
            <w:tcW w:type="dxa" w:w="2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s>
            </w:pPr>
            <w:r>
              <w:rPr>
                <w:rFonts w:ascii="Times New Roman" w:hAnsi="Times New Roman"/>
                <w:b w:val="1"/>
                <w:bCs w:val="1"/>
                <w:sz w:val="16"/>
                <w:szCs w:val="16"/>
                <w:shd w:val="nil" w:color="auto" w:fill="auto"/>
                <w:rtl w:val="0"/>
                <w:lang w:val="en-US"/>
              </w:rPr>
              <w:t>Key Strength</w:t>
            </w:r>
          </w:p>
        </w:tc>
      </w:tr>
      <w:tr>
        <w:tblPrEx>
          <w:shd w:val="clear" w:color="auto" w:fill="ced7e7"/>
        </w:tblPrEx>
        <w:trPr>
          <w:trHeight w:val="408" w:hRule="atLeast"/>
        </w:trPr>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pt-PT"/>
              </w:rPr>
              <w:t>BloombergGPT [R2]</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fr-FR"/>
              </w:rPr>
              <w:t>50B</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fr-FR"/>
              </w:rPr>
              <w:t>No</w:t>
            </w:r>
          </w:p>
        </w:tc>
        <w:tc>
          <w:tcPr>
            <w:tcW w:type="dxa" w:w="2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Strong finance-task performance</w:t>
            </w:r>
          </w:p>
        </w:tc>
      </w:tr>
      <w:tr>
        <w:tblPrEx>
          <w:shd w:val="clear" w:color="auto" w:fill="ced7e7"/>
        </w:tblPrEx>
        <w:trPr>
          <w:trHeight w:val="193" w:hRule="atLeast"/>
        </w:trPr>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pt-PT"/>
              </w:rPr>
              <w:t>FinGPT [R3]</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en-US"/>
              </w:rPr>
              <w:t>Varies (LoRA)</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en-US"/>
              </w:rPr>
              <w:t>Yes</w:t>
            </w:r>
          </w:p>
        </w:tc>
        <w:tc>
          <w:tcPr>
            <w:tcW w:type="dxa" w:w="2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Reproducible, cost-efficient</w:t>
            </w:r>
          </w:p>
        </w:tc>
      </w:tr>
      <w:tr>
        <w:tblPrEx>
          <w:shd w:val="clear" w:color="auto" w:fill="ced7e7"/>
        </w:tblPrEx>
        <w:trPr>
          <w:trHeight w:val="193" w:hRule="atLeast"/>
        </w:trPr>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pt-PT"/>
              </w:rPr>
              <w:t>GPT-4 [R7][R8]</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en-US"/>
              </w:rPr>
              <w:t>Undisclosed</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en-US"/>
              </w:rPr>
              <w:t>Partial</w:t>
            </w:r>
          </w:p>
        </w:tc>
        <w:tc>
          <w:tcPr>
            <w:tcW w:type="dxa" w:w="2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Strong general reasoning</w:t>
            </w:r>
          </w:p>
        </w:tc>
      </w:tr>
      <w:tr>
        <w:tblPrEx>
          <w:shd w:val="clear" w:color="auto" w:fill="ced7e7"/>
        </w:tblPrEx>
        <w:trPr>
          <w:trHeight w:val="193" w:hRule="atLeast"/>
        </w:trPr>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de-DE"/>
              </w:rPr>
              <w:t>FinBERT [R4]</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fr-FR"/>
              </w:rPr>
              <w:t>110M</w:t>
            </w:r>
            <w:r>
              <w:rPr>
                <w:rFonts w:ascii="Times New Roman" w:hAnsi="Times New Roman" w:hint="default"/>
                <w:sz w:val="16"/>
                <w:szCs w:val="16"/>
                <w:shd w:val="nil" w:color="auto" w:fill="auto"/>
                <w:rtl w:val="0"/>
                <w:lang w:val="fr-FR"/>
              </w:rPr>
              <w:t>–</w:t>
            </w:r>
            <w:r>
              <w:rPr>
                <w:rFonts w:ascii="Times New Roman" w:hAnsi="Times New Roman"/>
                <w:sz w:val="16"/>
                <w:szCs w:val="16"/>
                <w:shd w:val="nil" w:color="auto" w:fill="auto"/>
                <w:rtl w:val="0"/>
                <w:lang w:val="ru-RU"/>
              </w:rPr>
              <w:t>340M</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en-US"/>
              </w:rPr>
              <w:t>Mostly yes</w:t>
            </w:r>
          </w:p>
        </w:tc>
        <w:tc>
          <w:tcPr>
            <w:tcW w:type="dxa" w:w="2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Established, well-tested</w:t>
            </w:r>
          </w:p>
        </w:tc>
      </w:tr>
    </w:tbl>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 w:hanging="108"/>
        <w:rPr>
          <w:lang w:val="de-DE"/>
        </w:rPr>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b w:val="1"/>
          <w:bCs w:val="1"/>
          <w:sz w:val="20"/>
          <w:szCs w:val="20"/>
          <w:rtl w:val="0"/>
          <w:lang w:val="en-US"/>
        </w:rPr>
        <w:t>3) LLMs for Financial News and Market Signals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Lopez-Lira and Tang [R7] test whether GPT-generated sentiment scores from news headlines carry information useful for predicting stock returns. They find a statistically significant relationship between these scores and subsequent daily returns, with the effect strongest for smaller-cap stocks and after negative news.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MarketSenseAI [R8] is a GPT-4-based investment framework that combines news summaries, financial fundamentals, price dynamics and macroeconomic context to generate buy/hold/sell signals with accompanying explanations. Tested on S&amp;P 100 stocks over 15 months, it reports excess alpha of 10 to 30 percent and cumulative returns as high as 72 percent. Its explanation-alongside-signal design is directly relevant to the transparency goals of the proposed FinAI system, though the reported results have not been independently replicated.</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b w:val="1"/>
          <w:bCs w:val="1"/>
          <w:i w:val="1"/>
          <w:iCs w:val="1"/>
          <w:sz w:val="20"/>
          <w:szCs w:val="20"/>
          <w:rtl w:val="0"/>
          <w:lang w:val="en-US"/>
        </w:rPr>
        <w:t>B. NLP Applications in Financial Decision Support</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Gupta et al. [R5] compare general-purpose BERT with domain-specific FinBERT for classifying sentiment in financial news, finding that fine-tuning on financial-domain data noticeably improves accuracy. They also note that implicit sentiment and domain-specific vocabulary remain difficult for both models.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Huang et al. [R6] evaluate FinBERT against several financial NLP benchmarks and find it consistently outperforms generic BERT on sentiment classification, financial question answering and named entity recognition. FinBERT has become the standard baseline for financial NLP work where deploying a full LLM is not cost-effective.</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b w:val="1"/>
          <w:bCs w:val="1"/>
          <w:i w:val="1"/>
          <w:iCs w:val="1"/>
          <w:sz w:val="20"/>
          <w:szCs w:val="20"/>
          <w:rtl w:val="0"/>
          <w:lang w:val="en-US"/>
        </w:rPr>
        <w:t>C. Stock Market Prediction with AI/ML</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b w:val="1"/>
          <w:bCs w:val="1"/>
          <w:sz w:val="20"/>
          <w:szCs w:val="20"/>
          <w:rtl w:val="0"/>
          <w:lang w:val="en-US"/>
        </w:rPr>
        <w:t>1) Deep Learning Architectures for Price Prediction</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Yadav et al. [R20] organise the stock prediction literature by data type, evaluation metric and network architecture. Their central finding is a fragmentation problem: incompatible datasets, metrics and model formulations across studies make it difficult to compare results reliably.</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lang w:val="de-DE"/>
        </w:rPr>
      </w:pPr>
      <w:r>
        <w:rPr>
          <w:rFonts w:ascii="Times New Roman" w:hAnsi="Times New Roman"/>
          <w:b w:val="1"/>
          <w:bCs w:val="1"/>
          <w:sz w:val="18"/>
          <w:szCs w:val="18"/>
          <w:rtl w:val="0"/>
          <w:lang w:val="de-DE"/>
        </w:rPr>
        <w:t>TABLE IV. AI/ML APPROACHES FOR STOCK MARKET PREDICTION (SYNTHESISED FROM [R20])</w:t>
      </w:r>
    </w:p>
    <w:tbl>
      <w:tblPr>
        <w:tblW w:w="58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00"/>
        <w:gridCol w:w="2000"/>
        <w:gridCol w:w="2200"/>
      </w:tblGrid>
      <w:tr>
        <w:tblPrEx>
          <w:shd w:val="clear" w:color="auto" w:fill="ced7e7"/>
        </w:tblPrEx>
        <w:trPr>
          <w:trHeight w:val="193" w:hRule="atLeast"/>
        </w:trPr>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s>
            </w:pPr>
            <w:r>
              <w:rPr>
                <w:rFonts w:ascii="Times New Roman" w:hAnsi="Times New Roman"/>
                <w:b w:val="1"/>
                <w:bCs w:val="1"/>
                <w:sz w:val="16"/>
                <w:szCs w:val="16"/>
                <w:shd w:val="nil" w:color="auto" w:fill="auto"/>
                <w:rtl w:val="0"/>
                <w:lang w:val="en-US"/>
              </w:rPr>
              <w:t>Approach</w:t>
            </w:r>
          </w:p>
        </w:tc>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s>
            </w:pPr>
            <w:r>
              <w:rPr>
                <w:rFonts w:ascii="Times New Roman" w:hAnsi="Times New Roman"/>
                <w:b w:val="1"/>
                <w:bCs w:val="1"/>
                <w:sz w:val="16"/>
                <w:szCs w:val="16"/>
                <w:shd w:val="nil" w:color="auto" w:fill="auto"/>
                <w:rtl w:val="0"/>
                <w:lang w:val="en-US"/>
              </w:rPr>
              <w:t>Strengths</w:t>
            </w: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b w:val="1"/>
                <w:bCs w:val="1"/>
                <w:sz w:val="16"/>
                <w:szCs w:val="16"/>
                <w:shd w:val="nil" w:color="auto" w:fill="auto"/>
                <w:rtl w:val="0"/>
                <w:lang w:val="fr-FR"/>
              </w:rPr>
              <w:t>Limitations</w:t>
            </w:r>
          </w:p>
        </w:tc>
      </w:tr>
      <w:tr>
        <w:tblPrEx>
          <w:shd w:val="clear" w:color="auto" w:fill="ced7e7"/>
        </w:tblPrEx>
        <w:trPr>
          <w:trHeight w:val="408" w:hRule="atLeast"/>
        </w:trPr>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de-DE"/>
              </w:rPr>
              <w:t>RNN / LSTM</w:t>
            </w:r>
          </w:p>
        </w:tc>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Good for time-series dependencies</w:t>
            </w: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6"/>
                <w:szCs w:val="16"/>
                <w:shd w:val="nil" w:color="auto" w:fill="auto"/>
                <w:rtl w:val="0"/>
                <w:lang w:val="en-US"/>
              </w:rPr>
              <w:t>Vanishing gradient over long sequences</w:t>
            </w:r>
          </w:p>
        </w:tc>
      </w:tr>
      <w:tr>
        <w:tblPrEx>
          <w:shd w:val="clear" w:color="auto" w:fill="ced7e7"/>
        </w:tblPrEx>
        <w:trPr>
          <w:trHeight w:val="408" w:hRule="atLeast"/>
        </w:trPr>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de-DE"/>
              </w:rPr>
              <w:t>CNN</w:t>
            </w:r>
          </w:p>
        </w:tc>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Captures local patterns in price charts</w:t>
            </w: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6"/>
                <w:szCs w:val="16"/>
                <w:shd w:val="nil" w:color="auto" w:fill="auto"/>
                <w:rtl w:val="0"/>
                <w:lang w:val="en-US"/>
              </w:rPr>
              <w:t>Limited temporal context</w:t>
            </w:r>
          </w:p>
        </w:tc>
      </w:tr>
      <w:tr>
        <w:tblPrEx>
          <w:shd w:val="clear" w:color="auto" w:fill="ced7e7"/>
        </w:tblPrEx>
        <w:trPr>
          <w:trHeight w:val="408" w:hRule="atLeast"/>
        </w:trPr>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fr-FR"/>
              </w:rPr>
              <w:t>Transformer</w:t>
            </w:r>
          </w:p>
        </w:tc>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Long-range dependencies</w:t>
            </w: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6"/>
                <w:szCs w:val="16"/>
                <w:shd w:val="nil" w:color="auto" w:fill="auto"/>
                <w:rtl w:val="0"/>
                <w:lang w:val="en-US"/>
              </w:rPr>
              <w:t>Data-hungry, computationally expensive</w:t>
            </w:r>
          </w:p>
        </w:tc>
      </w:tr>
      <w:tr>
        <w:tblPrEx>
          <w:shd w:val="clear" w:color="auto" w:fill="ced7e7"/>
        </w:tblPrEx>
        <w:trPr>
          <w:trHeight w:val="193" w:hRule="atLeast"/>
        </w:trPr>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de-DE"/>
              </w:rPr>
              <w:t>Hybrid CNN-LSTM</w:t>
            </w:r>
          </w:p>
        </w:tc>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Complementary strengths</w:t>
            </w: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6"/>
                <w:szCs w:val="16"/>
                <w:shd w:val="nil" w:color="auto" w:fill="auto"/>
                <w:rtl w:val="0"/>
                <w:lang w:val="en-US"/>
              </w:rPr>
              <w:t>Complex tuning</w:t>
            </w:r>
          </w:p>
        </w:tc>
      </w:tr>
      <w:tr>
        <w:tblPrEx>
          <w:shd w:val="clear" w:color="auto" w:fill="ced7e7"/>
        </w:tblPrEx>
        <w:trPr>
          <w:trHeight w:val="408" w:hRule="atLeast"/>
        </w:trPr>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Reinforcement learning</w:t>
            </w:r>
          </w:p>
        </w:tc>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fr-FR"/>
              </w:rPr>
              <w:t>Direct profit optimisation</w:t>
            </w: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6"/>
                <w:szCs w:val="16"/>
                <w:shd w:val="nil" w:color="auto" w:fill="auto"/>
                <w:rtl w:val="0"/>
                <w:lang w:val="en-US"/>
              </w:rPr>
              <w:t>High variance, unstable training</w:t>
            </w:r>
          </w:p>
        </w:tc>
      </w:tr>
      <w:tr>
        <w:tblPrEx>
          <w:shd w:val="clear" w:color="auto" w:fill="ced7e7"/>
        </w:tblPrEx>
        <w:trPr>
          <w:trHeight w:val="408" w:hRule="atLeast"/>
        </w:trPr>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LLM-based (GPT)</w:t>
            </w:r>
          </w:p>
        </w:tc>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Rich information integration</w:t>
            </w:r>
          </w:p>
        </w:tc>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6"/>
                <w:szCs w:val="16"/>
                <w:shd w:val="nil" w:color="auto" w:fill="auto"/>
                <w:rtl w:val="0"/>
                <w:lang w:val="en-US"/>
              </w:rPr>
              <w:t>Hallucination risk, high cost</w:t>
            </w:r>
          </w:p>
        </w:tc>
      </w:tr>
    </w:tbl>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 w:hanging="108"/>
        <w:rPr>
          <w:lang w:val="de-DE"/>
        </w:rPr>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Gu et al. [R15] test whether machine learning can extract predictive signal from historical stock price charts alone. Their forecasts predict future cross-sectional returns and capture information distinct from standard momentum and reversal factors, which supports using historical price patterns as an input feature to portfolio construction models.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b w:val="1"/>
          <w:bCs w:val="1"/>
          <w:sz w:val="20"/>
          <w:szCs w:val="20"/>
          <w:rtl w:val="0"/>
          <w:lang w:val="en-US"/>
        </w:rPr>
        <w:t>2) Integrated Prediction and Portfolio Optimisation</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Wang, Zeng and Yuan [R16] treat stock prediction and portfolio construction as a single problem rather than two separate steps. Their framework first applies Savitzky-Golay signal filtering to reduce noise and uses a Sparrow Search Algorithm to tune LSTM hyperparameters before generating price predictions; those predictions then feed a mean-Conditional Value-at-Risk (CVaR) portfolio optimisation model. On CSI 300 data, the framework reports an R-squared of 0.9980 and cumulative portfolio returns of 7.54</w:t>
      </w:r>
      <w:r>
        <w:rPr>
          <w:rFonts w:ascii="Times New Roman" w:hAnsi="Times New Roman" w:hint="default"/>
          <w:sz w:val="20"/>
          <w:szCs w:val="20"/>
          <w:rtl w:val="0"/>
          <w:lang w:val="en-US"/>
        </w:rPr>
        <w:t>–</w:t>
      </w:r>
      <w:r>
        <w:rPr>
          <w:rFonts w:ascii="Times New Roman" w:hAnsi="Times New Roman"/>
          <w:sz w:val="20"/>
          <w:szCs w:val="20"/>
          <w:rtl w:val="0"/>
          <w:lang w:val="en-US"/>
        </w:rPr>
        <w:t>9.38 percent, ahead of seven benchmark strategies.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b w:val="1"/>
          <w:bCs w:val="1"/>
          <w:i w:val="1"/>
          <w:iCs w:val="1"/>
          <w:sz w:val="20"/>
          <w:szCs w:val="20"/>
          <w:rtl w:val="0"/>
          <w:lang w:val="en-US"/>
        </w:rPr>
        <w:t>D. Portfolio Optimisation and AI-Powered Asset Management</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Zhu, Vigren and S</w:t>
      </w:r>
      <w:r>
        <w:rPr>
          <w:rFonts w:ascii="Times New Roman" w:hAnsi="Times New Roman" w:hint="default"/>
          <w:sz w:val="20"/>
          <w:szCs w:val="20"/>
          <w:rtl w:val="0"/>
          <w:lang w:val="sv-SE"/>
        </w:rPr>
        <w:t>ö</w:t>
      </w:r>
      <w:r>
        <w:rPr>
          <w:rFonts w:ascii="Times New Roman" w:hAnsi="Times New Roman"/>
          <w:sz w:val="20"/>
          <w:szCs w:val="20"/>
          <w:rtl w:val="0"/>
          <w:lang w:val="en-US"/>
        </w:rPr>
        <w:t>derberg [R14] carry out an interdisciplinary systematic review of 132 articles and build an integrated framework for implementing AI-powered financial advisory services. Rather than focusing purely on technical performance, they emphasise implementation and adoption: algorithm quality, interface design, trust mechanisms, regulatory compliance and organisational readiness. Their point is straightforward but easy to overlook: a financial AI system that users do not trust or understand will not get used, however accurate its models are.</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Five implementation dimensions come up repeatedly in their review: the accuracy and reliability of the underlying algorithms, the usability and appropriate disclosure of the interface, transparency and human-oversight mechanisms that build trust, compliance with GDPR and financial-advisory regulation, and organisational factors such as staff training and hybrid human-AI workflows.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b w:val="1"/>
          <w:bCs w:val="1"/>
          <w:i w:val="1"/>
          <w:iCs w:val="1"/>
          <w:sz w:val="20"/>
          <w:szCs w:val="20"/>
          <w:rtl w:val="0"/>
          <w:lang w:val="en-US"/>
        </w:rPr>
        <w:t>E. Robo-Advisory Systems: Technology, Adoption and Impact</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b w:val="1"/>
          <w:bCs w:val="1"/>
          <w:sz w:val="20"/>
          <w:szCs w:val="20"/>
          <w:rtl w:val="0"/>
          <w:lang w:val="en-US"/>
        </w:rPr>
        <w:t>1) Technology and Classification</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Reviewing robo-advisor literature from 2017 to 2022, Cardillo and Chiappini [R18] organise the field into four streams: early classification work on what a robo-advisor is and how it is structured, behavioural research on who adopts these tools and why, performance research on whether robo-advisors beat human advisors, and algorithmic research on how the underlying decisions are made.</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b w:val="1"/>
          <w:bCs w:val="1"/>
          <w:sz w:val="18"/>
          <w:szCs w:val="18"/>
          <w:rtl w:val="0"/>
          <w:lang w:val="en-US"/>
        </w:rPr>
        <w:t>TABLE V. FOUR RESEARCH STREAMS IN ROBO-ADVISORY LITERATURE (ADAPTED FROM CARDILLO AND CHIAPPINI [R18])</w:t>
      </w:r>
    </w:p>
    <w:tbl>
      <w:tblPr>
        <w:tblW w:w="62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00"/>
        <w:gridCol w:w="4000"/>
      </w:tblGrid>
      <w:tr>
        <w:tblPrEx>
          <w:shd w:val="clear" w:color="auto" w:fill="ced7e7"/>
        </w:tblPrEx>
        <w:trPr>
          <w:trHeight w:val="193"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b w:val="1"/>
                <w:bCs w:val="1"/>
                <w:sz w:val="16"/>
                <w:szCs w:val="16"/>
                <w:shd w:val="nil" w:color="auto" w:fill="auto"/>
                <w:rtl w:val="0"/>
                <w:lang w:val="en-US"/>
              </w:rPr>
              <w:t>Research Stream</w:t>
            </w:r>
          </w:p>
        </w:tc>
        <w:tc>
          <w:tcPr>
            <w:tcW w:type="dxa" w:w="4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Times New Roman" w:hAnsi="Times New Roman"/>
                <w:b w:val="1"/>
                <w:bCs w:val="1"/>
                <w:sz w:val="16"/>
                <w:szCs w:val="16"/>
                <w:shd w:val="nil" w:color="auto" w:fill="auto"/>
                <w:rtl w:val="0"/>
                <w:lang w:val="it-IT"/>
              </w:rPr>
              <w:t>Key Questions</w:t>
            </w:r>
          </w:p>
        </w:tc>
      </w:tr>
      <w:tr>
        <w:tblPrEx>
          <w:shd w:val="clear" w:color="auto" w:fill="ced7e7"/>
        </w:tblPrEx>
        <w:trPr>
          <w:trHeight w:val="193"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6"/>
                <w:szCs w:val="16"/>
                <w:shd w:val="nil" w:color="auto" w:fill="auto"/>
                <w:rtl w:val="0"/>
                <w:lang w:val="en-US"/>
              </w:rPr>
              <w:t>Early classification</w:t>
            </w:r>
          </w:p>
        </w:tc>
        <w:tc>
          <w:tcPr>
            <w:tcW w:type="dxa" w:w="4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Times New Roman" w:hAnsi="Times New Roman"/>
                <w:sz w:val="16"/>
                <w:szCs w:val="16"/>
                <w:shd w:val="nil" w:color="auto" w:fill="auto"/>
                <w:rtl w:val="0"/>
                <w:lang w:val="en-US"/>
              </w:rPr>
              <w:t>What is a robo-advisor? What typologies exist?</w:t>
            </w:r>
          </w:p>
        </w:tc>
      </w:tr>
      <w:tr>
        <w:tblPrEx>
          <w:shd w:val="clear" w:color="auto" w:fill="ced7e7"/>
        </w:tblPrEx>
        <w:trPr>
          <w:trHeight w:val="193"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6"/>
                <w:szCs w:val="16"/>
                <w:shd w:val="nil" w:color="auto" w:fill="auto"/>
                <w:rtl w:val="0"/>
                <w:lang w:val="en-US"/>
              </w:rPr>
              <w:t>Behavioural issues</w:t>
            </w:r>
          </w:p>
        </w:tc>
        <w:tc>
          <w:tcPr>
            <w:tcW w:type="dxa" w:w="4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Times New Roman" w:hAnsi="Times New Roman"/>
                <w:sz w:val="16"/>
                <w:szCs w:val="16"/>
                <w:shd w:val="nil" w:color="auto" w:fill="auto"/>
                <w:rtl w:val="0"/>
                <w:lang w:val="en-US"/>
              </w:rPr>
              <w:t>Who adopts, and why or why not?</w:t>
            </w:r>
          </w:p>
        </w:tc>
      </w:tr>
      <w:tr>
        <w:tblPrEx>
          <w:shd w:val="clear" w:color="auto" w:fill="ced7e7"/>
        </w:tblPrEx>
        <w:trPr>
          <w:trHeight w:val="193"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6"/>
                <w:szCs w:val="16"/>
                <w:shd w:val="nil" w:color="auto" w:fill="auto"/>
                <w:rtl w:val="0"/>
                <w:lang w:val="en-US"/>
              </w:rPr>
              <w:t>Performance</w:t>
            </w:r>
          </w:p>
        </w:tc>
        <w:tc>
          <w:tcPr>
            <w:tcW w:type="dxa" w:w="4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Times New Roman" w:hAnsi="Times New Roman"/>
                <w:sz w:val="16"/>
                <w:szCs w:val="16"/>
                <w:shd w:val="nil" w:color="auto" w:fill="auto"/>
                <w:rtl w:val="0"/>
                <w:lang w:val="en-US"/>
              </w:rPr>
              <w:t>Do robo-advisors outperform human advisors?</w:t>
            </w:r>
          </w:p>
        </w:tc>
      </w:tr>
      <w:tr>
        <w:tblPrEx>
          <w:shd w:val="clear" w:color="auto" w:fill="ced7e7"/>
        </w:tblPrEx>
        <w:trPr>
          <w:trHeight w:val="193"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6"/>
                <w:szCs w:val="16"/>
                <w:shd w:val="nil" w:color="auto" w:fill="auto"/>
                <w:rtl w:val="0"/>
                <w:lang w:val="it-IT"/>
              </w:rPr>
              <w:t>Algorithm modelling</w:t>
            </w:r>
          </w:p>
        </w:tc>
        <w:tc>
          <w:tcPr>
            <w:tcW w:type="dxa" w:w="4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pPr>
            <w:r>
              <w:rPr>
                <w:rFonts w:ascii="Times New Roman" w:hAnsi="Times New Roman"/>
                <w:sz w:val="16"/>
                <w:szCs w:val="16"/>
                <w:shd w:val="nil" w:color="auto" w:fill="auto"/>
                <w:rtl w:val="0"/>
                <w:lang w:val="en-US"/>
              </w:rPr>
              <w:t>How do they make decisions?</w:t>
            </w:r>
          </w:p>
        </w:tc>
      </w:tr>
    </w:tbl>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 w:hanging="108"/>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b w:val="1"/>
          <w:bCs w:val="1"/>
          <w:sz w:val="20"/>
          <w:szCs w:val="20"/>
          <w:rtl w:val="0"/>
          <w:lang w:val="en-US"/>
        </w:rPr>
        <w:t>2) Empirical Impact</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Using anonymised Vanguard data, Rossi and Utkus [R17] find that adopting robo-advice is associated with a shift from active to passive funds, reduced home bias, lower fees, improved Sharpe ratios and meaningful time savings for investors. The largest gains go to investors who were previously the least diversified, which suggests AI-powered financial planning has the biggest welfare impact on retail investors with the least financial sophistication to begin with.</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b w:val="1"/>
          <w:bCs w:val="1"/>
          <w:sz w:val="20"/>
          <w:szCs w:val="20"/>
          <w:rtl w:val="0"/>
          <w:lang w:val="en-US"/>
        </w:rPr>
        <w:t>3) Adoption in Emerging Markets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Banerjee [R19] surveys 387 Indian retail investors and analyses the results with Structural Equation Modelling, finding that technology readiness and financial literacy are the two strongest predictors of intent to adopt robo-advisory services.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b w:val="1"/>
          <w:bCs w:val="1"/>
          <w:sz w:val="18"/>
          <w:szCs w:val="18"/>
          <w:rtl w:val="0"/>
          <w:lang w:val="en-US"/>
        </w:rPr>
        <w:t>TABLE VI. PREDICTORS OF ROBO-ADVISORY ADOPTION AMONG INDIAN RETAIL INVESTORS (BANERJEE [R19])</w:t>
      </w:r>
    </w:p>
    <w:tbl>
      <w:tblPr>
        <w:tblW w:w="62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1600"/>
        <w:gridCol w:w="2800"/>
      </w:tblGrid>
      <w:tr>
        <w:tblPrEx>
          <w:shd w:val="clear" w:color="auto" w:fill="ced7e7"/>
        </w:tblPrEx>
        <w:trPr>
          <w:trHeight w:val="193" w:hRule="atLeast"/>
        </w:trPr>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s>
            </w:pPr>
            <w:r>
              <w:rPr>
                <w:rFonts w:ascii="Times New Roman" w:hAnsi="Times New Roman"/>
                <w:b w:val="1"/>
                <w:bCs w:val="1"/>
                <w:sz w:val="16"/>
                <w:szCs w:val="16"/>
                <w:shd w:val="nil" w:color="auto" w:fill="auto"/>
                <w:rtl w:val="0"/>
                <w:lang w:val="fr-FR"/>
              </w:rPr>
              <w:t>Predictor</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s>
            </w:pPr>
            <w:r>
              <w:rPr>
                <w:rFonts w:ascii="Times New Roman" w:hAnsi="Times New Roman"/>
                <w:b w:val="1"/>
                <w:bCs w:val="1"/>
                <w:sz w:val="16"/>
                <w:szCs w:val="16"/>
                <w:shd w:val="nil" w:color="auto" w:fill="auto"/>
                <w:rtl w:val="0"/>
                <w:lang w:val="en-US"/>
              </w:rPr>
              <w:t>Relative Importance</w:t>
            </w:r>
          </w:p>
        </w:tc>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b w:val="1"/>
                <w:bCs w:val="1"/>
                <w:sz w:val="16"/>
                <w:szCs w:val="16"/>
                <w:shd w:val="nil" w:color="auto" w:fill="auto"/>
                <w:rtl w:val="0"/>
                <w:lang w:val="en-US"/>
              </w:rPr>
              <w:t>Implication for FinAI</w:t>
            </w:r>
          </w:p>
        </w:tc>
      </w:tr>
      <w:tr>
        <w:tblPrEx>
          <w:shd w:val="clear" w:color="auto" w:fill="ced7e7"/>
        </w:tblPrEx>
        <w:trPr>
          <w:trHeight w:val="193" w:hRule="atLeast"/>
        </w:trPr>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Technology readiness</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High</w:t>
            </w:r>
          </w:p>
        </w:tc>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6"/>
                <w:szCs w:val="16"/>
                <w:shd w:val="nil" w:color="auto" w:fill="auto"/>
                <w:rtl w:val="0"/>
                <w:lang w:val="en-US"/>
              </w:rPr>
              <w:t>Intuitive, mobile-first UI</w:t>
            </w:r>
          </w:p>
        </w:tc>
      </w:tr>
      <w:tr>
        <w:tblPrEx>
          <w:shd w:val="clear" w:color="auto" w:fill="ced7e7"/>
        </w:tblPrEx>
        <w:trPr>
          <w:trHeight w:val="408" w:hRule="atLeast"/>
        </w:trPr>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Financial literacy</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High</w:t>
            </w:r>
          </w:p>
        </w:tc>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6"/>
                <w:szCs w:val="16"/>
                <w:shd w:val="nil" w:color="auto" w:fill="auto"/>
                <w:rtl w:val="0"/>
                <w:lang w:val="en-US"/>
              </w:rPr>
              <w:t>In-app education; explainable recommendations</w:t>
            </w:r>
          </w:p>
        </w:tc>
      </w:tr>
      <w:tr>
        <w:tblPrEx>
          <w:shd w:val="clear" w:color="auto" w:fill="ced7e7"/>
        </w:tblPrEx>
        <w:trPr>
          <w:trHeight w:val="193" w:hRule="atLeast"/>
        </w:trPr>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Social influence</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de-DE"/>
              </w:rPr>
              <w:t>Moderate</w:t>
            </w:r>
          </w:p>
        </w:tc>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6"/>
                <w:szCs w:val="16"/>
                <w:shd w:val="nil" w:color="auto" w:fill="auto"/>
                <w:rtl w:val="0"/>
                <w:lang w:val="en-US"/>
              </w:rPr>
              <w:t>Social proof features</w:t>
            </w:r>
          </w:p>
        </w:tc>
      </w:tr>
      <w:tr>
        <w:tblPrEx>
          <w:shd w:val="clear" w:color="auto" w:fill="ced7e7"/>
        </w:tblPrEx>
        <w:trPr>
          <w:trHeight w:val="193" w:hRule="atLeast"/>
        </w:trPr>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fr-FR"/>
              </w:rPr>
              <w:t>Investor type</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de-DE"/>
              </w:rPr>
              <w:t>Moderate</w:t>
            </w:r>
          </w:p>
        </w:tc>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6"/>
                <w:szCs w:val="16"/>
                <w:shd w:val="nil" w:color="auto" w:fill="auto"/>
                <w:rtl w:val="0"/>
                <w:lang w:val="fr-FR"/>
              </w:rPr>
              <w:t>Personalisation engine</w:t>
            </w:r>
          </w:p>
        </w:tc>
      </w:tr>
      <w:tr>
        <w:tblPrEx>
          <w:shd w:val="clear" w:color="auto" w:fill="ced7e7"/>
        </w:tblPrEx>
        <w:trPr>
          <w:trHeight w:val="193" w:hRule="atLeast"/>
        </w:trPr>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Demographics</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Low</w:t>
            </w:r>
          </w:p>
        </w:tc>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6"/>
                <w:szCs w:val="16"/>
                <w:shd w:val="nil" w:color="auto" w:fill="auto"/>
                <w:rtl w:val="0"/>
                <w:lang w:val="en-US"/>
              </w:rPr>
              <w:t>Avoid demographic-only segmentation</w:t>
            </w:r>
          </w:p>
        </w:tc>
      </w:tr>
    </w:tbl>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 w:hanging="108"/>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b w:val="1"/>
          <w:bCs w:val="1"/>
          <w:i w:val="1"/>
          <w:iCs w:val="1"/>
          <w:sz w:val="20"/>
          <w:szCs w:val="20"/>
          <w:rtl w:val="0"/>
          <w:lang w:val="en-US"/>
        </w:rPr>
        <w:t>F. Cloud Computing Infrastructure for Financial AI</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Rai and Thakkar [R9] compare three cloud service models (SaaS, PaaS, IaaS) and three major providers (AWS, Microsoft Azure, Google Cloud Platform) in a banking context. Cloud adoption can improve scalability, flexibility and cost efficiency, but financial institutions face additional requirements around security, data sovereignty, regulatory compliance and vendor risk.</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Sharma et al. [R10] find that operational efficiency and regulatory compliance support cloud scalability, while the effect of security concerns depends heavily on context. Security is a real constraint, but not a blanket barrier to cloud adoption.</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b w:val="1"/>
          <w:bCs w:val="1"/>
          <w:sz w:val="18"/>
          <w:szCs w:val="18"/>
          <w:rtl w:val="0"/>
          <w:lang w:val="en-US"/>
        </w:rPr>
        <w:t>TABLE VII. CLOUD AND INFRASTRUCTURE CONSIDERATIONS FOR AI FINANCIAL SYSTEMS</w:t>
      </w:r>
    </w:p>
    <w:tbl>
      <w:tblPr>
        <w:tblW w:w="62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00"/>
        <w:gridCol w:w="2000"/>
        <w:gridCol w:w="2800"/>
      </w:tblGrid>
      <w:tr>
        <w:tblPrEx>
          <w:shd w:val="clear" w:color="auto" w:fill="ced7e7"/>
        </w:tblPrEx>
        <w:trPr>
          <w:trHeight w:val="193" w:hRule="atLeast"/>
        </w:trPr>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s>
            </w:pPr>
            <w:r>
              <w:rPr>
                <w:rFonts w:ascii="Times New Roman" w:hAnsi="Times New Roman"/>
                <w:b w:val="1"/>
                <w:bCs w:val="1"/>
                <w:sz w:val="16"/>
                <w:szCs w:val="16"/>
                <w:shd w:val="nil" w:color="auto" w:fill="auto"/>
                <w:rtl w:val="0"/>
                <w:lang w:val="fr-FR"/>
              </w:rPr>
              <w:t>Dimension</w:t>
            </w:r>
          </w:p>
        </w:tc>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s>
            </w:pPr>
            <w:r>
              <w:rPr>
                <w:rFonts w:ascii="Times New Roman" w:hAnsi="Times New Roman"/>
                <w:b w:val="1"/>
                <w:bCs w:val="1"/>
                <w:sz w:val="16"/>
                <w:szCs w:val="16"/>
                <w:shd w:val="nil" w:color="auto" w:fill="auto"/>
                <w:rtl w:val="0"/>
                <w:lang w:val="en-US"/>
              </w:rPr>
              <w:t>Key Challenge</w:t>
            </w:r>
          </w:p>
        </w:tc>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b w:val="1"/>
                <w:bCs w:val="1"/>
                <w:sz w:val="16"/>
                <w:szCs w:val="16"/>
                <w:shd w:val="nil" w:color="auto" w:fill="auto"/>
                <w:rtl w:val="0"/>
                <w:lang w:val="en-US"/>
              </w:rPr>
              <w:t>Recommended Approach</w:t>
            </w:r>
          </w:p>
        </w:tc>
      </w:tr>
      <w:tr>
        <w:tblPrEx>
          <w:shd w:val="clear" w:color="auto" w:fill="ced7e7"/>
        </w:tblPrEx>
        <w:trPr>
          <w:trHeight w:val="193" w:hRule="atLeast"/>
        </w:trPr>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en-US"/>
              </w:rPr>
              <w:t>Scalability</w:t>
            </w:r>
          </w:p>
        </w:tc>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Variable load</w:t>
            </w:r>
          </w:p>
        </w:tc>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6"/>
                <w:szCs w:val="16"/>
                <w:shd w:val="nil" w:color="auto" w:fill="auto"/>
                <w:rtl w:val="0"/>
                <w:lang w:val="en-US"/>
              </w:rPr>
              <w:t>Auto-scaling cloud deployment</w:t>
            </w:r>
          </w:p>
        </w:tc>
      </w:tr>
      <w:tr>
        <w:tblPrEx>
          <w:shd w:val="clear" w:color="auto" w:fill="ced7e7"/>
        </w:tblPrEx>
        <w:trPr>
          <w:trHeight w:val="193" w:hRule="atLeast"/>
        </w:trPr>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en-US"/>
              </w:rPr>
              <w:t>Security</w:t>
            </w:r>
          </w:p>
        </w:tc>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Data breaches, API attacks</w:t>
            </w:r>
          </w:p>
        </w:tc>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6"/>
                <w:szCs w:val="16"/>
                <w:shd w:val="nil" w:color="auto" w:fill="auto"/>
                <w:rtl w:val="0"/>
                <w:lang w:val="en-US"/>
              </w:rPr>
              <w:t>Encryption, OAuth 2.0, WAF</w:t>
            </w:r>
          </w:p>
        </w:tc>
      </w:tr>
      <w:tr>
        <w:tblPrEx>
          <w:shd w:val="clear" w:color="auto" w:fill="ced7e7"/>
        </w:tblPrEx>
        <w:trPr>
          <w:trHeight w:val="193" w:hRule="atLeast"/>
        </w:trPr>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en-US"/>
              </w:rPr>
              <w:t>Compliance</w:t>
            </w:r>
          </w:p>
        </w:tc>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RBI/SEBI regulations</w:t>
            </w:r>
          </w:p>
        </w:tc>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6"/>
                <w:szCs w:val="16"/>
                <w:shd w:val="nil" w:color="auto" w:fill="auto"/>
                <w:rtl w:val="0"/>
                <w:lang w:val="en-US"/>
              </w:rPr>
              <w:t>India-region cloud, audit logging</w:t>
            </w:r>
          </w:p>
        </w:tc>
      </w:tr>
      <w:tr>
        <w:tblPrEx>
          <w:shd w:val="clear" w:color="auto" w:fill="ced7e7"/>
        </w:tblPrEx>
        <w:trPr>
          <w:trHeight w:val="193" w:hRule="atLeast"/>
        </w:trPr>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nl-NL"/>
              </w:rPr>
              <w:t>Latency</w:t>
            </w:r>
          </w:p>
        </w:tc>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Real-time market data</w:t>
            </w:r>
          </w:p>
        </w:tc>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6"/>
                <w:szCs w:val="16"/>
                <w:shd w:val="nil" w:color="auto" w:fill="auto"/>
                <w:rtl w:val="0"/>
                <w:lang w:val="en-US"/>
              </w:rPr>
              <w:t>Edge computing, low-latency APIs</w:t>
            </w:r>
          </w:p>
        </w:tc>
      </w:tr>
      <w:tr>
        <w:tblPrEx>
          <w:shd w:val="clear" w:color="auto" w:fill="ced7e7"/>
        </w:tblPrEx>
        <w:trPr>
          <w:trHeight w:val="408" w:hRule="atLeast"/>
        </w:trPr>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pt-PT"/>
              </w:rPr>
              <w:t>Cost</w:t>
            </w:r>
          </w:p>
        </w:tc>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LLM inference at scale</w:t>
            </w:r>
          </w:p>
        </w:tc>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6"/>
                <w:szCs w:val="16"/>
                <w:shd w:val="nil" w:color="auto" w:fill="auto"/>
                <w:rtl w:val="0"/>
                <w:lang w:val="en-US"/>
              </w:rPr>
              <w:t>Model caching, smaller fine-tuned models</w:t>
            </w:r>
          </w:p>
        </w:tc>
      </w:tr>
      <w:tr>
        <w:tblPrEx>
          <w:shd w:val="clear" w:color="auto" w:fill="ced7e7"/>
        </w:tblPrEx>
        <w:trPr>
          <w:trHeight w:val="193" w:hRule="atLeast"/>
        </w:trPr>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en-US"/>
              </w:rPr>
              <w:t>Availability</w:t>
            </w:r>
          </w:p>
        </w:tc>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24/7 access</w:t>
            </w:r>
          </w:p>
        </w:tc>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pPr>
            <w:r>
              <w:rPr>
                <w:rFonts w:ascii="Times New Roman" w:hAnsi="Times New Roman"/>
                <w:sz w:val="16"/>
                <w:szCs w:val="16"/>
                <w:shd w:val="nil" w:color="auto" w:fill="auto"/>
                <w:rtl w:val="0"/>
                <w:lang w:val="en-US"/>
              </w:rPr>
              <w:t>Multi-region redundancy</w:t>
            </w:r>
          </w:p>
        </w:tc>
      </w:tr>
    </w:tbl>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 w:hanging="108"/>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Anand et al. [R11] document the attack vectors most common in financial institutions: phishing, ransomware, API vulnerabilities and insider threats. They note that AI-powered financial systems add new attack surfaces through model-serving APIs, training data pipelines and user-facing interfaces.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Kumar and Singh [R13] explore pairing blockchain</w:t>
      </w:r>
      <w:r>
        <w:rPr>
          <w:rFonts w:ascii="Arial Unicode MS" w:hAnsi="Arial Unicode MS" w:hint="default"/>
          <w:sz w:val="20"/>
          <w:szCs w:val="20"/>
          <w:rtl w:val="0"/>
          <w:lang w:val="en-US"/>
        </w:rPr>
        <w:t>’</w:t>
      </w:r>
      <w:r>
        <w:rPr>
          <w:rFonts w:ascii="Times New Roman" w:hAnsi="Times New Roman"/>
          <w:sz w:val="20"/>
          <w:szCs w:val="20"/>
          <w:rtl w:val="0"/>
          <w:lang w:val="en-US"/>
        </w:rPr>
        <w:t>s immutable ledger with AI to improve security and transparency. They suggest that a distributed ledger could give AI financial recommendations a tamper-proof audit trail, though this remains a longer-term architectural direction.</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b w:val="1"/>
          <w:bCs w:val="1"/>
          <w:i w:val="1"/>
          <w:iCs w:val="1"/>
          <w:sz w:val="20"/>
          <w:szCs w:val="20"/>
          <w:rtl w:val="0"/>
          <w:lang w:val="en-US"/>
        </w:rPr>
        <w:t>G. Algorithmic and High-Frequency Trading</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Zhang [R21] reviews empirical research on high-frequency trading (HFT) across price efficiency, transaction costs and market volatility, and proposes endogenous liquidity provision as a unifying explanation: HFT firms supply liquidity when it is profitable to do so and withdraw when conditions turn against them. Under normal conditions this narrows spreads and speeds up price discovery; during market shocks, simultaneous withdrawal can amplify volatility, as seen in the May 6, 2010 Flash Crash.</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Gu [R22] traces how algorithmic trading has grown as a share of U.S. equity volume from roughly 20 percent in 2000 to over 90 percent by 2019. The benefits include faster execution, reduced human bias and wider access to market information. The risks include heavy dependence on infrastructure and the potential to amplify flash crashes. Price prediction models that ignore HFT market microstructure risk systematically underperforming.</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b w:val="1"/>
          <w:bCs w:val="1"/>
          <w:sz w:val="20"/>
          <w:szCs w:val="20"/>
          <w:rtl w:val="0"/>
          <w:lang w:val="en-US"/>
        </w:rPr>
        <w:t>IV. COMPARATIVE ANALYSIS AND SYNTHESIS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b w:val="1"/>
          <w:bCs w:val="1"/>
          <w:i w:val="1"/>
          <w:iCs w:val="1"/>
          <w:sz w:val="20"/>
          <w:szCs w:val="20"/>
          <w:rtl w:val="0"/>
          <w:lang w:val="en-US"/>
        </w:rPr>
        <w:t>A. Cross-Domain Synthesis: Conceptual Architecture for FinAI</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The proposed architecture has five layers. A user interface layer (conversational chat, dashboard, portfolio view, reports) sits above an AI reasoning and NLP layer, which combines an LLM engine (FinGPT or GPT-4), FinBERT-based sentiment analysis, financial question answering, a retrieval-augmented generation pipeline, and explanation generation. That layer draws on three parallel components: market data prediction (LSTM/CNN models), portfolio optimisation (mean-CVaR and RL agents), and risk profiling and goal planning. All three are fed by a data ingestion layer pulling from market APIs, news feeds, user data and economic indicators, and the whole system runs on India-region cloud infrastructure with dedicated attention to security, scalability, compliance and monitoring.</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Component-to-literature mapping: LLM layer [R1]</w:t>
      </w:r>
      <w:r>
        <w:rPr>
          <w:rFonts w:ascii="Times New Roman" w:hAnsi="Times New Roman" w:hint="default"/>
          <w:sz w:val="20"/>
          <w:szCs w:val="20"/>
          <w:rtl w:val="0"/>
          <w:lang w:val="en-US"/>
        </w:rPr>
        <w:t>–</w:t>
      </w:r>
      <w:r>
        <w:rPr>
          <w:rFonts w:ascii="Times New Roman" w:hAnsi="Times New Roman"/>
          <w:sz w:val="20"/>
          <w:szCs w:val="20"/>
          <w:rtl w:val="0"/>
          <w:lang w:val="en-US"/>
        </w:rPr>
        <w:t>[R8]; prediction [R15], [R16], [R20]; portfolio [R12], [R14], [R16], [R17]; cloud [R9]</w:t>
      </w:r>
      <w:r>
        <w:rPr>
          <w:rFonts w:ascii="Times New Roman" w:hAnsi="Times New Roman" w:hint="default"/>
          <w:sz w:val="20"/>
          <w:szCs w:val="20"/>
          <w:rtl w:val="0"/>
          <w:lang w:val="en-US"/>
        </w:rPr>
        <w:t>–</w:t>
      </w:r>
      <w:r>
        <w:rPr>
          <w:rFonts w:ascii="Times New Roman" w:hAnsi="Times New Roman"/>
          <w:sz w:val="20"/>
          <w:szCs w:val="20"/>
          <w:rtl w:val="0"/>
          <w:lang w:val="en-US"/>
        </w:rPr>
        <w:t>[R11], [R13]; adoption [R18], [R19].</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b w:val="1"/>
          <w:bCs w:val="1"/>
          <w:i w:val="1"/>
          <w:iCs w:val="1"/>
          <w:sz w:val="20"/>
          <w:szCs w:val="20"/>
          <w:rtl w:val="0"/>
          <w:lang w:val="en-US"/>
        </w:rPr>
        <w:t>B. Technology Readiness Assessment</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lang w:val="es-ES_tradnl"/>
        </w:rPr>
      </w:pPr>
      <w:r>
        <w:rPr>
          <w:rFonts w:ascii="Times New Roman" w:hAnsi="Times New Roman"/>
          <w:b w:val="1"/>
          <w:bCs w:val="1"/>
          <w:sz w:val="18"/>
          <w:szCs w:val="18"/>
          <w:rtl w:val="0"/>
          <w:lang w:val="es-ES_tradnl"/>
        </w:rPr>
        <w:t>TABLE VIII. TECHNOLOGY READINESS FOR FINAI COMPONENTS</w:t>
      </w:r>
    </w:p>
    <w:tbl>
      <w:tblPr>
        <w:tblW w:w="62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00"/>
        <w:gridCol w:w="1200"/>
        <w:gridCol w:w="1600"/>
        <w:gridCol w:w="1900"/>
      </w:tblGrid>
      <w:tr>
        <w:tblPrEx>
          <w:shd w:val="clear" w:color="auto" w:fill="ced7e7"/>
        </w:tblPrEx>
        <w:trPr>
          <w:trHeight w:val="19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s>
            </w:pPr>
            <w:r>
              <w:rPr>
                <w:rFonts w:ascii="Times New Roman" w:hAnsi="Times New Roman"/>
                <w:b w:val="1"/>
                <w:bCs w:val="1"/>
                <w:sz w:val="16"/>
                <w:szCs w:val="16"/>
                <w:shd w:val="nil" w:color="auto" w:fill="auto"/>
                <w:rtl w:val="0"/>
                <w:lang w:val="it-IT"/>
              </w:rPr>
              <w:t>Component</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s>
            </w:pPr>
            <w:r>
              <w:rPr>
                <w:rFonts w:ascii="Times New Roman" w:hAnsi="Times New Roman"/>
                <w:b w:val="1"/>
                <w:bCs w:val="1"/>
                <w:sz w:val="16"/>
                <w:szCs w:val="16"/>
                <w:shd w:val="nil" w:color="auto" w:fill="auto"/>
                <w:rtl w:val="0"/>
                <w:lang w:val="en-US"/>
              </w:rPr>
              <w:t>Readiness</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s>
            </w:pPr>
            <w:r>
              <w:rPr>
                <w:rFonts w:ascii="Times New Roman" w:hAnsi="Times New Roman"/>
                <w:b w:val="1"/>
                <w:bCs w:val="1"/>
                <w:sz w:val="16"/>
                <w:szCs w:val="16"/>
                <w:shd w:val="nil" w:color="auto" w:fill="auto"/>
                <w:rtl w:val="0"/>
                <w:lang w:val="en-US"/>
              </w:rPr>
              <w:t>Best Approaches</w:t>
            </w:r>
          </w:p>
        </w:tc>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s>
            </w:pPr>
            <w:r>
              <w:rPr>
                <w:rFonts w:ascii="Times New Roman" w:hAnsi="Times New Roman"/>
                <w:b w:val="1"/>
                <w:bCs w:val="1"/>
                <w:sz w:val="16"/>
                <w:szCs w:val="16"/>
                <w:shd w:val="nil" w:color="auto" w:fill="auto"/>
                <w:rtl w:val="0"/>
                <w:lang w:val="en-US"/>
              </w:rPr>
              <w:t>Remaining Challenges</w:t>
            </w:r>
          </w:p>
        </w:tc>
      </w:tr>
      <w:tr>
        <w:tblPrEx>
          <w:shd w:val="clear" w:color="auto" w:fill="ced7e7"/>
        </w:tblPrEx>
        <w:trPr>
          <w:trHeight w:val="19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pt-PT"/>
              </w:rPr>
              <w:t>Financial NLP</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en-US"/>
              </w:rPr>
              <w:t>High</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de-DE"/>
              </w:rPr>
              <w:t>FinBERT, GPT-4</w:t>
            </w:r>
          </w:p>
        </w:tc>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it-IT"/>
              </w:rPr>
              <w:t>Multilingual support</w:t>
            </w:r>
          </w:p>
        </w:tc>
      </w:tr>
      <w:tr>
        <w:tblPrEx>
          <w:shd w:val="clear" w:color="auto" w:fill="ced7e7"/>
        </w:tblPrEx>
        <w:trPr>
          <w:trHeight w:val="19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de-DE"/>
              </w:rPr>
              <w:t>LLM interface</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en-US"/>
              </w:rPr>
              <w:t>High</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FinGPT, GPT-4 API</w:t>
            </w:r>
          </w:p>
        </w:tc>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it-IT"/>
              </w:rPr>
              <w:t>Hallucination, cost</w:t>
            </w:r>
          </w:p>
        </w:tc>
      </w:tr>
      <w:tr>
        <w:tblPrEx>
          <w:shd w:val="clear" w:color="auto" w:fill="ced7e7"/>
        </w:tblPrEx>
        <w:trPr>
          <w:trHeight w:val="19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Stock prediction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en-US"/>
              </w:rPr>
              <w:t>Medium-high</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de-DE"/>
              </w:rPr>
              <w:t>LSTM, CNN-LSTM</w:t>
            </w:r>
          </w:p>
        </w:tc>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fr-FR"/>
              </w:rPr>
              <w:t>Regime generalisation</w:t>
            </w:r>
          </w:p>
        </w:tc>
      </w:tr>
      <w:tr>
        <w:tblPrEx>
          <w:shd w:val="clear" w:color="auto" w:fill="ced7e7"/>
        </w:tblPrEx>
        <w:trPr>
          <w:trHeight w:val="19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it-IT"/>
              </w:rPr>
              <w:t>Portfolio opt.</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fr-FR"/>
              </w:rPr>
              <w:t>Medium</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de-DE"/>
              </w:rPr>
              <w:t>Mean-CVaR, RL</w:t>
            </w:r>
          </w:p>
        </w:tc>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Live deployment, costs</w:t>
            </w:r>
          </w:p>
        </w:tc>
      </w:tr>
      <w:tr>
        <w:tblPrEx>
          <w:shd w:val="clear" w:color="auto" w:fill="ced7e7"/>
        </w:tblPrEx>
        <w:trPr>
          <w:trHeight w:val="19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Robo-advisory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en-US"/>
              </w:rPr>
              <w:t>High</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Rule-based + ML</w:t>
            </w:r>
          </w:p>
        </w:tc>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Retail trust, compliance</w:t>
            </w:r>
          </w:p>
        </w:tc>
      </w:tr>
      <w:tr>
        <w:tblPrEx>
          <w:shd w:val="clear" w:color="auto" w:fill="ced7e7"/>
        </w:tblPrEx>
        <w:trPr>
          <w:trHeight w:val="19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it-IT"/>
              </w:rPr>
              <w:t>Cloud infra.</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en-US"/>
              </w:rPr>
              <w:t>High</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it-IT"/>
              </w:rPr>
              <w:t>AWS / Azure / GCP</w:t>
            </w:r>
          </w:p>
        </w:tc>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fr-FR"/>
              </w:rPr>
              <w:t>Data localisation</w:t>
            </w:r>
          </w:p>
        </w:tc>
      </w:tr>
      <w:tr>
        <w:tblPrEx>
          <w:shd w:val="clear" w:color="auto" w:fill="ced7e7"/>
        </w:tblPrEx>
        <w:trPr>
          <w:trHeight w:val="193"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Explainability</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en-US"/>
              </w:rPr>
              <w:t>Low-medium</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da-DK"/>
              </w:rPr>
              <w:t>SHAP, LIME, LLM</w:t>
            </w:r>
          </w:p>
        </w:tc>
        <w:tc>
          <w:tcPr>
            <w:tcW w:type="dxa" w:w="1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User-interpretable output</w:t>
            </w:r>
          </w:p>
        </w:tc>
      </w:tr>
    </w:tbl>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 w:hanging="108"/>
        <w:rPr>
          <w:lang w:val="es-ES_tradnl"/>
        </w:rPr>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b w:val="1"/>
          <w:bCs w:val="1"/>
          <w:i w:val="1"/>
          <w:iCs w:val="1"/>
          <w:sz w:val="20"/>
          <w:szCs w:val="20"/>
          <w:rtl w:val="0"/>
          <w:lang w:val="en-US"/>
        </w:rPr>
        <w:t>C. Methodological Approaches Across Domains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Survey and systematic literature review methods appear in six papers. Deep learning (LSTM, CNN, Transformer) appears in four, LLM-based approaches in five, statistical/SEM methods in three, comparative/case analysis in four, reinforcement learning in one, and empirical/natural experiment designs in two. Some papers span more than one category.</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lang w:val="de-DE"/>
        </w:rPr>
      </w:pPr>
      <w:r>
        <w:rPr>
          <w:rFonts w:ascii="Times New Roman" w:hAnsi="Times New Roman"/>
          <w:b w:val="1"/>
          <w:bCs w:val="1"/>
          <w:sz w:val="20"/>
          <w:szCs w:val="20"/>
          <w:rtl w:val="0"/>
          <w:lang w:val="de-DE"/>
        </w:rPr>
        <w:t>V. RESEARCH GAPS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Reading across all 22 papers together surfaces eight gaps that matter for the design of the FinAI Personal Financial Planner.</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b w:val="1"/>
          <w:bCs w:val="1"/>
          <w:sz w:val="20"/>
          <w:szCs w:val="20"/>
          <w:rtl w:val="0"/>
          <w:lang w:val="en-US"/>
        </w:rPr>
        <w:t>Gap 1: No End-to-End AI Personal Financial Planner</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Individually, the components exist: LLMs, portfolio optimisation, robo-advisory logic, prediction models. What is missing from the literature is a single system that integrates conversational intelligence, predictive analytics, portfolio management and personalised planning for retail users. Closing this gap is the primary contribution the FinAI system is meant to make.</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b w:val="1"/>
          <w:bCs w:val="1"/>
          <w:sz w:val="20"/>
          <w:szCs w:val="20"/>
          <w:rtl w:val="0"/>
          <w:lang w:val="en-US"/>
        </w:rPr>
        <w:t>Gap 2: Limited Personalisation for Indian Retail Investors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Banerjee</w:t>
      </w:r>
      <w:r>
        <w:rPr>
          <w:rFonts w:ascii="Arial Unicode MS" w:hAnsi="Arial Unicode MS" w:hint="default"/>
          <w:sz w:val="20"/>
          <w:szCs w:val="20"/>
          <w:rtl w:val="0"/>
          <w:lang w:val="en-US"/>
        </w:rPr>
        <w:t>’</w:t>
      </w:r>
      <w:r>
        <w:rPr>
          <w:rFonts w:ascii="Times New Roman" w:hAnsi="Times New Roman"/>
          <w:sz w:val="20"/>
          <w:szCs w:val="20"/>
          <w:rtl w:val="0"/>
          <w:lang w:val="en-US"/>
        </w:rPr>
        <w:t>s study [R19] is the only reviewed paper focused specifically on the Indian market. The investment vehicles available to Indian retail investors (mutual funds, NSE/BSE equities, SIPs, PPF, NPS, fixed deposits), the regulatory environment (SEBI, IRDAI, RBI) and the multilingual user base all create a context that the mostly Western-centric literature does not address.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b w:val="1"/>
          <w:bCs w:val="1"/>
          <w:sz w:val="20"/>
          <w:szCs w:val="20"/>
          <w:rtl w:val="0"/>
          <w:lang w:val="en-US"/>
        </w:rPr>
        <w:t>Gap 3: Explainability and Trust in AI Financial Recommendations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Several papers flag explainability as important [R1], [R4], [R14], but only MarketSenseAI [R8] offers even partial explanation. No paper in this review presents an explanation system for portfolio recommendations that has been tested for its actual effect on user trust and adoption. FinAI should generate an LLM-written rationale for every recommendation, paired with SHAP or LIME output.</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b w:val="1"/>
          <w:bCs w:val="1"/>
          <w:sz w:val="20"/>
          <w:szCs w:val="20"/>
          <w:rtl w:val="0"/>
          <w:lang w:val="en-US"/>
        </w:rPr>
        <w:t>Gap 4: Integration of Multimodal Financial Data</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News sentiment [R7], price charts [R15], fundamentals and macroeconomic context [R8] are each studied on their own, but no reviewed paper validates a fusion of all these information types in a single retail-oriented prediction or advisory system.</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b w:val="1"/>
          <w:bCs w:val="1"/>
          <w:sz w:val="20"/>
          <w:szCs w:val="20"/>
          <w:rtl w:val="0"/>
          <w:lang w:val="en-US"/>
        </w:rPr>
        <w:t>Gap 5: Longitudinal Validation of AI Financial Advisory Outcomes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None of the reviewed studies track financial outcomes for retail users of AI-powered planning tools over several years or across different market conditions. The system should build in outcome tracking from the start.</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b w:val="1"/>
          <w:bCs w:val="1"/>
          <w:sz w:val="20"/>
          <w:szCs w:val="20"/>
          <w:rtl w:val="0"/>
          <w:lang w:val="en-US"/>
        </w:rPr>
        <w:t>Gap 6: Cost-Efficient LLM Deployment at Scale</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BloombergGPT [R2] is too costly to deploy outside large institutions, and the GPT-4 API [R8] carries per-query costs that are unsustainable at retail scale. A practical middle ground for FinAI is a tiered approach: a LoRA-fine-tuned FinGPT model for routine queries, with the GPT-4 API reserved for more complex advisory tasks.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b w:val="1"/>
          <w:bCs w:val="1"/>
          <w:sz w:val="20"/>
          <w:szCs w:val="20"/>
          <w:rtl w:val="0"/>
          <w:lang w:val="en-US"/>
        </w:rPr>
        <w:t>Gap 7: AI-Specific Cybersecurity for Financial Systems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The vulnerabilities specific to AI-powered financial systems</w:t>
      </w:r>
      <w:r>
        <w:rPr>
          <w:rFonts w:ascii="Times New Roman" w:hAnsi="Times New Roman" w:hint="default"/>
          <w:sz w:val="20"/>
          <w:szCs w:val="20"/>
          <w:rtl w:val="0"/>
          <w:lang w:val="en-US"/>
        </w:rPr>
        <w:t>—</w:t>
      </w:r>
      <w:r>
        <w:rPr>
          <w:rFonts w:ascii="Times New Roman" w:hAnsi="Times New Roman"/>
          <w:sz w:val="20"/>
          <w:szCs w:val="20"/>
          <w:rtl w:val="0"/>
          <w:lang w:val="en-US"/>
        </w:rPr>
        <w:t>adversarial attacks on ML models, prompt injection against LLMs, and poisoning of financial training data</w:t>
      </w:r>
      <w:r>
        <w:rPr>
          <w:rFonts w:ascii="Times New Roman" w:hAnsi="Times New Roman" w:hint="default"/>
          <w:sz w:val="20"/>
          <w:szCs w:val="20"/>
          <w:rtl w:val="0"/>
          <w:lang w:val="en-US"/>
        </w:rPr>
        <w:t>—</w:t>
      </w:r>
      <w:r>
        <w:rPr>
          <w:rFonts w:ascii="Times New Roman" w:hAnsi="Times New Roman"/>
          <w:sz w:val="20"/>
          <w:szCs w:val="20"/>
          <w:rtl w:val="0"/>
          <w:lang w:val="en-US"/>
        </w:rPr>
        <w:t>get little systematic attention. FinAI</w:t>
      </w:r>
      <w:r>
        <w:rPr>
          <w:rFonts w:ascii="Arial Unicode MS" w:hAnsi="Arial Unicode MS" w:hint="default"/>
          <w:sz w:val="20"/>
          <w:szCs w:val="20"/>
          <w:rtl w:val="0"/>
          <w:lang w:val="en-US"/>
        </w:rPr>
        <w:t>’</w:t>
      </w:r>
      <w:r>
        <w:rPr>
          <w:rFonts w:ascii="Times New Roman" w:hAnsi="Times New Roman"/>
          <w:sz w:val="20"/>
          <w:szCs w:val="20"/>
          <w:rtl w:val="0"/>
          <w:lang w:val="en-US"/>
        </w:rPr>
        <w:t>s security design should account for adversarial robustness, input sanitisation against prompt injection, encrypted storage of personal financial data, and OAuth 2.0 authentication.</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b w:val="1"/>
          <w:bCs w:val="1"/>
          <w:sz w:val="20"/>
          <w:szCs w:val="20"/>
          <w:rtl w:val="0"/>
          <w:lang w:val="en-US"/>
        </w:rPr>
        <w:t>Gap 8: Regulatory Compliance Framework for AI Financial Advisors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SEBI</w:t>
      </w:r>
      <w:r>
        <w:rPr>
          <w:rFonts w:ascii="Arial Unicode MS" w:hAnsi="Arial Unicode MS" w:hint="default"/>
          <w:sz w:val="20"/>
          <w:szCs w:val="20"/>
          <w:rtl w:val="0"/>
          <w:lang w:val="en-US"/>
        </w:rPr>
        <w:t>’</w:t>
      </w:r>
      <w:r>
        <w:rPr>
          <w:rFonts w:ascii="Times New Roman" w:hAnsi="Times New Roman"/>
          <w:sz w:val="20"/>
          <w:szCs w:val="20"/>
          <w:rtl w:val="0"/>
          <w:lang w:val="en-US"/>
        </w:rPr>
        <w:t>s 2023 consultation paper on AI in securities markets and RBI</w:t>
      </w:r>
      <w:r>
        <w:rPr>
          <w:rFonts w:ascii="Arial Unicode MS" w:hAnsi="Arial Unicode MS" w:hint="default"/>
          <w:sz w:val="20"/>
          <w:szCs w:val="20"/>
          <w:rtl w:val="0"/>
          <w:lang w:val="en-US"/>
        </w:rPr>
        <w:t>’</w:t>
      </w:r>
      <w:r>
        <w:rPr>
          <w:rFonts w:ascii="Times New Roman" w:hAnsi="Times New Roman"/>
          <w:sz w:val="20"/>
          <w:szCs w:val="20"/>
          <w:rtl w:val="0"/>
          <w:lang w:val="en-US"/>
        </w:rPr>
        <w:t>s evolving fintech regulations together create a compliance environment that no reviewed paper addresses comprehensively. FinAI needs mandatory investment-recommendation disclaimers, India-region data localisation, audit logs for every AI-generated recommendation, and clear user consent flows.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b w:val="1"/>
          <w:bCs w:val="1"/>
          <w:sz w:val="18"/>
          <w:szCs w:val="18"/>
          <w:rtl w:val="0"/>
          <w:lang w:val="en-US"/>
        </w:rPr>
        <w:t>TABLE IX. SUMMARY OF RESEARCH GAPS AND IMPLICATIONS FOR FINAI</w:t>
      </w:r>
    </w:p>
    <w:tbl>
      <w:tblPr>
        <w:tblW w:w="58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0"/>
        <w:gridCol w:w="2000"/>
        <w:gridCol w:w="1100"/>
        <w:gridCol w:w="2000"/>
      </w:tblGrid>
      <w:tr>
        <w:tblPrEx>
          <w:shd w:val="clear" w:color="auto" w:fill="ced7e7"/>
        </w:tblPrEx>
        <w:trPr>
          <w:trHeight w:val="193" w:hRule="atLeast"/>
        </w:trPr>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pPr>
            <w:r>
              <w:rPr>
                <w:rFonts w:ascii="Times New Roman" w:hAnsi="Times New Roman"/>
                <w:b w:val="1"/>
                <w:bCs w:val="1"/>
                <w:sz w:val="16"/>
                <w:szCs w:val="16"/>
                <w:shd w:val="nil" w:color="auto" w:fill="auto"/>
                <w:rtl w:val="0"/>
                <w:lang w:val="fr-FR"/>
              </w:rPr>
              <w:t>Gap</w:t>
            </w:r>
          </w:p>
        </w:tc>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s>
            </w:pPr>
            <w:r>
              <w:rPr>
                <w:rFonts w:ascii="Times New Roman" w:hAnsi="Times New Roman"/>
                <w:b w:val="1"/>
                <w:bCs w:val="1"/>
                <w:sz w:val="16"/>
                <w:szCs w:val="16"/>
                <w:shd w:val="nil" w:color="auto" w:fill="auto"/>
                <w:rtl w:val="0"/>
                <w:lang w:val="fr-FR"/>
              </w:rPr>
              <w:t>Description</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s>
            </w:pPr>
            <w:r>
              <w:rPr>
                <w:rFonts w:ascii="Times New Roman" w:hAnsi="Times New Roman"/>
                <w:b w:val="1"/>
                <w:bCs w:val="1"/>
                <w:sz w:val="16"/>
                <w:szCs w:val="16"/>
                <w:shd w:val="nil" w:color="auto" w:fill="auto"/>
                <w:rtl w:val="0"/>
                <w:lang w:val="fr-FR"/>
              </w:rPr>
              <w:t>Severity</w:t>
            </w:r>
          </w:p>
        </w:tc>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s>
            </w:pPr>
            <w:r>
              <w:rPr>
                <w:rFonts w:ascii="Times New Roman" w:hAnsi="Times New Roman"/>
                <w:b w:val="1"/>
                <w:bCs w:val="1"/>
                <w:sz w:val="16"/>
                <w:szCs w:val="16"/>
                <w:shd w:val="nil" w:color="auto" w:fill="auto"/>
                <w:rtl w:val="0"/>
                <w:lang w:val="en-US"/>
              </w:rPr>
              <w:t>FinAI Response</w:t>
            </w:r>
          </w:p>
        </w:tc>
      </w:tr>
      <w:tr>
        <w:tblPrEx>
          <w:shd w:val="clear" w:color="auto" w:fill="ced7e7"/>
        </w:tblPrEx>
        <w:trPr>
          <w:trHeight w:val="193" w:hRule="atLeast"/>
        </w:trPr>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rFonts w:ascii="Times New Roman" w:hAnsi="Times New Roman"/>
                <w:sz w:val="16"/>
                <w:szCs w:val="16"/>
                <w:shd w:val="nil" w:color="auto" w:fill="auto"/>
                <w:rtl w:val="0"/>
                <w:lang w:val="fr-FR"/>
              </w:rPr>
              <w:t>1</w:t>
            </w:r>
          </w:p>
        </w:tc>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No end-to-end AI planner</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it-IT"/>
              </w:rPr>
              <w:t>Critical</w:t>
            </w:r>
          </w:p>
        </w:tc>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Primary contribution</w:t>
            </w:r>
          </w:p>
        </w:tc>
      </w:tr>
      <w:tr>
        <w:tblPrEx>
          <w:shd w:val="clear" w:color="auto" w:fill="ced7e7"/>
        </w:tblPrEx>
        <w:trPr>
          <w:trHeight w:val="408" w:hRule="atLeast"/>
        </w:trPr>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rFonts w:ascii="Times New Roman" w:hAnsi="Times New Roman"/>
                <w:sz w:val="16"/>
                <w:szCs w:val="16"/>
                <w:shd w:val="nil" w:color="auto" w:fill="auto"/>
                <w:rtl w:val="0"/>
                <w:lang w:val="fr-FR"/>
              </w:rPr>
              <w:t>2</w:t>
            </w:r>
          </w:p>
        </w:tc>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Limited India personalisation</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en-US"/>
              </w:rPr>
              <w:t>High</w:t>
            </w:r>
          </w:p>
        </w:tc>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it-IT"/>
              </w:rPr>
              <w:t>NSE/BSE data, multilingual</w:t>
            </w:r>
          </w:p>
        </w:tc>
      </w:tr>
      <w:tr>
        <w:tblPrEx>
          <w:shd w:val="clear" w:color="auto" w:fill="ced7e7"/>
        </w:tblPrEx>
        <w:trPr>
          <w:trHeight w:val="193" w:hRule="atLeast"/>
        </w:trPr>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rFonts w:ascii="Times New Roman" w:hAnsi="Times New Roman"/>
                <w:sz w:val="16"/>
                <w:szCs w:val="16"/>
                <w:shd w:val="nil" w:color="auto" w:fill="auto"/>
                <w:rtl w:val="0"/>
                <w:lang w:val="fr-FR"/>
              </w:rPr>
              <w:t>3</w:t>
            </w:r>
          </w:p>
        </w:tc>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Insufficient explainability</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en-US"/>
              </w:rPr>
              <w:t>High</w:t>
            </w:r>
          </w:p>
        </w:tc>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LLM + SHAP explanations</w:t>
            </w:r>
          </w:p>
        </w:tc>
      </w:tr>
      <w:tr>
        <w:tblPrEx>
          <w:shd w:val="clear" w:color="auto" w:fill="ced7e7"/>
        </w:tblPrEx>
        <w:trPr>
          <w:trHeight w:val="408" w:hRule="atLeast"/>
        </w:trPr>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rFonts w:ascii="Times New Roman" w:hAnsi="Times New Roman"/>
                <w:sz w:val="16"/>
                <w:szCs w:val="16"/>
                <w:shd w:val="nil" w:color="auto" w:fill="auto"/>
                <w:rtl w:val="0"/>
                <w:lang w:val="fr-FR"/>
              </w:rPr>
              <w:t>4</w:t>
            </w:r>
          </w:p>
        </w:tc>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it-IT"/>
              </w:rPr>
              <w:t>Multimodal data fusion</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en-US"/>
              </w:rPr>
              <w:t>Medium-high</w:t>
            </w:r>
          </w:p>
        </w:tc>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News + price + fundamentals</w:t>
            </w:r>
          </w:p>
        </w:tc>
      </w:tr>
      <w:tr>
        <w:tblPrEx>
          <w:shd w:val="clear" w:color="auto" w:fill="ced7e7"/>
        </w:tblPrEx>
        <w:trPr>
          <w:trHeight w:val="193" w:hRule="atLeast"/>
        </w:trPr>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rFonts w:ascii="Times New Roman" w:hAnsi="Times New Roman"/>
                <w:sz w:val="16"/>
                <w:szCs w:val="16"/>
                <w:shd w:val="nil" w:color="auto" w:fill="auto"/>
                <w:rtl w:val="0"/>
                <w:lang w:val="fr-FR"/>
              </w:rPr>
              <w:t>5</w:t>
            </w:r>
          </w:p>
        </w:tc>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it-IT"/>
              </w:rPr>
              <w:t>No longitudinal validation</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fr-FR"/>
              </w:rPr>
              <w:t>Medium</w:t>
            </w:r>
          </w:p>
        </w:tc>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Build in outcome tracking</w:t>
            </w:r>
          </w:p>
        </w:tc>
      </w:tr>
      <w:tr>
        <w:tblPrEx>
          <w:shd w:val="clear" w:color="auto" w:fill="ced7e7"/>
        </w:tblPrEx>
        <w:trPr>
          <w:trHeight w:val="193" w:hRule="atLeast"/>
        </w:trPr>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rFonts w:ascii="Times New Roman" w:hAnsi="Times New Roman"/>
                <w:sz w:val="16"/>
                <w:szCs w:val="16"/>
                <w:shd w:val="nil" w:color="auto" w:fill="auto"/>
                <w:rtl w:val="0"/>
                <w:lang w:val="fr-FR"/>
              </w:rPr>
              <w:t>6</w:t>
            </w:r>
          </w:p>
        </w:tc>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LLM cost at scale</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fr-FR"/>
              </w:rPr>
              <w:t>Medium</w:t>
            </w:r>
          </w:p>
        </w:tc>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FinGPT + GPT-4 hybrid</w:t>
            </w:r>
          </w:p>
        </w:tc>
      </w:tr>
      <w:tr>
        <w:tblPrEx>
          <w:shd w:val="clear" w:color="auto" w:fill="ced7e7"/>
        </w:tblPrEx>
        <w:trPr>
          <w:trHeight w:val="193" w:hRule="atLeast"/>
        </w:trPr>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rFonts w:ascii="Times New Roman" w:hAnsi="Times New Roman"/>
                <w:sz w:val="16"/>
                <w:szCs w:val="16"/>
                <w:shd w:val="nil" w:color="auto" w:fill="auto"/>
                <w:rtl w:val="0"/>
                <w:lang w:val="fr-FR"/>
              </w:rPr>
              <w:t>7</w:t>
            </w:r>
          </w:p>
        </w:tc>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AI-specific cybersecurity</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en-US"/>
              </w:rPr>
              <w:t>High</w:t>
            </w:r>
          </w:p>
        </w:tc>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it-IT"/>
              </w:rPr>
              <w:t>Adversarial robustness</w:t>
            </w:r>
          </w:p>
        </w:tc>
      </w:tr>
      <w:tr>
        <w:tblPrEx>
          <w:shd w:val="clear" w:color="auto" w:fill="ced7e7"/>
        </w:tblPrEx>
        <w:trPr>
          <w:trHeight w:val="193" w:hRule="atLeast"/>
        </w:trPr>
        <w:tc>
          <w:tcPr>
            <w:tcW w:type="dxa" w:w="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pPr>
            <w:r>
              <w:rPr>
                <w:rFonts w:ascii="Times New Roman" w:hAnsi="Times New Roman"/>
                <w:sz w:val="16"/>
                <w:szCs w:val="16"/>
                <w:shd w:val="nil" w:color="auto" w:fill="auto"/>
                <w:rtl w:val="0"/>
                <w:lang w:val="fr-FR"/>
              </w:rPr>
              <w:t>8</w:t>
            </w:r>
          </w:p>
        </w:tc>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Regulatory compliance</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en-US"/>
              </w:rPr>
              <w:t>High</w:t>
            </w:r>
          </w:p>
        </w:tc>
        <w:tc>
          <w:tcPr>
            <w:tcW w:type="dxa" w:w="2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SEBI/RBI-compliant design</w:t>
            </w:r>
          </w:p>
        </w:tc>
      </w:tr>
    </w:tbl>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 w:hanging="108"/>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b w:val="1"/>
          <w:bCs w:val="1"/>
          <w:sz w:val="20"/>
          <w:szCs w:val="20"/>
          <w:rtl w:val="0"/>
          <w:lang w:val="en-US"/>
        </w:rPr>
        <w:t>VI. SUMMARY</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b w:val="1"/>
          <w:bCs w:val="1"/>
          <w:i w:val="1"/>
          <w:iCs w:val="1"/>
          <w:sz w:val="20"/>
          <w:szCs w:val="20"/>
          <w:rtl w:val="0"/>
          <w:lang w:val="en-US"/>
        </w:rPr>
        <w:t>A. Key Findings by Domain</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Large language models and financial NLP. LLMs show real capability in financial text understanding, sentiment analysis and investment signal generation [R1]</w:t>
      </w:r>
      <w:r>
        <w:rPr>
          <w:rFonts w:ascii="Times New Roman" w:hAnsi="Times New Roman" w:hint="default"/>
          <w:sz w:val="20"/>
          <w:szCs w:val="20"/>
          <w:rtl w:val="0"/>
          <w:lang w:val="en-US"/>
        </w:rPr>
        <w:t>–</w:t>
      </w:r>
      <w:r>
        <w:rPr>
          <w:rFonts w:ascii="Times New Roman" w:hAnsi="Times New Roman"/>
          <w:sz w:val="20"/>
          <w:szCs w:val="20"/>
          <w:rtl w:val="0"/>
          <w:lang w:val="en-US"/>
        </w:rPr>
        <w:t>[R3], [R7], [R8]. Domain-specific financial LLMs (BloombergGPT, FinGPT) outperform general models on financial NLP tasks, though at very different resource costs [R2], [R3]. Hallucination risk, computational cost and regulatory compliance remain the main obstacles.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AI/ML for market prediction. LSTM and hybrid deep learning architectures remain the best-validated approach for financial time-series prediction [R20]. Combining prediction with mean-CVaR portfolio optimisation outperforms either step done alone [R16]. Fragmented datasets and metrics continue to make cross-study comparison difficult.</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Robo-advisory. Robo-advisory adoption is associated with better diversification, lower costs and time savings for investors [R17]. In India specifically, technology readiness and financial literacy are the strongest predictors of adoption [R19]. Implementation factors such as trust, interface design and regulation matter as much as technical performance [R14].</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Cloud infrastructure. Cloud adoption for financial AI is workable, but only with attention to security, regulatory compliance and data localisation [R9], [R10]. AI financial systems introduce security vulnerabilities that need dedicated mitigation strategies [R11].</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Algorithmic trading. Algorithmic and high-frequency trading now account for more than 90 percent of equity trading volume and shape the market microstructure that any prediction or trading model has to operate within [R21], [R22].</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b w:val="1"/>
          <w:bCs w:val="1"/>
          <w:i w:val="1"/>
          <w:iCs w:val="1"/>
          <w:sz w:val="20"/>
          <w:szCs w:val="20"/>
          <w:rtl w:val="0"/>
          <w:lang w:val="en-US"/>
        </w:rPr>
        <w:t>B. Synthesis: State of the Art vs. Required Capabilities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b w:val="1"/>
          <w:bCs w:val="1"/>
          <w:sz w:val="18"/>
          <w:szCs w:val="18"/>
          <w:rtl w:val="0"/>
          <w:lang w:val="en-US"/>
        </w:rPr>
        <w:t>TABLE X. STATE OF THE ART VS. FINAI REQUIRED CAPABILITIES</w:t>
      </w:r>
    </w:p>
    <w:tbl>
      <w:tblPr>
        <w:tblW w:w="620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00"/>
        <w:gridCol w:w="1600"/>
        <w:gridCol w:w="1400"/>
        <w:gridCol w:w="1800"/>
      </w:tblGrid>
      <w:tr>
        <w:tblPrEx>
          <w:shd w:val="clear" w:color="auto" w:fill="ced7e7"/>
        </w:tblPrEx>
        <w:trPr>
          <w:trHeight w:val="193" w:hRule="atLeast"/>
        </w:trPr>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s>
            </w:pPr>
            <w:r>
              <w:rPr>
                <w:rFonts w:ascii="Times New Roman" w:hAnsi="Times New Roman"/>
                <w:b w:val="1"/>
                <w:bCs w:val="1"/>
                <w:sz w:val="16"/>
                <w:szCs w:val="16"/>
                <w:shd w:val="nil" w:color="auto" w:fill="auto"/>
                <w:rtl w:val="0"/>
                <w:lang w:val="en-US"/>
              </w:rPr>
              <w:t>Capability</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s>
            </w:pPr>
            <w:r>
              <w:rPr>
                <w:rFonts w:ascii="Times New Roman" w:hAnsi="Times New Roman"/>
                <w:b w:val="1"/>
                <w:bCs w:val="1"/>
                <w:sz w:val="16"/>
                <w:szCs w:val="16"/>
                <w:shd w:val="nil" w:color="auto" w:fill="auto"/>
                <w:rtl w:val="0"/>
                <w:lang w:val="en-US"/>
              </w:rPr>
              <w:t>State of the Art</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s>
            </w:pPr>
            <w:r>
              <w:rPr>
                <w:rFonts w:ascii="Times New Roman" w:hAnsi="Times New Roman"/>
                <w:b w:val="1"/>
                <w:bCs w:val="1"/>
                <w:sz w:val="16"/>
                <w:szCs w:val="16"/>
                <w:shd w:val="nil" w:color="auto" w:fill="auto"/>
                <w:rtl w:val="0"/>
                <w:lang w:val="fr-FR"/>
              </w:rPr>
              <w:t>Gap</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s>
            </w:pPr>
            <w:r>
              <w:rPr>
                <w:rFonts w:ascii="Times New Roman" w:hAnsi="Times New Roman"/>
                <w:b w:val="1"/>
                <w:bCs w:val="1"/>
                <w:sz w:val="16"/>
                <w:szCs w:val="16"/>
                <w:shd w:val="nil" w:color="auto" w:fill="auto"/>
                <w:rtl w:val="0"/>
                <w:lang w:val="en-US"/>
              </w:rPr>
              <w:t>FinAI Approach</w:t>
            </w:r>
          </w:p>
        </w:tc>
      </w:tr>
      <w:tr>
        <w:tblPrEx>
          <w:shd w:val="clear" w:color="auto" w:fill="ced7e7"/>
        </w:tblPrEx>
        <w:trPr>
          <w:trHeight w:val="193" w:hRule="atLeast"/>
        </w:trPr>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pt-PT"/>
              </w:rPr>
              <w:t>Financial NLP</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de-DE"/>
              </w:rPr>
              <w:t>FinBERT, GPT-4</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it-IT"/>
              </w:rPr>
              <w:t>No Hindi support</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pt-PT"/>
              </w:rPr>
              <w:t>Multilingual extension</w:t>
            </w:r>
          </w:p>
        </w:tc>
      </w:tr>
      <w:tr>
        <w:tblPrEx>
          <w:shd w:val="clear" w:color="auto" w:fill="ced7e7"/>
        </w:tblPrEx>
        <w:trPr>
          <w:trHeight w:val="193" w:hRule="atLeast"/>
        </w:trPr>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en-US"/>
              </w:rPr>
              <w:t>Conversational</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fr-FR"/>
              </w:rPr>
              <w:t>MarketSenseAI</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en-US"/>
              </w:rPr>
              <w:t>No retail system</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FinGPT/GPT-4 hybrid</w:t>
            </w:r>
          </w:p>
        </w:tc>
      </w:tr>
      <w:tr>
        <w:tblPrEx>
          <w:shd w:val="clear" w:color="auto" w:fill="ced7e7"/>
        </w:tblPrEx>
        <w:trPr>
          <w:trHeight w:val="408" w:hRule="atLeast"/>
        </w:trPr>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en-US"/>
              </w:rPr>
              <w:t>Stock prediction</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fr-FR"/>
              </w:rPr>
              <w:t>LSTM + CVaR</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en-US"/>
              </w:rPr>
              <w:t>No NSE/BSE model</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Retrain on NSE/BSE</w:t>
            </w:r>
          </w:p>
        </w:tc>
      </w:tr>
      <w:tr>
        <w:tblPrEx>
          <w:shd w:val="clear" w:color="auto" w:fill="ced7e7"/>
        </w:tblPrEx>
        <w:trPr>
          <w:trHeight w:val="408" w:hRule="atLeast"/>
        </w:trPr>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it-IT"/>
              </w:rPr>
              <w:t>Portfolio opt.</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de-DE"/>
              </w:rPr>
              <w:t>Mean-CVaR, RL</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en-US"/>
              </w:rPr>
              <w:t>No personalised retail</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Risk-profile integrated</w:t>
            </w:r>
          </w:p>
        </w:tc>
      </w:tr>
      <w:tr>
        <w:tblPrEx>
          <w:shd w:val="clear" w:color="auto" w:fill="ced7e7"/>
        </w:tblPrEx>
        <w:trPr>
          <w:trHeight w:val="193" w:hRule="atLeast"/>
        </w:trPr>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en-US"/>
              </w:rPr>
              <w:t>Robo-advisory</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Vanguard system</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pt-PT"/>
              </w:rPr>
              <w:t>No India-context</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Indian MF/equity focus</w:t>
            </w:r>
          </w:p>
        </w:tc>
      </w:tr>
      <w:tr>
        <w:tblPrEx>
          <w:shd w:val="clear" w:color="auto" w:fill="ced7e7"/>
        </w:tblPrEx>
        <w:trPr>
          <w:trHeight w:val="193" w:hRule="atLeast"/>
        </w:trPr>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en-US"/>
              </w:rPr>
              <w:t>Explainability</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Partial narratives</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en-US"/>
              </w:rPr>
              <w:t>No validated XAI</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LLM + SHAP for all</w:t>
            </w:r>
          </w:p>
        </w:tc>
      </w:tr>
      <w:tr>
        <w:tblPrEx>
          <w:shd w:val="clear" w:color="auto" w:fill="ced7e7"/>
        </w:tblPrEx>
        <w:trPr>
          <w:trHeight w:val="408" w:hRule="atLeast"/>
        </w:trPr>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it-IT"/>
              </w:rPr>
              <w:t>Cloud infra.</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en-US"/>
              </w:rPr>
              <w:t>Banking guidelines</w:t>
            </w:r>
          </w:p>
        </w:tc>
        <w:tc>
          <w:tcPr>
            <w:tcW w:type="dxa" w:w="1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pPr>
            <w:r>
              <w:rPr>
                <w:rFonts w:ascii="Times New Roman" w:hAnsi="Times New Roman"/>
                <w:sz w:val="16"/>
                <w:szCs w:val="16"/>
                <w:shd w:val="nil" w:color="auto" w:fill="auto"/>
                <w:rtl w:val="0"/>
                <w:lang w:val="en-US"/>
              </w:rPr>
              <w:t>No AI-specific security</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pPr>
            <w:r>
              <w:rPr>
                <w:rFonts w:ascii="Times New Roman" w:hAnsi="Times New Roman"/>
                <w:sz w:val="16"/>
                <w:szCs w:val="16"/>
                <w:shd w:val="nil" w:color="auto" w:fill="auto"/>
                <w:rtl w:val="0"/>
                <w:lang w:val="pt-PT"/>
              </w:rPr>
              <w:t>India-region GCP</w:t>
            </w:r>
          </w:p>
        </w:tc>
      </w:tr>
    </w:tbl>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 w:hanging="108"/>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b w:val="1"/>
          <w:bCs w:val="1"/>
          <w:sz w:val="20"/>
          <w:szCs w:val="20"/>
          <w:rtl w:val="0"/>
          <w:lang w:val="en-US"/>
        </w:rPr>
        <w:t>VII. CONCLUSION</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This survey sets out the academic grounding for the proposed FinAI Personal Financial Planner, an AI-powered system combining LLM-based conversational intelligence, market prediction, portfolio optimisation and personalised financial planning for Indian retail investors.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Two things stand out from the reviewed literature. First, the individual components are technically mature. LLMs can process financial language, ML models can predict market movements with reasonable accuracy, portfolio optimisation algorithms can allocate assets, robo-advisory systems can improve investor outcomes, and cloud infrastructure can support deployment at scale. Second, integration is where the field falls short: no existing system in this review pulls these pieces together into a single retail-oriented planner, and none is built for the Indian market specifically.</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Explainability and user trust are not a nice-to-have. Both the adoption research [R19] and the implementation frameworks [R14] point to the same conclusion: a technically strong AI system that users cannot understand or trust will not be adopted. India</w:t>
      </w:r>
      <w:r>
        <w:rPr>
          <w:rFonts w:ascii="Arial Unicode MS" w:hAnsi="Arial Unicode MS" w:hint="default"/>
          <w:sz w:val="20"/>
          <w:szCs w:val="20"/>
          <w:rtl w:val="0"/>
          <w:lang w:val="en-US"/>
        </w:rPr>
        <w:t>’</w:t>
      </w:r>
      <w:r>
        <w:rPr>
          <w:rFonts w:ascii="Times New Roman" w:hAnsi="Times New Roman"/>
          <w:sz w:val="20"/>
          <w:szCs w:val="20"/>
          <w:rtl w:val="0"/>
          <w:lang w:val="en-US"/>
        </w:rPr>
        <w:t>s retail investor market</w:t>
      </w:r>
      <w:r>
        <w:rPr>
          <w:rFonts w:ascii="Times New Roman" w:hAnsi="Times New Roman" w:hint="default"/>
          <w:sz w:val="20"/>
          <w:szCs w:val="20"/>
          <w:rtl w:val="0"/>
          <w:lang w:val="en-US"/>
        </w:rPr>
        <w:t>—</w:t>
      </w:r>
      <w:r>
        <w:rPr>
          <w:rFonts w:ascii="Times New Roman" w:hAnsi="Times New Roman"/>
          <w:sz w:val="20"/>
          <w:szCs w:val="20"/>
          <w:rtl w:val="0"/>
          <w:lang w:val="en-US"/>
        </w:rPr>
        <w:t>over 100 million demat account holders, rising financial awareness and an active regulatory environment</w:t>
      </w:r>
      <w:r>
        <w:rPr>
          <w:rFonts w:ascii="Times New Roman" w:hAnsi="Times New Roman" w:hint="default"/>
          <w:sz w:val="20"/>
          <w:szCs w:val="20"/>
          <w:rtl w:val="0"/>
          <w:lang w:val="en-US"/>
        </w:rPr>
        <w:t>—</w:t>
      </w:r>
      <w:r>
        <w:rPr>
          <w:rFonts w:ascii="Times New Roman" w:hAnsi="Times New Roman"/>
          <w:sz w:val="20"/>
          <w:szCs w:val="20"/>
          <w:rtl w:val="0"/>
          <w:lang w:val="en-US"/>
        </w:rPr>
        <w:t>makes it a strong deployment context.</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20"/>
          <w:szCs w:val="20"/>
          <w:rtl w:val="0"/>
          <w:lang w:val="en-US"/>
        </w:rPr>
        <w:t>Taken together, the eight research gaps identified mark out the frontier for the next generation of AI financial planning systems. FinAI addresses Gaps 1 and 2 directly, contributes partially to Gaps 3, 4, 6 and 7, and leaves Gaps 5 and 8 as future work beyond the scope of this project.</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lang w:val="de-DE"/>
        </w:rPr>
      </w:pPr>
      <w:r>
        <w:rPr>
          <w:rFonts w:ascii="Times New Roman" w:hAnsi="Times New Roman"/>
          <w:b w:val="1"/>
          <w:bCs w:val="1"/>
          <w:sz w:val="20"/>
          <w:szCs w:val="20"/>
          <w:rtl w:val="0"/>
          <w:lang w:val="de-DE"/>
        </w:rPr>
        <w:t>REFERENCES</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18"/>
          <w:szCs w:val="18"/>
          <w:rtl w:val="0"/>
          <w:lang w:val="en-US"/>
        </w:rPr>
        <w:t xml:space="preserve">[R1]  Y. Li et al., </w:t>
      </w:r>
      <w:r>
        <w:rPr>
          <w:rFonts w:ascii="Arial Unicode MS" w:hAnsi="Arial Unicode MS" w:hint="default"/>
          <w:sz w:val="18"/>
          <w:szCs w:val="18"/>
          <w:rtl w:val="1"/>
          <w:lang w:val="ar-SA" w:bidi="ar-SA"/>
        </w:rPr>
        <w:t>“</w:t>
      </w:r>
      <w:r>
        <w:rPr>
          <w:rFonts w:ascii="Times New Roman" w:hAnsi="Times New Roman"/>
          <w:sz w:val="18"/>
          <w:szCs w:val="18"/>
          <w:rtl w:val="0"/>
          <w:lang w:val="en-US"/>
        </w:rPr>
        <w:t>Large language models in finance: A survey,</w:t>
      </w:r>
      <w:r>
        <w:rPr>
          <w:rFonts w:ascii="Times New Roman" w:hAnsi="Times New Roman" w:hint="default"/>
          <w:sz w:val="18"/>
          <w:szCs w:val="18"/>
          <w:rtl w:val="0"/>
          <w:lang w:val="en-US"/>
        </w:rPr>
        <w:t xml:space="preserve">” </w:t>
      </w:r>
      <w:r>
        <w:rPr>
          <w:rFonts w:ascii="Times New Roman" w:hAnsi="Times New Roman"/>
          <w:sz w:val="18"/>
          <w:szCs w:val="18"/>
          <w:rtl w:val="0"/>
          <w:lang w:val="en-US"/>
        </w:rPr>
        <w:t>arXiv preprint arXiv:2311.10723, 2023.</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18"/>
          <w:szCs w:val="18"/>
          <w:rtl w:val="0"/>
          <w:lang w:val="pt-PT"/>
        </w:rPr>
        <w:t xml:space="preserve">[R2]  S. Wu et al., </w:t>
      </w:r>
      <w:r>
        <w:rPr>
          <w:rFonts w:ascii="Arial Unicode MS" w:hAnsi="Arial Unicode MS" w:hint="default"/>
          <w:sz w:val="18"/>
          <w:szCs w:val="18"/>
          <w:rtl w:val="1"/>
          <w:lang w:val="ar-SA" w:bidi="ar-SA"/>
        </w:rPr>
        <w:t>“</w:t>
      </w:r>
      <w:r>
        <w:rPr>
          <w:rFonts w:ascii="Times New Roman" w:hAnsi="Times New Roman"/>
          <w:sz w:val="18"/>
          <w:szCs w:val="18"/>
          <w:rtl w:val="0"/>
          <w:lang w:val="en-US"/>
        </w:rPr>
        <w:t>BloombergGPT: A large language model for finance,</w:t>
      </w:r>
      <w:r>
        <w:rPr>
          <w:rFonts w:ascii="Times New Roman" w:hAnsi="Times New Roman" w:hint="default"/>
          <w:sz w:val="18"/>
          <w:szCs w:val="18"/>
          <w:rtl w:val="0"/>
          <w:lang w:val="en-US"/>
        </w:rPr>
        <w:t xml:space="preserve">” </w:t>
      </w:r>
      <w:r>
        <w:rPr>
          <w:rFonts w:ascii="Times New Roman" w:hAnsi="Times New Roman"/>
          <w:sz w:val="18"/>
          <w:szCs w:val="18"/>
          <w:rtl w:val="0"/>
          <w:lang w:val="en-US"/>
        </w:rPr>
        <w:t>arXiv preprint arXiv:2303.17564, 2023.</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18"/>
          <w:szCs w:val="18"/>
          <w:rtl w:val="0"/>
          <w:lang w:val="pt-PT"/>
        </w:rPr>
        <w:t xml:space="preserve">[R3]  H. Yang, X.-Y. Liu, and C. D. Wang, </w:t>
      </w:r>
      <w:r>
        <w:rPr>
          <w:rFonts w:ascii="Arial Unicode MS" w:hAnsi="Arial Unicode MS" w:hint="default"/>
          <w:sz w:val="18"/>
          <w:szCs w:val="18"/>
          <w:rtl w:val="1"/>
          <w:lang w:val="ar-SA" w:bidi="ar-SA"/>
        </w:rPr>
        <w:t>“</w:t>
      </w:r>
      <w:r>
        <w:rPr>
          <w:rFonts w:ascii="Times New Roman" w:hAnsi="Times New Roman"/>
          <w:sz w:val="18"/>
          <w:szCs w:val="18"/>
          <w:rtl w:val="0"/>
          <w:lang w:val="en-US"/>
        </w:rPr>
        <w:t>FinGPT: Open-source financial large language models,</w:t>
      </w:r>
      <w:r>
        <w:rPr>
          <w:rFonts w:ascii="Times New Roman" w:hAnsi="Times New Roman" w:hint="default"/>
          <w:sz w:val="18"/>
          <w:szCs w:val="18"/>
          <w:rtl w:val="0"/>
          <w:lang w:val="en-US"/>
        </w:rPr>
        <w:t xml:space="preserve">” </w:t>
      </w:r>
      <w:r>
        <w:rPr>
          <w:rFonts w:ascii="Times New Roman" w:hAnsi="Times New Roman"/>
          <w:sz w:val="18"/>
          <w:szCs w:val="18"/>
          <w:rtl w:val="0"/>
          <w:lang w:val="en-US"/>
        </w:rPr>
        <w:t>arXiv preprint arXiv:2306.06031, 2023.</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18"/>
          <w:szCs w:val="18"/>
          <w:rtl w:val="0"/>
          <w:lang w:val="en-US"/>
        </w:rPr>
        <w:t xml:space="preserve">[R4]  K. Du et al., </w:t>
      </w:r>
      <w:r>
        <w:rPr>
          <w:rFonts w:ascii="Arial Unicode MS" w:hAnsi="Arial Unicode MS" w:hint="default"/>
          <w:sz w:val="18"/>
          <w:szCs w:val="18"/>
          <w:rtl w:val="1"/>
          <w:lang w:val="ar-SA" w:bidi="ar-SA"/>
        </w:rPr>
        <w:t>“</w:t>
      </w:r>
      <w:r>
        <w:rPr>
          <w:rFonts w:ascii="Times New Roman" w:hAnsi="Times New Roman"/>
          <w:sz w:val="18"/>
          <w:szCs w:val="18"/>
          <w:rtl w:val="0"/>
          <w:lang w:val="en-US"/>
        </w:rPr>
        <w:t>Natural language processing in finance: A survey,</w:t>
      </w:r>
      <w:r>
        <w:rPr>
          <w:rFonts w:ascii="Times New Roman" w:hAnsi="Times New Roman" w:hint="default"/>
          <w:sz w:val="18"/>
          <w:szCs w:val="18"/>
          <w:rtl w:val="0"/>
          <w:lang w:val="en-US"/>
        </w:rPr>
        <w:t xml:space="preserve">” </w:t>
      </w:r>
      <w:r>
        <w:rPr>
          <w:rFonts w:ascii="Times New Roman" w:hAnsi="Times New Roman"/>
          <w:sz w:val="18"/>
          <w:szCs w:val="18"/>
          <w:rtl w:val="0"/>
          <w:lang w:val="it-IT"/>
        </w:rPr>
        <w:t>Information Fusion, 2024, Art. no. 102755.</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18"/>
          <w:szCs w:val="18"/>
          <w:rtl w:val="0"/>
          <w:lang w:val="en-US"/>
        </w:rPr>
        <w:t xml:space="preserve">[R5]  A. Gupta et al., </w:t>
      </w:r>
      <w:r>
        <w:rPr>
          <w:rFonts w:ascii="Arial Unicode MS" w:hAnsi="Arial Unicode MS" w:hint="default"/>
          <w:sz w:val="18"/>
          <w:szCs w:val="18"/>
          <w:rtl w:val="1"/>
          <w:lang w:val="ar-SA" w:bidi="ar-SA"/>
        </w:rPr>
        <w:t>“</w:t>
      </w:r>
      <w:r>
        <w:rPr>
          <w:rFonts w:ascii="Times New Roman" w:hAnsi="Times New Roman"/>
          <w:sz w:val="18"/>
          <w:szCs w:val="18"/>
          <w:rtl w:val="0"/>
          <w:lang w:val="de-DE"/>
        </w:rPr>
        <w:t>Financial news sentiment analysis using BERT and FinBERT,</w:t>
      </w:r>
      <w:r>
        <w:rPr>
          <w:rFonts w:ascii="Times New Roman" w:hAnsi="Times New Roman" w:hint="default"/>
          <w:sz w:val="18"/>
          <w:szCs w:val="18"/>
          <w:rtl w:val="0"/>
          <w:lang w:val="en-US"/>
        </w:rPr>
        <w:t xml:space="preserve">” </w:t>
      </w:r>
      <w:r>
        <w:rPr>
          <w:rFonts w:ascii="Times New Roman" w:hAnsi="Times New Roman"/>
          <w:sz w:val="18"/>
          <w:szCs w:val="18"/>
          <w:rtl w:val="0"/>
          <w:lang w:val="en-US"/>
        </w:rPr>
        <w:t>2023.</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18"/>
          <w:szCs w:val="18"/>
          <w:rtl w:val="0"/>
          <w:lang w:val="en-US"/>
        </w:rPr>
        <w:t xml:space="preserve">[R6]  A. Huang, H. Wang, and Y. Yang, </w:t>
      </w:r>
      <w:r>
        <w:rPr>
          <w:rFonts w:ascii="Arial Unicode MS" w:hAnsi="Arial Unicode MS" w:hint="default"/>
          <w:sz w:val="18"/>
          <w:szCs w:val="18"/>
          <w:rtl w:val="1"/>
          <w:lang w:val="ar-SA" w:bidi="ar-SA"/>
        </w:rPr>
        <w:t>“</w:t>
      </w:r>
      <w:r>
        <w:rPr>
          <w:rFonts w:ascii="Times New Roman" w:hAnsi="Times New Roman"/>
          <w:sz w:val="18"/>
          <w:szCs w:val="18"/>
          <w:rtl w:val="0"/>
          <w:lang w:val="en-US"/>
        </w:rPr>
        <w:t>FinBERT: A pre-trained financial language representation model for financial communications,</w:t>
      </w:r>
      <w:r>
        <w:rPr>
          <w:rFonts w:ascii="Times New Roman" w:hAnsi="Times New Roman" w:hint="default"/>
          <w:sz w:val="18"/>
          <w:szCs w:val="18"/>
          <w:rtl w:val="0"/>
          <w:lang w:val="en-US"/>
        </w:rPr>
        <w:t xml:space="preserve">” </w:t>
      </w:r>
      <w:r>
        <w:rPr>
          <w:rFonts w:ascii="Times New Roman" w:hAnsi="Times New Roman"/>
          <w:sz w:val="18"/>
          <w:szCs w:val="18"/>
          <w:rtl w:val="0"/>
          <w:lang w:val="en-US"/>
        </w:rPr>
        <w:t>2023.</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18"/>
          <w:szCs w:val="18"/>
          <w:rtl w:val="0"/>
          <w:lang w:val="en-US"/>
        </w:rPr>
        <w:t xml:space="preserve">[R7]  A. Lopez-Lira and Y. Tang, </w:t>
      </w:r>
      <w:r>
        <w:rPr>
          <w:rFonts w:ascii="Arial Unicode MS" w:hAnsi="Arial Unicode MS" w:hint="default"/>
          <w:sz w:val="18"/>
          <w:szCs w:val="18"/>
          <w:rtl w:val="1"/>
          <w:lang w:val="ar-SA" w:bidi="ar-SA"/>
        </w:rPr>
        <w:t>“</w:t>
      </w:r>
      <w:r>
        <w:rPr>
          <w:rFonts w:ascii="Times New Roman" w:hAnsi="Times New Roman"/>
          <w:sz w:val="18"/>
          <w:szCs w:val="18"/>
          <w:rtl w:val="0"/>
          <w:lang w:val="en-US"/>
        </w:rPr>
        <w:t>Can ChatGPT forecast stock price movements? Return predictability and large language models,</w:t>
      </w:r>
      <w:r>
        <w:rPr>
          <w:rFonts w:ascii="Times New Roman" w:hAnsi="Times New Roman" w:hint="default"/>
          <w:sz w:val="18"/>
          <w:szCs w:val="18"/>
          <w:rtl w:val="0"/>
          <w:lang w:val="en-US"/>
        </w:rPr>
        <w:t xml:space="preserve">” </w:t>
      </w:r>
      <w:r>
        <w:rPr>
          <w:rFonts w:ascii="Times New Roman" w:hAnsi="Times New Roman"/>
          <w:sz w:val="18"/>
          <w:szCs w:val="18"/>
          <w:rtl w:val="0"/>
          <w:lang w:val="en-US"/>
        </w:rPr>
        <w:t>arXiv preprint arXiv:2304.07619, 2023.</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18"/>
          <w:szCs w:val="18"/>
          <w:rtl w:val="0"/>
          <w:lang w:val="fr-FR"/>
        </w:rPr>
        <w:t xml:space="preserve">[R8]  G. Fatouros et al., </w:t>
      </w:r>
      <w:r>
        <w:rPr>
          <w:rFonts w:ascii="Arial Unicode MS" w:hAnsi="Arial Unicode MS" w:hint="default"/>
          <w:sz w:val="18"/>
          <w:szCs w:val="18"/>
          <w:rtl w:val="1"/>
          <w:lang w:val="ar-SA" w:bidi="ar-SA"/>
        </w:rPr>
        <w:t>“</w:t>
      </w:r>
      <w:r>
        <w:rPr>
          <w:rFonts w:ascii="Times New Roman" w:hAnsi="Times New Roman"/>
          <w:sz w:val="18"/>
          <w:szCs w:val="18"/>
          <w:rtl w:val="0"/>
          <w:lang w:val="en-US"/>
        </w:rPr>
        <w:t>Can large language models beat Wall Street? Evaluating GPT-4</w:t>
      </w:r>
      <w:r>
        <w:rPr>
          <w:rFonts w:ascii="Arial Unicode MS" w:hAnsi="Arial Unicode MS" w:hint="default"/>
          <w:sz w:val="18"/>
          <w:szCs w:val="18"/>
          <w:rtl w:val="0"/>
          <w:lang w:val="en-US"/>
        </w:rPr>
        <w:t>’</w:t>
      </w:r>
      <w:r>
        <w:rPr>
          <w:rFonts w:ascii="Times New Roman" w:hAnsi="Times New Roman"/>
          <w:sz w:val="18"/>
          <w:szCs w:val="18"/>
          <w:rtl w:val="0"/>
          <w:lang w:val="en-US"/>
        </w:rPr>
        <w:t>s impact on financial decision-making with MarketSenseAI,</w:t>
      </w:r>
      <w:r>
        <w:rPr>
          <w:rFonts w:ascii="Times New Roman" w:hAnsi="Times New Roman" w:hint="default"/>
          <w:sz w:val="18"/>
          <w:szCs w:val="18"/>
          <w:rtl w:val="0"/>
          <w:lang w:val="en-US"/>
        </w:rPr>
        <w:t xml:space="preserve">” </w:t>
      </w:r>
      <w:r>
        <w:rPr>
          <w:rFonts w:ascii="Times New Roman" w:hAnsi="Times New Roman"/>
          <w:sz w:val="18"/>
          <w:szCs w:val="18"/>
          <w:rtl w:val="0"/>
          <w:lang w:val="it-IT"/>
        </w:rPr>
        <w:t>Neural Comput. Appl., 2024.</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18"/>
          <w:szCs w:val="18"/>
          <w:rtl w:val="0"/>
          <w:lang w:val="it-IT"/>
        </w:rPr>
        <w:t xml:space="preserve">[R9]  A. Rai and P. Thakkar, </w:t>
      </w:r>
      <w:r>
        <w:rPr>
          <w:rFonts w:ascii="Arial Unicode MS" w:hAnsi="Arial Unicode MS" w:hint="default"/>
          <w:sz w:val="18"/>
          <w:szCs w:val="18"/>
          <w:rtl w:val="1"/>
          <w:lang w:val="ar-SA" w:bidi="ar-SA"/>
        </w:rPr>
        <w:t>“</w:t>
      </w:r>
      <w:r>
        <w:rPr>
          <w:rFonts w:ascii="Times New Roman" w:hAnsi="Times New Roman"/>
          <w:sz w:val="18"/>
          <w:szCs w:val="18"/>
          <w:rtl w:val="0"/>
          <w:lang w:val="en-US"/>
        </w:rPr>
        <w:t>Utilisation and implications of cloud computing in the banking sector,</w:t>
      </w:r>
      <w:r>
        <w:rPr>
          <w:rFonts w:ascii="Times New Roman" w:hAnsi="Times New Roman" w:hint="default"/>
          <w:sz w:val="18"/>
          <w:szCs w:val="18"/>
          <w:rtl w:val="0"/>
          <w:lang w:val="en-US"/>
        </w:rPr>
        <w:t xml:space="preserve">” </w:t>
      </w:r>
      <w:r>
        <w:rPr>
          <w:rFonts w:ascii="Times New Roman" w:hAnsi="Times New Roman"/>
          <w:sz w:val="18"/>
          <w:szCs w:val="18"/>
          <w:rtl w:val="0"/>
          <w:lang w:val="en-US"/>
        </w:rPr>
        <w:t>in Proc. IEEE SCOReD, 2023.</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18"/>
          <w:szCs w:val="18"/>
          <w:rtl w:val="0"/>
          <w:lang w:val="en-US"/>
        </w:rPr>
        <w:t xml:space="preserve">[R10]  R. Sharma et al., </w:t>
      </w:r>
      <w:r>
        <w:rPr>
          <w:rFonts w:ascii="Arial Unicode MS" w:hAnsi="Arial Unicode MS" w:hint="default"/>
          <w:sz w:val="18"/>
          <w:szCs w:val="18"/>
          <w:rtl w:val="1"/>
          <w:lang w:val="ar-SA" w:bidi="ar-SA"/>
        </w:rPr>
        <w:t>“</w:t>
      </w:r>
      <w:r>
        <w:rPr>
          <w:rFonts w:ascii="Times New Roman" w:hAnsi="Times New Roman"/>
          <w:sz w:val="18"/>
          <w:szCs w:val="18"/>
          <w:rtl w:val="0"/>
          <w:lang w:val="en-US"/>
        </w:rPr>
        <w:t>Scalability and security challenges of cloud computing in the banking industry,</w:t>
      </w:r>
      <w:r>
        <w:rPr>
          <w:rFonts w:ascii="Times New Roman" w:hAnsi="Times New Roman" w:hint="default"/>
          <w:sz w:val="18"/>
          <w:szCs w:val="18"/>
          <w:rtl w:val="0"/>
          <w:lang w:val="en-US"/>
        </w:rPr>
        <w:t xml:space="preserve">” </w:t>
      </w:r>
      <w:r>
        <w:rPr>
          <w:rFonts w:ascii="Times New Roman" w:hAnsi="Times New Roman"/>
          <w:sz w:val="18"/>
          <w:szCs w:val="18"/>
          <w:rtl w:val="0"/>
          <w:lang w:val="en-US"/>
        </w:rPr>
        <w:t>in Proc. ICORIS, 2024.</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18"/>
          <w:szCs w:val="18"/>
          <w:rtl w:val="0"/>
          <w:lang w:val="en-US"/>
        </w:rPr>
        <w:t xml:space="preserve">[R11]  P. Anand et al., </w:t>
      </w:r>
      <w:r>
        <w:rPr>
          <w:rFonts w:ascii="Arial Unicode MS" w:hAnsi="Arial Unicode MS" w:hint="default"/>
          <w:sz w:val="18"/>
          <w:szCs w:val="18"/>
          <w:rtl w:val="1"/>
          <w:lang w:val="ar-SA" w:bidi="ar-SA"/>
        </w:rPr>
        <w:t>“</w:t>
      </w:r>
      <w:r>
        <w:rPr>
          <w:rFonts w:ascii="Times New Roman" w:hAnsi="Times New Roman"/>
          <w:sz w:val="18"/>
          <w:szCs w:val="18"/>
          <w:rtl w:val="0"/>
          <w:lang w:val="en-US"/>
        </w:rPr>
        <w:t>Cybersecurity challenges in financial institutions,</w:t>
      </w:r>
      <w:r>
        <w:rPr>
          <w:rFonts w:ascii="Times New Roman" w:hAnsi="Times New Roman" w:hint="default"/>
          <w:sz w:val="18"/>
          <w:szCs w:val="18"/>
          <w:rtl w:val="0"/>
          <w:lang w:val="en-US"/>
        </w:rPr>
        <w:t xml:space="preserve">” </w:t>
      </w:r>
      <w:r>
        <w:rPr>
          <w:rFonts w:ascii="Times New Roman" w:hAnsi="Times New Roman"/>
          <w:sz w:val="18"/>
          <w:szCs w:val="18"/>
          <w:rtl w:val="0"/>
          <w:lang w:val="en-US"/>
        </w:rPr>
        <w:t>2023.</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18"/>
          <w:szCs w:val="18"/>
          <w:rtl w:val="0"/>
          <w:lang w:val="pt-PT"/>
        </w:rPr>
        <w:t xml:space="preserve">[R12]  R. Sutton et al., </w:t>
      </w:r>
      <w:r>
        <w:rPr>
          <w:rFonts w:ascii="Arial Unicode MS" w:hAnsi="Arial Unicode MS" w:hint="default"/>
          <w:sz w:val="18"/>
          <w:szCs w:val="18"/>
          <w:rtl w:val="1"/>
          <w:lang w:val="ar-SA" w:bidi="ar-SA"/>
        </w:rPr>
        <w:t>“</w:t>
      </w:r>
      <w:r>
        <w:rPr>
          <w:rFonts w:ascii="Times New Roman" w:hAnsi="Times New Roman"/>
          <w:sz w:val="18"/>
          <w:szCs w:val="18"/>
          <w:rtl w:val="0"/>
          <w:lang w:val="en-US"/>
        </w:rPr>
        <w:t>Reinforcement learning for portfolio management,</w:t>
      </w:r>
      <w:r>
        <w:rPr>
          <w:rFonts w:ascii="Times New Roman" w:hAnsi="Times New Roman" w:hint="default"/>
          <w:sz w:val="18"/>
          <w:szCs w:val="18"/>
          <w:rtl w:val="0"/>
          <w:lang w:val="en-US"/>
        </w:rPr>
        <w:t xml:space="preserve">” </w:t>
      </w:r>
      <w:r>
        <w:rPr>
          <w:rFonts w:ascii="Times New Roman" w:hAnsi="Times New Roman"/>
          <w:sz w:val="18"/>
          <w:szCs w:val="18"/>
          <w:rtl w:val="0"/>
          <w:lang w:val="en-US"/>
        </w:rPr>
        <w:t>2024.</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18"/>
          <w:szCs w:val="18"/>
          <w:rtl w:val="0"/>
          <w:lang w:val="pt-PT"/>
        </w:rPr>
        <w:t xml:space="preserve">[R13]  A. Kumar and R. Singh, </w:t>
      </w:r>
      <w:r>
        <w:rPr>
          <w:rFonts w:ascii="Arial Unicode MS" w:hAnsi="Arial Unicode MS" w:hint="default"/>
          <w:sz w:val="18"/>
          <w:szCs w:val="18"/>
          <w:rtl w:val="1"/>
          <w:lang w:val="ar-SA" w:bidi="ar-SA"/>
        </w:rPr>
        <w:t>“</w:t>
      </w:r>
      <w:r>
        <w:rPr>
          <w:rFonts w:ascii="Times New Roman" w:hAnsi="Times New Roman"/>
          <w:sz w:val="18"/>
          <w:szCs w:val="18"/>
          <w:rtl w:val="0"/>
          <w:lang w:val="en-US"/>
        </w:rPr>
        <w:t>Blockchain and AI integration for secure financial transactions,</w:t>
      </w:r>
      <w:r>
        <w:rPr>
          <w:rFonts w:ascii="Times New Roman" w:hAnsi="Times New Roman" w:hint="default"/>
          <w:sz w:val="18"/>
          <w:szCs w:val="18"/>
          <w:rtl w:val="0"/>
          <w:lang w:val="en-US"/>
        </w:rPr>
        <w:t xml:space="preserve">” </w:t>
      </w:r>
      <w:r>
        <w:rPr>
          <w:rFonts w:ascii="Times New Roman" w:hAnsi="Times New Roman"/>
          <w:sz w:val="18"/>
          <w:szCs w:val="18"/>
          <w:rtl w:val="0"/>
          <w:lang w:val="en-US"/>
        </w:rPr>
        <w:t>2024.</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18"/>
          <w:szCs w:val="18"/>
          <w:rtl w:val="0"/>
          <w:lang w:val="en-US"/>
        </w:rPr>
        <w:t>[R14]  Z. Zhu, A. Vigren, and I.-L. S</w:t>
      </w:r>
      <w:r>
        <w:rPr>
          <w:rFonts w:ascii="Times New Roman" w:hAnsi="Times New Roman" w:hint="default"/>
          <w:sz w:val="18"/>
          <w:szCs w:val="18"/>
          <w:rtl w:val="0"/>
          <w:lang w:val="sv-SE"/>
        </w:rPr>
        <w:t>ö</w:t>
      </w:r>
      <w:r>
        <w:rPr>
          <w:rFonts w:ascii="Times New Roman" w:hAnsi="Times New Roman"/>
          <w:sz w:val="18"/>
          <w:szCs w:val="18"/>
          <w:rtl w:val="0"/>
          <w:lang w:val="da-DK"/>
        </w:rPr>
        <w:t xml:space="preserve">derberg, </w:t>
      </w:r>
      <w:r>
        <w:rPr>
          <w:rFonts w:ascii="Arial Unicode MS" w:hAnsi="Arial Unicode MS" w:hint="default"/>
          <w:sz w:val="18"/>
          <w:szCs w:val="18"/>
          <w:rtl w:val="1"/>
          <w:lang w:val="ar-SA" w:bidi="ar-SA"/>
        </w:rPr>
        <w:t>“</w:t>
      </w:r>
      <w:r>
        <w:rPr>
          <w:rFonts w:ascii="Times New Roman" w:hAnsi="Times New Roman"/>
          <w:sz w:val="18"/>
          <w:szCs w:val="18"/>
          <w:rtl w:val="0"/>
          <w:lang w:val="en-US"/>
        </w:rPr>
        <w:t>Implementing artificial intelligence empowered financial advisory services: A literature review and critical research agenda,</w:t>
      </w:r>
      <w:r>
        <w:rPr>
          <w:rFonts w:ascii="Times New Roman" w:hAnsi="Times New Roman" w:hint="default"/>
          <w:sz w:val="18"/>
          <w:szCs w:val="18"/>
          <w:rtl w:val="0"/>
          <w:lang w:val="en-US"/>
        </w:rPr>
        <w:t xml:space="preserve">” </w:t>
      </w:r>
      <w:r>
        <w:rPr>
          <w:rFonts w:ascii="Times New Roman" w:hAnsi="Times New Roman"/>
          <w:sz w:val="18"/>
          <w:szCs w:val="18"/>
          <w:rtl w:val="0"/>
          <w:lang w:val="en-US"/>
        </w:rPr>
        <w:t>J. Bus. Res., vol. 174, 2024, Art. no. 114494.</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18"/>
          <w:szCs w:val="18"/>
          <w:rtl w:val="0"/>
          <w:lang w:val="en-US"/>
        </w:rPr>
        <w:t xml:space="preserve">[R15]  S. Gu et al., </w:t>
      </w:r>
      <w:r>
        <w:rPr>
          <w:rFonts w:ascii="Arial Unicode MS" w:hAnsi="Arial Unicode MS" w:hint="default"/>
          <w:sz w:val="18"/>
          <w:szCs w:val="18"/>
          <w:rtl w:val="1"/>
          <w:lang w:val="ar-SA" w:bidi="ar-SA"/>
        </w:rPr>
        <w:t>“</w:t>
      </w:r>
      <w:r>
        <w:rPr>
          <w:rFonts w:ascii="Times New Roman" w:hAnsi="Times New Roman"/>
          <w:sz w:val="18"/>
          <w:szCs w:val="18"/>
          <w:rtl w:val="0"/>
          <w:lang w:val="en-US"/>
        </w:rPr>
        <w:t>Charting by machines,</w:t>
      </w:r>
      <w:r>
        <w:rPr>
          <w:rFonts w:ascii="Times New Roman" w:hAnsi="Times New Roman" w:hint="default"/>
          <w:sz w:val="18"/>
          <w:szCs w:val="18"/>
          <w:rtl w:val="0"/>
          <w:lang w:val="en-US"/>
        </w:rPr>
        <w:t xml:space="preserve">” </w:t>
      </w:r>
      <w:r>
        <w:rPr>
          <w:rFonts w:ascii="Times New Roman" w:hAnsi="Times New Roman"/>
          <w:sz w:val="18"/>
          <w:szCs w:val="18"/>
          <w:rtl w:val="0"/>
          <w:lang w:val="pt-PT"/>
        </w:rPr>
        <w:t>J. Financial Econ., vol. 154, 2024, Art. no. 103791.</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18"/>
          <w:szCs w:val="18"/>
          <w:rtl w:val="0"/>
          <w:lang w:val="en-US"/>
        </w:rPr>
        <w:t xml:space="preserve">[R16]  J. Wang, X. Zeng, and S. Yuan, </w:t>
      </w:r>
      <w:r>
        <w:rPr>
          <w:rFonts w:ascii="Arial Unicode MS" w:hAnsi="Arial Unicode MS" w:hint="default"/>
          <w:sz w:val="18"/>
          <w:szCs w:val="18"/>
          <w:rtl w:val="1"/>
          <w:lang w:val="ar-SA" w:bidi="ar-SA"/>
        </w:rPr>
        <w:t>“</w:t>
      </w:r>
      <w:r>
        <w:rPr>
          <w:rFonts w:ascii="Times New Roman" w:hAnsi="Times New Roman"/>
          <w:sz w:val="18"/>
          <w:szCs w:val="18"/>
          <w:rtl w:val="0"/>
          <w:lang w:val="en-US"/>
        </w:rPr>
        <w:t>Two-stage stock portfolio optimization based on AI-powered price prediction and mean-CVaR models,</w:t>
      </w:r>
      <w:r>
        <w:rPr>
          <w:rFonts w:ascii="Times New Roman" w:hAnsi="Times New Roman" w:hint="default"/>
          <w:sz w:val="18"/>
          <w:szCs w:val="18"/>
          <w:rtl w:val="0"/>
          <w:lang w:val="en-US"/>
        </w:rPr>
        <w:t xml:space="preserve">” </w:t>
      </w:r>
      <w:r>
        <w:rPr>
          <w:rFonts w:ascii="Times New Roman" w:hAnsi="Times New Roman"/>
          <w:sz w:val="18"/>
          <w:szCs w:val="18"/>
          <w:rtl w:val="0"/>
          <w:lang w:val="en-US"/>
        </w:rPr>
        <w:t>Expert Syst. Appl., vol. 255, 2024, Art. no. 124555.</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18"/>
          <w:szCs w:val="18"/>
          <w:rtl w:val="0"/>
          <w:lang w:val="it-IT"/>
        </w:rPr>
        <w:t xml:space="preserve">[R17]  A. G. Rossi and S. P. Utkus, </w:t>
      </w:r>
      <w:r>
        <w:rPr>
          <w:rFonts w:ascii="Arial Unicode MS" w:hAnsi="Arial Unicode MS" w:hint="default"/>
          <w:sz w:val="18"/>
          <w:szCs w:val="18"/>
          <w:rtl w:val="1"/>
          <w:lang w:val="ar-SA" w:bidi="ar-SA"/>
        </w:rPr>
        <w:t>“</w:t>
      </w:r>
      <w:r>
        <w:rPr>
          <w:rFonts w:ascii="Times New Roman" w:hAnsi="Times New Roman"/>
          <w:sz w:val="18"/>
          <w:szCs w:val="18"/>
          <w:rtl w:val="0"/>
          <w:lang w:val="en-US"/>
        </w:rPr>
        <w:t>The diversification and welfare effects of robo-advising,</w:t>
      </w:r>
      <w:r>
        <w:rPr>
          <w:rFonts w:ascii="Times New Roman" w:hAnsi="Times New Roman" w:hint="default"/>
          <w:sz w:val="18"/>
          <w:szCs w:val="18"/>
          <w:rtl w:val="0"/>
          <w:lang w:val="en-US"/>
        </w:rPr>
        <w:t xml:space="preserve">” </w:t>
      </w:r>
      <w:r>
        <w:rPr>
          <w:rFonts w:ascii="Times New Roman" w:hAnsi="Times New Roman"/>
          <w:sz w:val="18"/>
          <w:szCs w:val="18"/>
          <w:rtl w:val="0"/>
          <w:lang w:val="pt-PT"/>
        </w:rPr>
        <w:t>J. Financial Econ., vol. 154, 2024, Art. no. 103869.</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18"/>
          <w:szCs w:val="18"/>
          <w:rtl w:val="0"/>
          <w:lang w:val="it-IT"/>
        </w:rPr>
        <w:t xml:space="preserve">[R18]  G. Cardillo and H. Chiappini, </w:t>
      </w:r>
      <w:r>
        <w:rPr>
          <w:rFonts w:ascii="Arial Unicode MS" w:hAnsi="Arial Unicode MS" w:hint="default"/>
          <w:sz w:val="18"/>
          <w:szCs w:val="18"/>
          <w:rtl w:val="1"/>
          <w:lang w:val="ar-SA" w:bidi="ar-SA"/>
        </w:rPr>
        <w:t>“</w:t>
      </w:r>
      <w:r>
        <w:rPr>
          <w:rFonts w:ascii="Times New Roman" w:hAnsi="Times New Roman"/>
          <w:sz w:val="18"/>
          <w:szCs w:val="18"/>
          <w:rtl w:val="0"/>
          <w:lang w:val="en-US"/>
        </w:rPr>
        <w:t>Robo-advisors: A systematic literature review,</w:t>
      </w:r>
      <w:r>
        <w:rPr>
          <w:rFonts w:ascii="Times New Roman" w:hAnsi="Times New Roman" w:hint="default"/>
          <w:sz w:val="18"/>
          <w:szCs w:val="18"/>
          <w:rtl w:val="0"/>
          <w:lang w:val="en-US"/>
        </w:rPr>
        <w:t xml:space="preserve">” </w:t>
      </w:r>
      <w:r>
        <w:rPr>
          <w:rFonts w:ascii="Times New Roman" w:hAnsi="Times New Roman"/>
          <w:sz w:val="18"/>
          <w:szCs w:val="18"/>
          <w:rtl w:val="0"/>
          <w:lang w:val="pt-PT"/>
        </w:rPr>
        <w:t>Finance Res. Lett., vol. 62, 2024, Art. no. 105119.</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18"/>
          <w:szCs w:val="18"/>
          <w:rtl w:val="0"/>
          <w:lang w:val="en-US"/>
        </w:rPr>
        <w:t xml:space="preserve">[R19]  S. Banerjee, </w:t>
      </w:r>
      <w:r>
        <w:rPr>
          <w:rFonts w:ascii="Arial Unicode MS" w:hAnsi="Arial Unicode MS" w:hint="default"/>
          <w:sz w:val="18"/>
          <w:szCs w:val="18"/>
          <w:rtl w:val="1"/>
          <w:lang w:val="ar-SA" w:bidi="ar-SA"/>
        </w:rPr>
        <w:t>“</w:t>
      </w:r>
      <w:r>
        <w:rPr>
          <w:rFonts w:ascii="Times New Roman" w:hAnsi="Times New Roman"/>
          <w:sz w:val="18"/>
          <w:szCs w:val="18"/>
          <w:rtl w:val="0"/>
          <w:lang w:val="en-US"/>
        </w:rPr>
        <w:t>Portfolio management with the help of AI: What drives retail Indian investors to robo-advisors?</w:t>
      </w:r>
      <w:r>
        <w:rPr>
          <w:rFonts w:ascii="Times New Roman" w:hAnsi="Times New Roman" w:hint="default"/>
          <w:sz w:val="18"/>
          <w:szCs w:val="18"/>
          <w:rtl w:val="0"/>
          <w:lang w:val="en-US"/>
        </w:rPr>
        <w:t xml:space="preserve">” </w:t>
      </w:r>
      <w:r>
        <w:rPr>
          <w:rFonts w:ascii="Times New Roman" w:hAnsi="Times New Roman"/>
          <w:sz w:val="18"/>
          <w:szCs w:val="18"/>
          <w:rtl w:val="0"/>
          <w:lang w:val="en-US"/>
        </w:rPr>
        <w:t>Electron. J. Inf. Syst. Developing Countries, 2025.</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18"/>
          <w:szCs w:val="18"/>
          <w:rtl w:val="0"/>
          <w:lang w:val="en-US"/>
        </w:rPr>
        <w:t xml:space="preserve">[R20]  A. Yadav et al., </w:t>
      </w:r>
      <w:r>
        <w:rPr>
          <w:rFonts w:ascii="Arial Unicode MS" w:hAnsi="Arial Unicode MS" w:hint="default"/>
          <w:sz w:val="18"/>
          <w:szCs w:val="18"/>
          <w:rtl w:val="1"/>
          <w:lang w:val="ar-SA" w:bidi="ar-SA"/>
        </w:rPr>
        <w:t>“</w:t>
      </w:r>
      <w:r>
        <w:rPr>
          <w:rFonts w:ascii="Times New Roman" w:hAnsi="Times New Roman"/>
          <w:sz w:val="18"/>
          <w:szCs w:val="18"/>
          <w:rtl w:val="0"/>
          <w:lang w:val="en-US"/>
        </w:rPr>
        <w:t>Advancements in artificial intelligence and machine learning for stock market prediction: A comprehensive analysis of techniques and case studies,</w:t>
      </w:r>
      <w:r>
        <w:rPr>
          <w:rFonts w:ascii="Times New Roman" w:hAnsi="Times New Roman" w:hint="default"/>
          <w:sz w:val="18"/>
          <w:szCs w:val="18"/>
          <w:rtl w:val="0"/>
          <w:lang w:val="en-US"/>
        </w:rPr>
        <w:t xml:space="preserve">” </w:t>
      </w:r>
      <w:r>
        <w:rPr>
          <w:rFonts w:ascii="Times New Roman" w:hAnsi="Times New Roman"/>
          <w:sz w:val="18"/>
          <w:szCs w:val="18"/>
          <w:rtl w:val="0"/>
          <w:lang w:val="it-IT"/>
        </w:rPr>
        <w:t>Procedia Comput. Sci., vol. 230, 2024.</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18"/>
          <w:szCs w:val="18"/>
          <w:rtl w:val="0"/>
          <w:lang w:val="en-US"/>
        </w:rPr>
        <w:t xml:space="preserve">[R21]  Y. Zhang, </w:t>
      </w:r>
      <w:r>
        <w:rPr>
          <w:rFonts w:ascii="Arial Unicode MS" w:hAnsi="Arial Unicode MS" w:hint="default"/>
          <w:sz w:val="18"/>
          <w:szCs w:val="18"/>
          <w:rtl w:val="1"/>
          <w:lang w:val="ar-SA" w:bidi="ar-SA"/>
        </w:rPr>
        <w:t>“</w:t>
      </w:r>
      <w:r>
        <w:rPr>
          <w:rFonts w:ascii="Times New Roman" w:hAnsi="Times New Roman"/>
          <w:sz w:val="18"/>
          <w:szCs w:val="18"/>
          <w:rtl w:val="0"/>
          <w:lang w:val="en-US"/>
        </w:rPr>
        <w:t>The role of algorithmic trading in the U.S. stock market,</w:t>
      </w:r>
      <w:r>
        <w:rPr>
          <w:rFonts w:ascii="Times New Roman" w:hAnsi="Times New Roman" w:hint="default"/>
          <w:sz w:val="18"/>
          <w:szCs w:val="18"/>
          <w:rtl w:val="0"/>
          <w:lang w:val="en-US"/>
        </w:rPr>
        <w:t xml:space="preserve">” </w:t>
      </w:r>
      <w:r>
        <w:rPr>
          <w:rFonts w:ascii="Times New Roman" w:hAnsi="Times New Roman"/>
          <w:sz w:val="18"/>
          <w:szCs w:val="18"/>
          <w:rtl w:val="0"/>
          <w:lang w:val="en-US"/>
        </w:rPr>
        <w:t>J. Young Investigators, vol. 2, no. 2, 2026.</w:t>
      </w:r>
    </w:p>
    <w:p>
      <w:pPr>
        <w:pStyle w:val="Body A"/>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rFonts w:ascii="Times New Roman" w:hAnsi="Times New Roman"/>
          <w:sz w:val="18"/>
          <w:szCs w:val="18"/>
          <w:rtl w:val="0"/>
          <w:lang w:val="pt-PT"/>
        </w:rPr>
        <w:t xml:space="preserve">[R22]  L. Gu, </w:t>
      </w:r>
      <w:r>
        <w:rPr>
          <w:rFonts w:ascii="Arial Unicode MS" w:hAnsi="Arial Unicode MS" w:hint="default"/>
          <w:sz w:val="18"/>
          <w:szCs w:val="18"/>
          <w:rtl w:val="1"/>
          <w:lang w:val="ar-SA" w:bidi="ar-SA"/>
        </w:rPr>
        <w:t>“</w:t>
      </w:r>
      <w:r>
        <w:rPr>
          <w:rFonts w:ascii="Times New Roman" w:hAnsi="Times New Roman"/>
          <w:sz w:val="18"/>
          <w:szCs w:val="18"/>
          <w:rtl w:val="0"/>
          <w:lang w:val="en-US"/>
        </w:rPr>
        <w:t>The changes in the stock market after introducing algorithmic trading,</w:t>
      </w:r>
      <w:r>
        <w:rPr>
          <w:rFonts w:ascii="Times New Roman" w:hAnsi="Times New Roman" w:hint="default"/>
          <w:sz w:val="18"/>
          <w:szCs w:val="18"/>
          <w:rtl w:val="0"/>
          <w:lang w:val="en-US"/>
        </w:rPr>
        <w:t xml:space="preserve">” </w:t>
      </w:r>
      <w:r>
        <w:rPr>
          <w:rFonts w:ascii="Times New Roman" w:hAnsi="Times New Roman"/>
          <w:sz w:val="18"/>
          <w:szCs w:val="18"/>
          <w:rtl w:val="0"/>
          <w:lang w:val="en-US"/>
        </w:rPr>
        <w:t>Adv. Econ. Manage. Res., 2025.</w:t>
      </w:r>
    </w:p>
    <w:sectPr>
      <w:headerReference w:type="default" r:id="rId4"/>
      <w:footerReference w:type="default" r:id="rId5"/>
      <w:pgSz w:w="12240" w:h="15840" w:orient="portrait"/>
      <w:pgMar w:top="720" w:right="720" w:bottom="720" w:left="720" w:header="708" w:footer="708"/>
      <w:cols w:space="360" w:num="2" w:equalWidth="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rPr>
        <w:rFonts w:ascii="Times New Roman" w:hAnsi="Times New Roman"/>
        <w:sz w:val="18"/>
        <w:szCs w:val="18"/>
      </w:rPr>
      <w:fldChar w:fldCharType="begin" w:fldLock="0"/>
    </w:r>
    <w:r>
      <w:rPr>
        <w:rFonts w:ascii="Times New Roman" w:hAnsi="Times New Roman"/>
        <w:sz w:val="18"/>
        <w:szCs w:val="18"/>
      </w:rPr>
      <w:instrText xml:space="preserve"> PAGE </w:instrText>
    </w:r>
    <w:r>
      <w:rPr>
        <w:rFonts w:ascii="Times New Roman" w:hAnsi="Times New Roman"/>
        <w:sz w:val="18"/>
        <w:szCs w:val="18"/>
      </w:rPr>
      <w:fldChar w:fldCharType="separate" w:fldLock="0"/>
    </w:r>
    <w:r>
      <w:rPr>
        <w:rFonts w:ascii="Times New Roman" w:hAnsi="Times New Roman"/>
        <w:sz w:val="18"/>
        <w:szCs w:val="18"/>
      </w:rPr>
    </w:r>
    <w:r>
      <w:rPr>
        <w:rFonts w:ascii="Times New Roman" w:hAnsi="Times New Roman"/>
        <w:sz w:val="18"/>
        <w:szCs w:val="18"/>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fr-FR"/>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