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jc w:val="center"/>
        <w:rPr>
          <w:rFonts w:asciiTheme="majorHAnsi" w:eastAsiaTheme="majorEastAsia" w:hAnsiTheme="majorHAnsi" w:cstheme="majorBidi"/>
          <w:b/>
          <w:bCs/>
          <w:caps/>
          <w:spacing w:val="4"/>
          <w:sz w:val="28"/>
          <w:szCs w:val="28"/>
        </w:rPr>
      </w:pPr>
      <w:r w:rsidRPr="00FF5D2D">
        <w:rPr>
          <w:rFonts w:asciiTheme="majorHAnsi" w:eastAsiaTheme="majorEastAsia" w:hAnsiTheme="majorHAnsi" w:cstheme="majorBidi"/>
          <w:b/>
          <w:bCs/>
          <w:caps/>
          <w:spacing w:val="4"/>
          <w:sz w:val="28"/>
          <w:szCs w:val="28"/>
        </w:rPr>
        <w:t>Class</w:t>
      </w:r>
      <w:r>
        <w:rPr>
          <w:rFonts w:asciiTheme="majorHAnsi" w:eastAsiaTheme="majorEastAsia" w:hAnsiTheme="majorHAnsi" w:cstheme="majorBidi"/>
          <w:b/>
          <w:bCs/>
          <w:caps/>
          <w:spacing w:val="4"/>
          <w:sz w:val="28"/>
          <w:szCs w:val="28"/>
        </w:rPr>
        <w:t>IFI</w:t>
      </w:r>
      <w:r w:rsidRPr="00FF5D2D">
        <w:rPr>
          <w:rFonts w:asciiTheme="majorHAnsi" w:eastAsiaTheme="majorEastAsia" w:hAnsiTheme="majorHAnsi" w:cstheme="majorBidi"/>
          <w:b/>
          <w:bCs/>
          <w:caps/>
          <w:spacing w:val="4"/>
          <w:sz w:val="28"/>
          <w:szCs w:val="28"/>
        </w:rPr>
        <w:t>cation on Bank Marketing Data Set to predict client’s intention of a term subscription</w:t>
      </w: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Pr="00F85773" w:rsidRDefault="00212B05" w:rsidP="00212B05">
      <w:pPr>
        <w:pStyle w:val="Title"/>
        <w:tabs>
          <w:tab w:val="center" w:pos="4680"/>
          <w:tab w:val="left" w:pos="8616"/>
        </w:tabs>
        <w:jc w:val="left"/>
        <w:rPr>
          <w:rFonts w:ascii="Arial" w:hAnsi="Arial" w:cs="Arial"/>
          <w:sz w:val="24"/>
          <w:szCs w:val="24"/>
        </w:rPr>
      </w:pPr>
      <w:r>
        <w:rPr>
          <w:rFonts w:ascii="Arial" w:hAnsi="Arial" w:cs="Arial"/>
          <w:sz w:val="24"/>
          <w:szCs w:val="24"/>
        </w:rPr>
        <w:tab/>
      </w:r>
      <w:r w:rsidR="00F17916" w:rsidRPr="00F85773">
        <w:rPr>
          <w:rFonts w:ascii="Arial" w:hAnsi="Arial" w:cs="Arial"/>
          <w:sz w:val="24"/>
          <w:szCs w:val="24"/>
        </w:rPr>
        <w:t>Contribut</w:t>
      </w:r>
      <w:r w:rsidR="00F85773" w:rsidRPr="00F85773">
        <w:rPr>
          <w:rFonts w:ascii="Arial" w:hAnsi="Arial" w:cs="Arial"/>
          <w:sz w:val="24"/>
          <w:szCs w:val="24"/>
        </w:rPr>
        <w:t>ors:</w:t>
      </w:r>
      <w:r>
        <w:rPr>
          <w:rFonts w:ascii="Arial" w:hAnsi="Arial" w:cs="Arial"/>
          <w:sz w:val="24"/>
          <w:szCs w:val="24"/>
        </w:rPr>
        <w:tab/>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Tina Pai</w:t>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 xml:space="preserve">Yang </w:t>
      </w:r>
      <w:proofErr w:type="spellStart"/>
      <w:r w:rsidRPr="00212B05">
        <w:rPr>
          <w:rFonts w:ascii="Arial" w:hAnsi="Arial" w:cs="Arial"/>
          <w:sz w:val="22"/>
          <w:szCs w:val="22"/>
        </w:rPr>
        <w:t>zang</w:t>
      </w:r>
      <w:proofErr w:type="spellEnd"/>
    </w:p>
    <w:p w:rsidR="007E5E3B" w:rsidRPr="00212B05" w:rsidRDefault="007E5E3B" w:rsidP="007E5E3B">
      <w:pPr>
        <w:pStyle w:val="Title"/>
        <w:numPr>
          <w:ilvl w:val="0"/>
          <w:numId w:val="4"/>
        </w:numPr>
        <w:jc w:val="left"/>
        <w:rPr>
          <w:rFonts w:ascii="Arial" w:hAnsi="Arial" w:cs="Arial"/>
          <w:sz w:val="22"/>
          <w:szCs w:val="22"/>
        </w:rPr>
      </w:pPr>
      <w:r w:rsidRPr="00212B05">
        <w:rPr>
          <w:rFonts w:ascii="Arial" w:hAnsi="Arial" w:cs="Arial"/>
          <w:sz w:val="22"/>
          <w:szCs w:val="22"/>
        </w:rPr>
        <w:t>Balaji Avvaru</w:t>
      </w:r>
    </w:p>
    <w:p w:rsidR="007E5E3B" w:rsidRPr="007E5E3B" w:rsidRDefault="007E5E3B" w:rsidP="007E5E3B"/>
    <w:p w:rsidR="00F85773" w:rsidRDefault="00F8577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pStyle w:val="Heading1"/>
      </w:pPr>
      <w:r>
        <w:lastRenderedPageBreak/>
        <w:t>Introduction</w:t>
      </w:r>
    </w:p>
    <w:p w:rsidR="0044277B" w:rsidRDefault="0044277B" w:rsidP="0044277B">
      <w:r>
        <w:t xml:space="preserve">Marketing campaigns develop strategies to enhance businesses. Companies use direct marketing by targeting segments of customers and contacting them to meet specific goals. Centralizing customer remote interactions in a contact center eases operational management of campaigns. Such centers allow communicating with customers through channels such as telephone (fixed-line or mobile). </w:t>
      </w:r>
    </w:p>
    <w:p w:rsidR="0044277B" w:rsidRDefault="0044277B" w:rsidP="0044277B">
      <w:r>
        <w:t xml:space="preserve">The success of bank marketing campaign is predicted with customer features, campaign information and economic attributes. </w:t>
      </w:r>
      <w:r w:rsidRPr="00FF5D2D">
        <w:t>Here we attempt to analyze the eﬀect of telemarketing on attracting new clients in a ﬁnance industry by looking at the success of telemarketing calls for selling bank long-term deposits recorded by a Portuguese retail bank.</w:t>
      </w:r>
    </w:p>
    <w:p w:rsidR="0044277B" w:rsidRDefault="0044277B" w:rsidP="0044277B">
      <w:pPr>
        <w:pStyle w:val="Heading1"/>
      </w:pPr>
      <w:r>
        <w:t>Data Description</w:t>
      </w:r>
    </w:p>
    <w:p w:rsidR="0044277B" w:rsidRDefault="0044277B" w:rsidP="0044277B">
      <w:r>
        <w:t>We obtained dataset from UCI [</w:t>
      </w:r>
      <w:hyperlink r:id="rId5" w:history="1">
        <w:r w:rsidRPr="00862DB4">
          <w:rPr>
            <w:rStyle w:val="Hyperlink"/>
          </w:rPr>
          <w:t>https://archive.ics.uci.edu/ml/datasets/Bank+Marketing</w:t>
        </w:r>
      </w:hyperlink>
      <w:r>
        <w:t xml:space="preserve">] containing data originally sourced from the </w:t>
      </w:r>
      <w:r w:rsidRPr="00FF5D2D">
        <w:t>direct marketing campaign performed by a Portuguese bank</w:t>
      </w:r>
      <w:r>
        <w:t xml:space="preserve">. </w:t>
      </w:r>
      <w:r w:rsidRPr="00FF5D2D">
        <w:t>The bank collected data from May 2008 to November 2010 and the data consist of 4</w:t>
      </w:r>
      <w:r>
        <w:t xml:space="preserve">1188 </w:t>
      </w:r>
      <w:r w:rsidRPr="00FF5D2D">
        <w:t xml:space="preserve">observations and </w:t>
      </w:r>
      <w:r>
        <w:t>21</w:t>
      </w:r>
      <w:r w:rsidRPr="00FF5D2D">
        <w:t xml:space="preserve"> variables. The target response is a binary, categorical variable indicating whether a client subscribed to a term deposit or not</w:t>
      </w:r>
      <w:r>
        <w:t xml:space="preserve">.  </w:t>
      </w:r>
    </w:p>
    <w:tbl>
      <w:tblPr>
        <w:tblStyle w:val="TableGrid"/>
        <w:tblW w:w="0" w:type="auto"/>
        <w:tblLayout w:type="fixed"/>
        <w:tblLook w:val="04A0" w:firstRow="1" w:lastRow="0" w:firstColumn="1" w:lastColumn="0" w:noHBand="0" w:noVBand="1"/>
      </w:tblPr>
      <w:tblGrid>
        <w:gridCol w:w="2245"/>
        <w:gridCol w:w="2430"/>
        <w:gridCol w:w="1088"/>
        <w:gridCol w:w="1228"/>
        <w:gridCol w:w="1178"/>
        <w:gridCol w:w="1181"/>
      </w:tblGrid>
      <w:tr w:rsidR="0044277B" w:rsidRPr="00F375E3" w:rsidTr="00D855B3">
        <w:tc>
          <w:tcPr>
            <w:tcW w:w="2245" w:type="dxa"/>
          </w:tcPr>
          <w:p w:rsidR="0044277B" w:rsidRPr="00F375E3" w:rsidRDefault="0044277B" w:rsidP="00D855B3">
            <w:r w:rsidRPr="00F375E3">
              <w:t>Variable Name</w:t>
            </w:r>
          </w:p>
        </w:tc>
        <w:tc>
          <w:tcPr>
            <w:tcW w:w="2430" w:type="dxa"/>
          </w:tcPr>
          <w:p w:rsidR="0044277B" w:rsidRPr="00F375E3" w:rsidRDefault="0044277B" w:rsidP="00D855B3">
            <w:r w:rsidRPr="00F375E3">
              <w:t>Description</w:t>
            </w:r>
          </w:p>
        </w:tc>
        <w:tc>
          <w:tcPr>
            <w:tcW w:w="1088" w:type="dxa"/>
          </w:tcPr>
          <w:p w:rsidR="0044277B" w:rsidRPr="00F375E3" w:rsidRDefault="0044277B" w:rsidP="00D855B3">
            <w:r w:rsidRPr="00F375E3">
              <w:t>Min</w:t>
            </w:r>
          </w:p>
        </w:tc>
        <w:tc>
          <w:tcPr>
            <w:tcW w:w="1228" w:type="dxa"/>
          </w:tcPr>
          <w:p w:rsidR="0044277B" w:rsidRPr="00F375E3" w:rsidRDefault="0044277B" w:rsidP="00D855B3">
            <w:r w:rsidRPr="00F375E3">
              <w:t>Max</w:t>
            </w:r>
          </w:p>
        </w:tc>
        <w:tc>
          <w:tcPr>
            <w:tcW w:w="1178" w:type="dxa"/>
          </w:tcPr>
          <w:p w:rsidR="0044277B" w:rsidRPr="00F375E3" w:rsidRDefault="0044277B" w:rsidP="00D855B3">
            <w:r w:rsidRPr="00F375E3">
              <w:t>Median</w:t>
            </w:r>
          </w:p>
        </w:tc>
        <w:tc>
          <w:tcPr>
            <w:tcW w:w="1181" w:type="dxa"/>
          </w:tcPr>
          <w:p w:rsidR="0044277B" w:rsidRPr="00F375E3" w:rsidRDefault="0044277B" w:rsidP="00D855B3">
            <w:r w:rsidRPr="00F375E3">
              <w:t>Mean</w:t>
            </w:r>
          </w:p>
        </w:tc>
      </w:tr>
      <w:tr w:rsidR="0044277B" w:rsidRPr="00F375E3" w:rsidTr="00D855B3">
        <w:tc>
          <w:tcPr>
            <w:tcW w:w="2245" w:type="dxa"/>
          </w:tcPr>
          <w:p w:rsidR="0044277B" w:rsidRPr="00703464"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age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rPr>
                <w:rFonts w:ascii="Arial" w:hAnsi="Arial" w:cs="Arial"/>
                <w:color w:val="123654"/>
                <w:sz w:val="20"/>
                <w:szCs w:val="20"/>
                <w:shd w:val="clear" w:color="auto" w:fill="FFFFFF"/>
              </w:rPr>
            </w:pPr>
            <w:r w:rsidRPr="0073675E">
              <w:rPr>
                <w:rFonts w:ascii="Arial" w:hAnsi="Arial" w:cs="Arial"/>
                <w:color w:val="123654"/>
                <w:sz w:val="20"/>
                <w:szCs w:val="20"/>
                <w:shd w:val="clear" w:color="auto" w:fill="FFFFFF"/>
              </w:rPr>
              <w:t>Age</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17</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98</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38</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40.02</w:t>
            </w:r>
          </w:p>
        </w:tc>
      </w:tr>
      <w:tr w:rsidR="0044277B" w:rsidRPr="00F375E3" w:rsidTr="00D855B3">
        <w:tc>
          <w:tcPr>
            <w:tcW w:w="2245" w:type="dxa"/>
          </w:tcPr>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job            </w:t>
            </w: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Type of job:</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'admin.',</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'blue-collar',</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'entrepreneur',</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'housemaid',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'management',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'retired',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'self-employed',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'services',</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'student',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'technician',</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'unemployed',</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marital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Marital status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'divorced',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'married',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'single',</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'unknown'; </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education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Education</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'basic.4y',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'basic.6y',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'basic.9y',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high.school</w:t>
            </w:r>
            <w:proofErr w:type="spellEnd"/>
            <w:proofErr w:type="gramEnd"/>
            <w:r>
              <w:rPr>
                <w:rFonts w:ascii="Arial" w:hAnsi="Arial" w:cs="Arial"/>
                <w:color w:val="123654"/>
                <w:sz w:val="20"/>
                <w:szCs w:val="20"/>
                <w:shd w:val="clear" w:color="auto" w:fill="FFFFFF"/>
              </w:rPr>
              <w: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'illiterate',</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professional.course</w:t>
            </w:r>
            <w:proofErr w:type="spellEnd"/>
            <w:proofErr w:type="gramEnd"/>
            <w:r>
              <w:rPr>
                <w:rFonts w:ascii="Arial" w:hAnsi="Arial" w:cs="Arial"/>
                <w:color w:val="123654"/>
                <w:sz w:val="20"/>
                <w:szCs w:val="20"/>
                <w:shd w:val="clear" w:color="auto" w:fill="FFFFFF"/>
              </w:rPr>
              <w: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university.degree</w:t>
            </w:r>
            <w:proofErr w:type="spellEnd"/>
            <w:proofErr w:type="gramEnd"/>
            <w:r>
              <w:rPr>
                <w:rFonts w:ascii="Arial" w:hAnsi="Arial" w:cs="Arial"/>
                <w:color w:val="123654"/>
                <w:sz w:val="20"/>
                <w:szCs w:val="20"/>
                <w:shd w:val="clear" w:color="auto" w:fill="FFFFFF"/>
              </w:rPr>
              <w:t>',</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lastRenderedPageBreak/>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default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credit in default?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housing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housing loan?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loan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personal loan?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contact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Contact communication type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'cellular'</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'telephone'</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month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month of year</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'Jan',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'Feb',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 ...,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'Nov', </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'Dec'</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day_of_week</w:t>
            </w:r>
            <w:proofErr w:type="spellEnd"/>
            <w:r w:rsidRPr="00FC7F49">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Last contact day of the week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'Mon',</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'Tue',</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'Wed',</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'Thu',</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'Fri'</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duration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duration, in seconds</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4918.0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180.0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258.3</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campaign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during this campaign and for this client</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56.0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2.568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pdays</w:t>
            </w:r>
            <w:proofErr w:type="spellEnd"/>
            <w:r w:rsidRPr="00FC7F49">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days that passed by after the client was last contacted from a previous campaign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962.5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previous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before this campaign and for this client</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7.0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0.173</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lastRenderedPageBreak/>
              <w:t>poutcome</w:t>
            </w:r>
            <w:proofErr w:type="spellEnd"/>
            <w:r w:rsidRPr="00B479C0">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Outcome of the previous marketing campaign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'failure',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'nonexistent',</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'success'</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proofErr w:type="gramStart"/>
            <w:r w:rsidRPr="00B479C0">
              <w:rPr>
                <w:rFonts w:ascii="Arial" w:hAnsi="Arial" w:cs="Arial"/>
                <w:color w:val="123654"/>
                <w:sz w:val="20"/>
                <w:szCs w:val="20"/>
                <w:shd w:val="clear" w:color="auto" w:fill="FFFFFF"/>
              </w:rPr>
              <w:t>emp.var.rate</w:t>
            </w:r>
            <w:proofErr w:type="spellEnd"/>
            <w:proofErr w:type="gramEnd"/>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Employment variation rate - quarterly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-3.4</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1.4</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1.1</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0.0819</w:t>
            </w: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cons.price.idx</w:t>
            </w:r>
            <w:proofErr w:type="spellEnd"/>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price index - monthly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92.20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94.77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93.75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93.58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cons.conf.idx</w:t>
            </w:r>
            <w:proofErr w:type="spellEnd"/>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confidence index - monthly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-26.9</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-41.8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B479C0">
              <w:rPr>
                <w:rFonts w:ascii="Arial" w:hAnsi="Arial" w:cs="Arial"/>
                <w:color w:val="123654"/>
                <w:sz w:val="20"/>
                <w:szCs w:val="20"/>
                <w:shd w:val="clear" w:color="auto" w:fill="FFFFFF"/>
              </w:rPr>
              <w:t>euribor3m</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Euribor 3-month rate - daily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0.634</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5.045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4.857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3.621</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proofErr w:type="gramStart"/>
            <w:r w:rsidRPr="00B479C0">
              <w:rPr>
                <w:rFonts w:ascii="Arial" w:hAnsi="Arial" w:cs="Arial"/>
                <w:color w:val="123654"/>
                <w:sz w:val="20"/>
                <w:szCs w:val="20"/>
                <w:shd w:val="clear" w:color="auto" w:fill="FFFFFF"/>
              </w:rPr>
              <w:t>nr.employed</w:t>
            </w:r>
            <w:proofErr w:type="spellEnd"/>
            <w:proofErr w:type="gramEnd"/>
            <w:r w:rsidRPr="00B479C0">
              <w:rPr>
                <w:rFonts w:ascii="Arial" w:hAnsi="Arial" w:cs="Arial"/>
                <w:color w:val="123654"/>
                <w:sz w:val="20"/>
                <w:szCs w:val="20"/>
                <w:shd w:val="clear" w:color="auto" w:fill="FFFFFF"/>
              </w:rPr>
              <w:t xml:space="preserve"> </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employees - quarterly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4964</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5228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5191</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5167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Tr="00D855B3">
        <w:tc>
          <w:tcPr>
            <w:tcW w:w="2245"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Y</w:t>
            </w: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the client subscribed a term deposit?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bl>
    <w:p w:rsidR="00212B05" w:rsidRDefault="00212B05" w:rsidP="00F752F1">
      <w:pPr>
        <w:jc w:val="left"/>
      </w:pPr>
    </w:p>
    <w:p w:rsidR="00F752F1" w:rsidRDefault="00F752F1" w:rsidP="00F752F1">
      <w:pPr>
        <w:jc w:val="left"/>
        <w:rPr>
          <w:rFonts w:ascii="Helvetica" w:hAnsi="Helvetica"/>
          <w:color w:val="333333"/>
          <w:spacing w:val="3"/>
          <w:shd w:val="clear" w:color="auto" w:fill="FFFFFF"/>
        </w:rPr>
      </w:pPr>
      <w:r w:rsidRPr="00E94D37">
        <w:t>According to the statistics summary, there seems to be an issue of imbalance in our data with 3</w:t>
      </w:r>
      <w:r>
        <w:t>6548</w:t>
      </w:r>
      <w:r w:rsidRPr="00E94D37">
        <w:t xml:space="preserve"> cases in ’No’ and </w:t>
      </w:r>
      <w:r>
        <w:t>4640</w:t>
      </w:r>
      <w:r w:rsidRPr="00E94D37">
        <w:t xml:space="preserve"> cases in ’Yes’. A dataset is imbalanced if the classiﬁcation categories are not approximately equally represented. Imbalance in data, especially in class, always contributes to worse prediction</w:t>
      </w:r>
      <w:r>
        <w:t>. We used “</w:t>
      </w:r>
      <w:proofErr w:type="spellStart"/>
      <w:r>
        <w:t>upsample</w:t>
      </w:r>
      <w:proofErr w:type="spellEnd"/>
      <w:r>
        <w:t xml:space="preserve">” technique to construct balanced dataset. </w:t>
      </w:r>
      <w:r w:rsidRPr="006F5B31">
        <w:t>The general idea of this method is to randomly sample (with replacement) the minority class to be the same size as the majority class</w:t>
      </w:r>
      <w:r>
        <w:t>.</w:t>
      </w:r>
      <w:r>
        <w:rPr>
          <w:rFonts w:ascii="Helvetica" w:hAnsi="Helvetica"/>
          <w:color w:val="333333"/>
          <w:spacing w:val="3"/>
          <w:shd w:val="clear" w:color="auto" w:fill="FFFFFF"/>
        </w:rPr>
        <w:t xml:space="preserve"> </w:t>
      </w:r>
    </w:p>
    <w:p w:rsidR="0044277B" w:rsidRDefault="00212B05" w:rsidP="0044277B">
      <w:pPr>
        <w:jc w:val="center"/>
        <w:rPr>
          <w:rFonts w:eastAsia="Times New Roman" w:cstheme="minorHAnsi"/>
          <w:color w:val="000000"/>
          <w:sz w:val="20"/>
          <w:szCs w:val="20"/>
        </w:rPr>
      </w:pPr>
      <w:r>
        <w:rPr>
          <w:rFonts w:eastAsia="Times New Roman" w:cstheme="minorHAnsi"/>
          <w:color w:val="000000"/>
          <w:sz w:val="20"/>
          <w:szCs w:val="20"/>
        </w:rPr>
        <w:t xml:space="preserve"> </w:t>
      </w:r>
      <w:r w:rsidR="0044277B" w:rsidRPr="00901E94">
        <w:rPr>
          <w:noProof/>
        </w:rPr>
        <w:drawing>
          <wp:inline distT="0" distB="0" distL="0" distR="0" wp14:anchorId="0CE7B1BA" wp14:editId="2F99F3AE">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p w:rsidR="0044277B" w:rsidRDefault="0044277B" w:rsidP="0044277B">
      <w:pPr>
        <w:pStyle w:val="Heading1"/>
      </w:pPr>
      <w:r>
        <w:lastRenderedPageBreak/>
        <w:t>Exploratory Analysis</w:t>
      </w:r>
    </w:p>
    <w:p w:rsidR="0044277B" w:rsidRDefault="0044277B" w:rsidP="0044277B">
      <w:r w:rsidRPr="0073675E">
        <w:t>For our analysis, we have used all variables. We separate variables into categorical and continuous and examine each group separately.</w:t>
      </w:r>
    </w:p>
    <w:p w:rsidR="0044277B" w:rsidRDefault="0044277B" w:rsidP="0044277B">
      <w:r w:rsidRPr="007E5E3B">
        <w:t>Figure</w:t>
      </w:r>
      <w:r w:rsidRPr="0073675E">
        <w:t xml:space="preserve"> </w:t>
      </w:r>
      <w:r w:rsidR="007E5E3B">
        <w:t>1-10</w:t>
      </w:r>
      <w:r w:rsidRPr="0073675E">
        <w:t xml:space="preserve"> shows the </w:t>
      </w:r>
      <w:r w:rsidR="00D86BEC">
        <w:t>spine plots of</w:t>
      </w:r>
      <w:r w:rsidRPr="0073675E">
        <w:t xml:space="preserve"> the categorical variables for each factor level by the response variable. It lets us see if a speciﬁc level or group of a factor has a higher or lower count than its counterparts that might contribute to the likelihood of subscribing a term deposit. The proportion of clients who subscribed to a term deposit seems to vary by job categories even for those with roughly the same sample size. For example, the proportion of subscribing to a term deposit is higher for clients who hold an administrative position and the proportion is lower for individuals who are self-employed. Thus, job possibly has an eﬀect on the likelihood of a client subscribing to a term deposit. </w:t>
      </w:r>
      <w:r>
        <w:t xml:space="preserve">We ran chi-square test on all categorical variables with response variable to see whether any of the predictors has dependency relationship with response variables. </w:t>
      </w:r>
      <w:r w:rsidRPr="0073675E">
        <w:t xml:space="preserve">Reviewing the frequency tables </w:t>
      </w:r>
      <w:r>
        <w:t xml:space="preserve">and chi-square p-values </w:t>
      </w:r>
      <w:r w:rsidRPr="0073675E">
        <w:t xml:space="preserve">for the remaining categorical variables , it appears that </w:t>
      </w:r>
      <w:r w:rsidR="00D05C79">
        <w:t xml:space="preserve">the </w:t>
      </w:r>
      <w:r w:rsidRPr="0073675E">
        <w:t>variables</w:t>
      </w:r>
      <w:r w:rsidR="00D05C79">
        <w:t xml:space="preserve"> “</w:t>
      </w:r>
      <w:r w:rsidR="00D05C79" w:rsidRPr="00D05C79">
        <w:t>job</w:t>
      </w:r>
      <w:r w:rsidR="00D05C79">
        <w:t>”, “</w:t>
      </w:r>
      <w:r w:rsidR="00D05C79" w:rsidRPr="00D05C79">
        <w:t>marital</w:t>
      </w:r>
      <w:r w:rsidR="00D05C79">
        <w:t>”, “</w:t>
      </w:r>
      <w:r w:rsidR="00D05C79" w:rsidRPr="00D05C79">
        <w:t>education</w:t>
      </w:r>
      <w:r w:rsidR="00D05C79">
        <w:t>”,</w:t>
      </w:r>
      <w:r w:rsidR="00D05C79" w:rsidRPr="00D05C79">
        <w:t xml:space="preserve"> </w:t>
      </w:r>
      <w:r w:rsidR="00D05C79">
        <w:t>“</w:t>
      </w:r>
      <w:r w:rsidR="00D05C79" w:rsidRPr="00D05C79">
        <w:t>contact</w:t>
      </w:r>
      <w:r w:rsidR="00D05C79">
        <w:t>”, “</w:t>
      </w:r>
      <w:r w:rsidR="00D05C79" w:rsidRPr="00D05C79">
        <w:t>month</w:t>
      </w:r>
      <w:r w:rsidR="00D05C79">
        <w:t>”, “</w:t>
      </w:r>
      <w:proofErr w:type="spellStart"/>
      <w:r w:rsidR="00D05C79" w:rsidRPr="00D05C79">
        <w:t>day_of_week</w:t>
      </w:r>
      <w:proofErr w:type="spellEnd"/>
      <w:r w:rsidR="00D05C79">
        <w:t xml:space="preserve">” and </w:t>
      </w:r>
      <w:r w:rsidR="00D05C79" w:rsidRPr="00D05C79">
        <w:t xml:space="preserve"> </w:t>
      </w:r>
      <w:r w:rsidR="00D05C79">
        <w:t>“</w:t>
      </w:r>
      <w:proofErr w:type="spellStart"/>
      <w:r w:rsidR="00D05C79" w:rsidRPr="00D05C79">
        <w:t>poutcome</w:t>
      </w:r>
      <w:proofErr w:type="spellEnd"/>
      <w:r w:rsidR="00D05C79">
        <w:t>”</w:t>
      </w:r>
      <w:r w:rsidRPr="0073675E">
        <w:t xml:space="preserve"> could contribute, the proportions vary across the factor levels within each variable.</w:t>
      </w:r>
    </w:p>
    <w:p w:rsidR="0044277B" w:rsidRDefault="0044277B" w:rsidP="0044277B">
      <w:r>
        <w:t>W</w:t>
      </w:r>
      <w:r w:rsidRPr="00FA35D9">
        <w:t>e decided to check whether there exists multicollinearity</w:t>
      </w:r>
      <w:r>
        <w:t xml:space="preserve"> among continuous variables</w:t>
      </w:r>
      <w:r w:rsidRPr="00FA35D9">
        <w:t xml:space="preserve">. Multicollinearity refers to the correlation between variables. To check the multicollinearity, we developed a correlation matrix on the variables. </w:t>
      </w:r>
      <w:r>
        <w:t xml:space="preserve">Looking at correlation matrix shows strong positive correlation between euribor3m and </w:t>
      </w:r>
      <w:proofErr w:type="spellStart"/>
      <w:proofErr w:type="gramStart"/>
      <w:r>
        <w:t>nr.employed</w:t>
      </w:r>
      <w:proofErr w:type="spellEnd"/>
      <w:proofErr w:type="gramEnd"/>
      <w:r>
        <w:t xml:space="preserve"> (0.95), </w:t>
      </w:r>
      <w:proofErr w:type="spellStart"/>
      <w:r>
        <w:t>emp.var.rate</w:t>
      </w:r>
      <w:proofErr w:type="spellEnd"/>
      <w:r>
        <w:t xml:space="preserve"> and euribor3m (0.97) and </w:t>
      </w:r>
      <w:proofErr w:type="spellStart"/>
      <w:r>
        <w:t>emp.var.rate</w:t>
      </w:r>
      <w:proofErr w:type="spellEnd"/>
      <w:r>
        <w:t xml:space="preserve"> and </w:t>
      </w:r>
      <w:proofErr w:type="spellStart"/>
      <w:r>
        <w:t>nr.employed</w:t>
      </w:r>
      <w:proofErr w:type="spellEnd"/>
      <w:r>
        <w:t xml:space="preserve"> (0.91). There are negative correlations between previous and </w:t>
      </w:r>
      <w:proofErr w:type="spellStart"/>
      <w:r>
        <w:t>pdays</w:t>
      </w:r>
      <w:proofErr w:type="spellEnd"/>
      <w:r>
        <w:t xml:space="preserve"> (-0.59), previous and </w:t>
      </w:r>
      <w:proofErr w:type="spellStart"/>
      <w:proofErr w:type="gramStart"/>
      <w:r>
        <w:t>nr.employed</w:t>
      </w:r>
      <w:proofErr w:type="spellEnd"/>
      <w:proofErr w:type="gramEnd"/>
      <w:r>
        <w:t xml:space="preserve"> (-0.50) </w:t>
      </w:r>
    </w:p>
    <w:p w:rsidR="0044277B" w:rsidRDefault="0044277B" w:rsidP="0044277B">
      <w:r>
        <w:rPr>
          <w:noProof/>
        </w:rPr>
        <mc:AlternateContent>
          <mc:Choice Requires="wps">
            <w:drawing>
              <wp:inline distT="0" distB="0" distL="0" distR="0" wp14:anchorId="40261C26" wp14:editId="1112B1A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6B32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FA35D9">
        <w:rPr>
          <w:noProof/>
        </w:rPr>
        <w:drawing>
          <wp:inline distT="0" distB="0" distL="0" distR="0" wp14:anchorId="153610F6" wp14:editId="5635772C">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rsidR="00F85773" w:rsidRDefault="00F85773" w:rsidP="0044277B">
      <w:r>
        <w:tab/>
      </w:r>
      <w:r w:rsidR="00212B05">
        <w:t>Figure:</w:t>
      </w:r>
      <w:r>
        <w:t xml:space="preserve"> Correlation plot </w:t>
      </w:r>
    </w:p>
    <w:p w:rsidR="00F85773" w:rsidRDefault="00F85773" w:rsidP="0044277B"/>
    <w:p w:rsidR="0044277B" w:rsidRDefault="0044277B" w:rsidP="0044277B">
      <w:pPr>
        <w:pStyle w:val="Heading2"/>
      </w:pPr>
      <w:r>
        <w:lastRenderedPageBreak/>
        <w:t>Missing Data</w:t>
      </w:r>
    </w:p>
    <w:p w:rsidR="0044277B" w:rsidRPr="0073675E" w:rsidRDefault="0044277B" w:rsidP="0044277B">
      <w:r w:rsidRPr="00FA35D9">
        <w:t xml:space="preserve">Data has some unknown data, which is not treated as missing, </w:t>
      </w:r>
      <w:r w:rsidRPr="0073675E">
        <w:t xml:space="preserve">So, considering unknown as one the factor in those variables.  </w:t>
      </w:r>
    </w:p>
    <w:p w:rsidR="0044277B" w:rsidRDefault="0044277B" w:rsidP="0044277B">
      <w:pPr>
        <w:pStyle w:val="Heading1"/>
      </w:pPr>
      <w:r>
        <w:t xml:space="preserve">Objective 1 - </w:t>
      </w:r>
      <w:r w:rsidRPr="009D507C">
        <w:t>Baseline model. Logistic Regression</w:t>
      </w:r>
    </w:p>
    <w:p w:rsidR="0044277B" w:rsidRPr="0038557E" w:rsidRDefault="0044277B" w:rsidP="0044277B">
      <w:r w:rsidRPr="0038557E">
        <w:t>For our ﬁrst two models, we ﬁt logistic regression to balanced and unbalanced datasets. We estimate the performance of both models on the same test dataset to see if one model has a better predictive power than the other.</w:t>
      </w:r>
    </w:p>
    <w:p w:rsidR="0044277B" w:rsidRPr="009D507C" w:rsidRDefault="0044277B" w:rsidP="0044277B">
      <w:pPr>
        <w:rPr>
          <w:rFonts w:ascii="Times New Roman" w:hAnsi="Times New Roman" w:cs="Times New Roman"/>
          <w:sz w:val="28"/>
          <w:szCs w:val="28"/>
        </w:rPr>
      </w:pPr>
      <w:r w:rsidRPr="009D507C">
        <w:rPr>
          <w:sz w:val="28"/>
          <w:szCs w:val="28"/>
        </w:rPr>
        <w:t>Key Assumptions:</w:t>
      </w:r>
    </w:p>
    <w:p w:rsidR="00782D47" w:rsidRDefault="0044277B" w:rsidP="00782D47">
      <w:pPr>
        <w:jc w:val="left"/>
      </w:pPr>
      <w:r>
        <w:t xml:space="preserve">Before running logistic </w:t>
      </w:r>
      <w:proofErr w:type="gramStart"/>
      <w:r>
        <w:t>regression</w:t>
      </w:r>
      <w:proofErr w:type="gramEnd"/>
      <w:r>
        <w:t xml:space="preserve"> we proceed making sure the following two key assumptions are met.</w:t>
      </w:r>
    </w:p>
    <w:p w:rsidR="00782D47" w:rsidRDefault="0044277B" w:rsidP="00782D47">
      <w:pPr>
        <w:pStyle w:val="ListParagraph"/>
        <w:numPr>
          <w:ilvl w:val="0"/>
          <w:numId w:val="2"/>
        </w:numPr>
        <w:jc w:val="left"/>
      </w:pPr>
      <w:r>
        <w:t>Logistic regression requires the observations to be independent of each other. For this data set we do not have information if any of the observations recorded belonged to members from the same family. And hence we assume that all the observations are independent of each other.</w:t>
      </w:r>
    </w:p>
    <w:p w:rsidR="00782D47" w:rsidRDefault="00782D47" w:rsidP="00782D47">
      <w:pPr>
        <w:pStyle w:val="ListParagraph"/>
        <w:ind w:left="360"/>
        <w:jc w:val="left"/>
      </w:pPr>
    </w:p>
    <w:p w:rsidR="0044277B" w:rsidRDefault="0044277B" w:rsidP="00782D47">
      <w:pPr>
        <w:pStyle w:val="ListParagraph"/>
        <w:numPr>
          <w:ilvl w:val="0"/>
          <w:numId w:val="2"/>
        </w:numPr>
        <w:jc w:val="left"/>
      </w:pPr>
      <w:r>
        <w:t>Logistic regression requires there to be little or no multicollinearity among the independent variables. This means that the independent variables should not be too highly correlated with each other. During the EDA we identified highly correlated variables and we make sure to remove them when building the models.</w:t>
      </w:r>
    </w:p>
    <w:p w:rsidR="0044277B" w:rsidRPr="009D507C" w:rsidRDefault="0044277B" w:rsidP="0044277B">
      <w:pPr>
        <w:jc w:val="left"/>
        <w:rPr>
          <w:sz w:val="28"/>
          <w:szCs w:val="28"/>
        </w:rPr>
      </w:pPr>
      <w:r w:rsidRPr="0038557E">
        <w:rPr>
          <w:sz w:val="28"/>
          <w:szCs w:val="28"/>
        </w:rPr>
        <w:t>Lack of fit test</w:t>
      </w:r>
    </w:p>
    <w:p w:rsidR="00017594" w:rsidRDefault="00017594" w:rsidP="0044277B">
      <w:pPr>
        <w:jc w:val="left"/>
      </w:pPr>
      <w:r w:rsidRPr="00017594">
        <w:t xml:space="preserve">We use the Hosmer and </w:t>
      </w:r>
      <w:proofErr w:type="spellStart"/>
      <w:r w:rsidRPr="00017594">
        <w:t>Lemeshow</w:t>
      </w:r>
      <w:proofErr w:type="spellEnd"/>
      <w:r w:rsidRPr="00017594">
        <w:t xml:space="preserve"> Goodness-of-Fit test with the null hypothesis that the ﬁtted model is correct. The output p-value is a number between 0 and 1 with higher values indicating a better ﬁt. The p-value we obtain from the test is &lt;0.0001, which is statistically signiﬁcant and implies that the null hypothesis should be rejecte</w:t>
      </w:r>
      <w:r>
        <w:t>d.</w:t>
      </w:r>
    </w:p>
    <w:p w:rsidR="00017594" w:rsidRDefault="00017594" w:rsidP="0044277B">
      <w:pPr>
        <w:jc w:val="left"/>
      </w:pPr>
      <w:r>
        <w:t>S</w:t>
      </w:r>
      <w:r w:rsidRPr="00017594">
        <w:t>ince our goal is to measure the predictive power of a model and not the goodness of ﬁt, we will proceed despite not meeting the assumption</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 xml:space="preserve">Hosmer and </w:t>
      </w:r>
      <w:proofErr w:type="spellStart"/>
      <w:r w:rsidRPr="000D598D">
        <w:rPr>
          <w:rFonts w:ascii="Lucida Console" w:eastAsia="Times New Roman" w:hAnsi="Lucida Console" w:cs="Courier New"/>
          <w:color w:val="000000"/>
          <w:sz w:val="20"/>
          <w:szCs w:val="20"/>
        </w:rPr>
        <w:t>Lemeshow</w:t>
      </w:r>
      <w:proofErr w:type="spellEnd"/>
      <w:r w:rsidRPr="000D598D">
        <w:rPr>
          <w:rFonts w:ascii="Lucida Console" w:eastAsia="Times New Roman" w:hAnsi="Lucida Console" w:cs="Courier New"/>
          <w:color w:val="000000"/>
          <w:sz w:val="20"/>
          <w:szCs w:val="20"/>
        </w:rPr>
        <w:t xml:space="preserve"> goodness of fit (GOF) test</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 xml:space="preserve">data:  </w:t>
      </w:r>
      <w:proofErr w:type="gramStart"/>
      <w:r w:rsidRPr="000D598D">
        <w:rPr>
          <w:rFonts w:ascii="Lucida Console" w:eastAsia="Times New Roman" w:hAnsi="Lucida Console" w:cs="Courier New"/>
          <w:color w:val="000000"/>
          <w:sz w:val="20"/>
          <w:szCs w:val="20"/>
        </w:rPr>
        <w:t>model.main</w:t>
      </w:r>
      <w:proofErr w:type="gramEnd"/>
      <w:r w:rsidRPr="000D598D">
        <w:rPr>
          <w:rFonts w:ascii="Lucida Console" w:eastAsia="Times New Roman" w:hAnsi="Lucida Console" w:cs="Courier New"/>
          <w:color w:val="000000"/>
          <w:sz w:val="20"/>
          <w:szCs w:val="20"/>
        </w:rPr>
        <w:t>1$y, fitted(model.main1)</w:t>
      </w:r>
    </w:p>
    <w:p w:rsid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X-squared = 3501.9, df = 8, p-value &lt; 2.2e-16</w:t>
      </w:r>
    </w:p>
    <w:p w:rsidR="00F85773"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F85773" w:rsidRPr="000D598D"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Figure: </w:t>
      </w:r>
      <w:r w:rsidRPr="00F85773">
        <w:rPr>
          <w:rFonts w:ascii="Lucida Console" w:eastAsia="Times New Roman" w:hAnsi="Lucida Console" w:cs="Courier New"/>
          <w:color w:val="000000"/>
          <w:sz w:val="20"/>
          <w:szCs w:val="20"/>
        </w:rPr>
        <w:t xml:space="preserve">Hosmer and </w:t>
      </w:r>
      <w:proofErr w:type="spellStart"/>
      <w:r w:rsidRPr="00F85773">
        <w:rPr>
          <w:rFonts w:ascii="Lucida Console" w:eastAsia="Times New Roman" w:hAnsi="Lucida Console" w:cs="Courier New"/>
          <w:color w:val="000000"/>
          <w:sz w:val="20"/>
          <w:szCs w:val="20"/>
        </w:rPr>
        <w:t>Lemeshow</w:t>
      </w:r>
      <w:proofErr w:type="spellEnd"/>
      <w:r w:rsidRPr="00F85773">
        <w:rPr>
          <w:rFonts w:ascii="Lucida Console" w:eastAsia="Times New Roman" w:hAnsi="Lucida Console" w:cs="Courier New"/>
          <w:color w:val="000000"/>
          <w:sz w:val="20"/>
          <w:szCs w:val="20"/>
        </w:rPr>
        <w:t xml:space="preserve"> Goodness-of-Fit Test Result</w:t>
      </w:r>
    </w:p>
    <w:p w:rsidR="000D598D" w:rsidRDefault="000D598D" w:rsidP="0044277B">
      <w:pPr>
        <w:jc w:val="left"/>
      </w:pPr>
    </w:p>
    <w:p w:rsidR="0044277B" w:rsidRDefault="0044277B" w:rsidP="0044277B">
      <w:pPr>
        <w:jc w:val="left"/>
        <w:rPr>
          <w:sz w:val="28"/>
          <w:szCs w:val="28"/>
        </w:rPr>
      </w:pPr>
      <w:r w:rsidRPr="0038557E">
        <w:rPr>
          <w:sz w:val="28"/>
          <w:szCs w:val="28"/>
        </w:rPr>
        <w:t>Parameter Interpretation</w:t>
      </w:r>
    </w:p>
    <w:p w:rsidR="0044277B" w:rsidRDefault="00F32EFD" w:rsidP="00F32EFD">
      <w:pPr>
        <w:jc w:val="left"/>
      </w:pPr>
      <w:r w:rsidRPr="00212B05">
        <w:t>Figure</w:t>
      </w:r>
      <w:r w:rsidR="00212B05">
        <w:t xml:space="preserve"> 12</w:t>
      </w:r>
      <w:r w:rsidR="00212B05" w:rsidRPr="00F32EFD">
        <w:t xml:space="preserve"> displays</w:t>
      </w:r>
      <w:r w:rsidRPr="00F32EFD">
        <w:t xml:space="preserve"> the coeﬃcient estimates for each factor level and </w:t>
      </w:r>
      <w:r w:rsidRPr="00212B05">
        <w:t>Figure</w:t>
      </w:r>
      <w:r w:rsidRPr="00F32EFD">
        <w:t xml:space="preserve"> </w:t>
      </w:r>
      <w:r w:rsidR="00212B05">
        <w:t>13</w:t>
      </w:r>
      <w:r w:rsidR="00C911E7">
        <w:t xml:space="preserve"> </w:t>
      </w:r>
      <w:r w:rsidRPr="00F32EFD">
        <w:t>displays the odd ratio estimates and the conﬁdence intervals for each level. Here is our interpretation of a subset of most interesting estimates.</w:t>
      </w:r>
    </w:p>
    <w:p w:rsidR="00F32EFD" w:rsidRDefault="00F32EFD" w:rsidP="00F32EFD">
      <w:pPr>
        <w:ind w:left="720"/>
        <w:jc w:val="left"/>
      </w:pPr>
      <w:r>
        <w:t xml:space="preserve"># age: Holding all other explanatory variables fixed, odds of a client subscribing a term-deposit is 1.0024 times higher than a client 1 year younger. The 95% confidence interval is [0.9994, 1.00549]. </w:t>
      </w:r>
    </w:p>
    <w:p w:rsidR="00F32EFD" w:rsidRDefault="00F32EFD" w:rsidP="00F32EFD">
      <w:pPr>
        <w:ind w:left="720"/>
        <w:jc w:val="left"/>
      </w:pPr>
      <w:r>
        <w:lastRenderedPageBreak/>
        <w:t xml:space="preserve"># job (admin vs blue-collar): Holding all other explanatory variables fixed, the odds ratio of subscribing to a term-deposit for clients with admin job title relative to clients who are blue collar job tittle is 0.662. The 95% confidence interval is [0.601, 0.731]. </w:t>
      </w:r>
    </w:p>
    <w:p w:rsidR="00F32EFD" w:rsidRDefault="00F32EFD" w:rsidP="00F32EFD">
      <w:pPr>
        <w:ind w:left="720"/>
        <w:jc w:val="left"/>
      </w:pPr>
      <w:r>
        <w:t># Marital (divorced vs single): Holding all other explanatory variables fixed, the odds ratio of subscribing to a term-deposit for divorced clients relative to single clients is 1.355. The 95% confidence interval is [1.231, 1.491].</w:t>
      </w:r>
    </w:p>
    <w:p w:rsidR="00F32EFD" w:rsidRPr="00F32EFD" w:rsidRDefault="00F32EFD" w:rsidP="00F32EFD">
      <w:pPr>
        <w:ind w:left="720"/>
        <w:jc w:val="left"/>
      </w:pPr>
      <w:r>
        <w:t xml:space="preserve"># </w:t>
      </w:r>
      <w:r w:rsidR="00045BFA">
        <w:t>Education</w:t>
      </w:r>
      <w:r>
        <w:t xml:space="preserve"> (basic 4-year vs University degree): Holding all other explanatory variables fixed, the odds ratio of subscribing to a term-deposit for </w:t>
      </w:r>
      <w:r w:rsidR="00045BFA">
        <w:t xml:space="preserve">clients with basic 4-year education </w:t>
      </w:r>
      <w:r>
        <w:t xml:space="preserve">relative to </w:t>
      </w:r>
      <w:r w:rsidR="00045BFA">
        <w:t xml:space="preserve">clients with university degree </w:t>
      </w:r>
      <w:r>
        <w:t xml:space="preserve">is </w:t>
      </w:r>
      <w:r w:rsidR="00045BFA">
        <w:t>1.475</w:t>
      </w:r>
      <w:r>
        <w:t>. The 95% confidence interval is [1.</w:t>
      </w:r>
      <w:r w:rsidR="00045BFA">
        <w:t>312</w:t>
      </w:r>
      <w:r>
        <w:t>, 1.</w:t>
      </w:r>
      <w:r w:rsidR="00045BFA">
        <w:t>658</w:t>
      </w:r>
      <w:r>
        <w:t>].</w:t>
      </w:r>
    </w:p>
    <w:p w:rsidR="00045BFA" w:rsidRPr="00F32EFD" w:rsidRDefault="00045BFA" w:rsidP="00045BFA">
      <w:pPr>
        <w:ind w:left="720"/>
        <w:jc w:val="left"/>
      </w:pPr>
      <w:r>
        <w:t># Contact (Cellular vs Telephone): Holding all other explanatory variables fixed, the odds ratio of subscribing to a term-deposit for clients using cellular phone relative to clients using telephone is 0.183. The 95% confidence interval is [0.169, 0.197].</w:t>
      </w:r>
    </w:p>
    <w:p w:rsidR="00045BFA" w:rsidRPr="00F32EFD" w:rsidRDefault="00045BFA" w:rsidP="00045BFA">
      <w:pPr>
        <w:ind w:left="720"/>
        <w:jc w:val="left"/>
      </w:pPr>
      <w:r>
        <w:t xml:space="preserve"># </w:t>
      </w:r>
      <w:r w:rsidR="00D24970">
        <w:t>Month</w:t>
      </w:r>
      <w:r>
        <w:t xml:space="preserve"> (</w:t>
      </w:r>
      <w:r w:rsidR="00D24970">
        <w:t>April</w:t>
      </w:r>
      <w:r>
        <w:t xml:space="preserve"> vs </w:t>
      </w:r>
      <w:r w:rsidR="00D24970">
        <w:t>August</w:t>
      </w:r>
      <w:r>
        <w:t xml:space="preserve">): Holding all other explanatory variables fixed, the odds ratio of subscribing to a term-deposit for clients </w:t>
      </w:r>
      <w:r w:rsidR="00D24970">
        <w:t xml:space="preserve">who last contacted in April </w:t>
      </w:r>
      <w:r>
        <w:t xml:space="preserve">relative to clients </w:t>
      </w:r>
      <w:r w:rsidR="00D24970">
        <w:t xml:space="preserve">who last contacted in August </w:t>
      </w:r>
      <w:r>
        <w:t>is 0.</w:t>
      </w:r>
      <w:r w:rsidR="00D24970">
        <w:t>130</w:t>
      </w:r>
      <w:r>
        <w:t>. The 95% confidence interval is [0.1</w:t>
      </w:r>
      <w:r w:rsidR="00D24970">
        <w:t>15</w:t>
      </w:r>
      <w:r>
        <w:t>, 0.</w:t>
      </w:r>
      <w:r w:rsidR="00D24970">
        <w:t>148</w:t>
      </w:r>
      <w:r>
        <w:t>].</w:t>
      </w:r>
    </w:p>
    <w:p w:rsidR="00CC3A24" w:rsidRDefault="00CC3A24" w:rsidP="00CC3A24">
      <w:pPr>
        <w:ind w:left="720"/>
        <w:jc w:val="left"/>
      </w:pPr>
      <w:r>
        <w:t xml:space="preserve"># Duration: Holding all other explanatory variables fixed, odds of a client subscribing a term-deposit is 1.0062 times higher than a client whose last contact duration is 1 second less. The 95% confidence interval is [1.0061, 1.0063]. </w:t>
      </w:r>
    </w:p>
    <w:p w:rsidR="00CC3A24" w:rsidRDefault="00CC3A24" w:rsidP="00CC3A24">
      <w:pPr>
        <w:ind w:left="720"/>
        <w:jc w:val="left"/>
      </w:pPr>
      <w:r>
        <w:t># Campaign: Holding all other explanatory variables fixed, odds of a client subscribing a term-deposit is 0.9066 times higher than a client who</w:t>
      </w:r>
      <w:r w:rsidR="0049602D">
        <w:t xml:space="preserve"> </w:t>
      </w:r>
      <w:r>
        <w:t>contact</w:t>
      </w:r>
      <w:r w:rsidR="0049602D">
        <w:t>ed 1 time less</w:t>
      </w:r>
      <w:r w:rsidR="000C510E">
        <w:t xml:space="preserve"> during current campaign</w:t>
      </w:r>
      <w:r>
        <w:t xml:space="preserve">. The 95% confidence interval is [0.891, 0.922]. </w:t>
      </w:r>
    </w:p>
    <w:p w:rsidR="0049602D" w:rsidRDefault="0049602D" w:rsidP="0049602D">
      <w:pPr>
        <w:ind w:left="720"/>
        <w:jc w:val="left"/>
      </w:pPr>
      <w:r>
        <w:t xml:space="preserve"># </w:t>
      </w:r>
      <w:proofErr w:type="spellStart"/>
      <w:r>
        <w:t>pdays</w:t>
      </w:r>
      <w:proofErr w:type="spellEnd"/>
      <w:r>
        <w:t xml:space="preserve">: Holding all other explanatory variables fixed, odds of a client subscribing a term-deposit is 0.99841 times higher than a client whose previous contact 1 day less. The 95% confidence interval is [0.9980, 0.9987]. </w:t>
      </w:r>
    </w:p>
    <w:p w:rsidR="0049602D" w:rsidRDefault="0049602D" w:rsidP="0049602D">
      <w:pPr>
        <w:ind w:left="720"/>
        <w:jc w:val="left"/>
      </w:pPr>
      <w:r>
        <w:t xml:space="preserve"># previous: Holding all other explanatory variables fixed, odds of a client subscribing a term-deposit is 1.408 times higher than a client </w:t>
      </w:r>
      <w:r w:rsidR="000C510E">
        <w:t>who contacted 1 time less during previous campaign</w:t>
      </w:r>
      <w:r>
        <w:t>. The 95% confidence interval is [</w:t>
      </w:r>
      <w:r w:rsidR="000C510E">
        <w:t>1.266</w:t>
      </w:r>
      <w:r>
        <w:t xml:space="preserve">, </w:t>
      </w:r>
      <w:r w:rsidR="000C510E">
        <w:t>1.567</w:t>
      </w:r>
      <w:r>
        <w:t xml:space="preserve">]. </w:t>
      </w:r>
    </w:p>
    <w:p w:rsidR="000C510E" w:rsidRPr="00F32EFD" w:rsidRDefault="000C510E" w:rsidP="000C510E">
      <w:pPr>
        <w:ind w:left="720"/>
        <w:jc w:val="left"/>
      </w:pPr>
      <w:r>
        <w:t xml:space="preserve"># </w:t>
      </w:r>
      <w:proofErr w:type="spellStart"/>
      <w:r>
        <w:t>poutcome</w:t>
      </w:r>
      <w:proofErr w:type="spellEnd"/>
      <w:r>
        <w:t xml:space="preserve"> (Failure vs Success): Holding all other explanatory variables fixed, the odds ratio of subscribing to a term-deposit for clients who did not subscribe in the previous campaign relative to clients who subscribed in the previous campaign is 2.053. The 95% confidence interval is [1.425, 2.957].</w:t>
      </w:r>
    </w:p>
    <w:p w:rsidR="000C510E" w:rsidRDefault="000C510E" w:rsidP="000C510E">
      <w:pPr>
        <w:ind w:left="720"/>
        <w:jc w:val="left"/>
      </w:pPr>
      <w:r>
        <w:t># Consumer Confidence index: Holding all other explanatory variables fixed, odds of a client subscribing a term-deposit is 1.</w:t>
      </w:r>
      <w:r w:rsidR="00EC5CFB">
        <w:t>0936</w:t>
      </w:r>
      <w:r>
        <w:t xml:space="preserve"> times higher than a client who</w:t>
      </w:r>
      <w:r w:rsidR="00EC5CFB">
        <w:t>se confidence index is 1 less.</w:t>
      </w:r>
      <w:r>
        <w:t xml:space="preserve"> The 95% confidence interval is [1.</w:t>
      </w:r>
      <w:r w:rsidR="00EC5CFB">
        <w:t>086</w:t>
      </w:r>
      <w:r>
        <w:t>, 1.</w:t>
      </w:r>
      <w:r w:rsidR="00EC5CFB">
        <w:t>101</w:t>
      </w:r>
      <w:r>
        <w:t xml:space="preserve">]. </w:t>
      </w:r>
    </w:p>
    <w:p w:rsidR="00991564" w:rsidRDefault="00991564" w:rsidP="000C510E">
      <w:pPr>
        <w:ind w:left="720"/>
        <w:jc w:val="left"/>
      </w:pPr>
    </w:p>
    <w:p w:rsidR="000108BC" w:rsidRDefault="000108BC" w:rsidP="000108BC">
      <w:pPr>
        <w:ind w:left="720"/>
        <w:jc w:val="center"/>
      </w:pPr>
    </w:p>
    <w:p w:rsidR="00991564" w:rsidRDefault="00991564" w:rsidP="00991564">
      <w:pPr>
        <w:ind w:left="720"/>
        <w:jc w:val="center"/>
      </w:pPr>
    </w:p>
    <w:p w:rsidR="0044277B" w:rsidRDefault="0044277B" w:rsidP="0044277B">
      <w:pPr>
        <w:jc w:val="left"/>
        <w:rPr>
          <w:sz w:val="28"/>
          <w:szCs w:val="28"/>
        </w:rPr>
      </w:pPr>
      <w:r w:rsidRPr="0038557E">
        <w:rPr>
          <w:sz w:val="28"/>
          <w:szCs w:val="28"/>
        </w:rPr>
        <w:lastRenderedPageBreak/>
        <w:t>Prediction Performance</w:t>
      </w:r>
    </w:p>
    <w:p w:rsidR="0044277B" w:rsidRDefault="0044277B" w:rsidP="0044277B">
      <w:pPr>
        <w:jc w:val="left"/>
      </w:pPr>
      <w:r w:rsidRPr="0038557E">
        <w:t xml:space="preserve">Using the resulting model from the logistic regression, we examine the ROC curve on the balanced training dataset </w:t>
      </w:r>
      <w:proofErr w:type="gramStart"/>
      <w:r w:rsidRPr="0038557E">
        <w:t>and also</w:t>
      </w:r>
      <w:proofErr w:type="gramEnd"/>
      <w:r w:rsidRPr="0038557E">
        <w:t xml:space="preserve"> on the test dataset for the predictability power of the model. </w:t>
      </w:r>
    </w:p>
    <w:p w:rsidR="0044277B" w:rsidRDefault="0044277B" w:rsidP="0044277B">
      <w:pPr>
        <w:jc w:val="left"/>
      </w:pPr>
      <w:r w:rsidRPr="0038557E">
        <w:t xml:space="preserve">Figure </w:t>
      </w:r>
      <w:r w:rsidR="00690590">
        <w:t>below</w:t>
      </w:r>
      <w:r w:rsidRPr="0038557E">
        <w:t xml:space="preserve"> shows the ROC curve of the training dataset (</w:t>
      </w:r>
      <w:r w:rsidR="00074B11">
        <w:t>orange</w:t>
      </w:r>
      <w:r w:rsidRPr="0038557E">
        <w:t>) and the ROC curve on the test dataset (</w:t>
      </w:r>
      <w:r w:rsidR="00074B11">
        <w:t>green</w:t>
      </w:r>
      <w:r w:rsidRPr="0038557E">
        <w:t>). The area under the curve (AUC) is commonly used to assess the prediction performance of the logistics model, the closer it’s to 1, the better the prediction is. The AUC based on the training data is 0.9</w:t>
      </w:r>
      <w:r w:rsidR="00074B11">
        <w:t>13</w:t>
      </w:r>
      <w:r w:rsidRPr="0038557E">
        <w:t xml:space="preserve"> and 0.9</w:t>
      </w:r>
      <w:r w:rsidR="00074B11">
        <w:t>05</w:t>
      </w:r>
      <w:r w:rsidRPr="0038557E">
        <w:t xml:space="preserve"> for the test data, which indicates that we did not overﬁt the model and the predictability power of the model is quite high. </w:t>
      </w:r>
    </w:p>
    <w:p w:rsidR="00074B11" w:rsidRDefault="00074B11" w:rsidP="0044277B">
      <w:pPr>
        <w:jc w:val="left"/>
      </w:pPr>
    </w:p>
    <w:p w:rsidR="00074B11" w:rsidRDefault="00074B11" w:rsidP="00074B11">
      <w:pPr>
        <w:jc w:val="center"/>
      </w:pPr>
      <w:r w:rsidRPr="00074B11">
        <w:rPr>
          <w:noProof/>
        </w:rPr>
        <w:drawing>
          <wp:inline distT="0" distB="0" distL="0" distR="0" wp14:anchorId="6AA4E250" wp14:editId="5E6CBF8F">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rsidR="00F85773" w:rsidRDefault="00C911E7" w:rsidP="00074B11">
      <w:pPr>
        <w:jc w:val="center"/>
      </w:pPr>
      <w:r>
        <w:t>Figure:</w:t>
      </w:r>
      <w:r w:rsidR="00F85773">
        <w:t xml:space="preserve"> ROC </w:t>
      </w:r>
      <w:r w:rsidR="00F85773" w:rsidRPr="00F85773">
        <w:t>curves for the balanced training dataset and the test dataset</w:t>
      </w:r>
    </w:p>
    <w:p w:rsidR="0044277B" w:rsidRDefault="0044277B" w:rsidP="0044277B">
      <w:pPr>
        <w:jc w:val="left"/>
      </w:pPr>
      <w:r w:rsidRPr="0038557E">
        <w:t>The classiﬁcation tables</w:t>
      </w:r>
      <w:r w:rsidR="00F85773">
        <w:t xml:space="preserve"> (Table 1 and Table 2)</w:t>
      </w:r>
      <w:r w:rsidRPr="0038557E">
        <w:t xml:space="preserve"> can also be used to assess how well the model performs in classifying the dichotomous response variable. The accuracy is measured by its sensitivity (the ability to predict an event correctly) and speciﬁcity (the ability to predict a nonevent correctly). At the probability level of 0.5, the model can correctly classify </w:t>
      </w:r>
      <w:r w:rsidR="00FD7BBA">
        <w:t>85.66</w:t>
      </w:r>
      <w:r w:rsidRPr="0038557E">
        <w:t>% of the event</w:t>
      </w:r>
      <w:r w:rsidR="00301649">
        <w:t xml:space="preserve"> (not subscribed for term deposit)</w:t>
      </w:r>
      <w:r w:rsidRPr="0038557E">
        <w:t xml:space="preserve"> and 8</w:t>
      </w:r>
      <w:r w:rsidR="00FD7BBA">
        <w:t>1.25</w:t>
      </w:r>
      <w:r w:rsidRPr="0038557E">
        <w:t>% of the non-event</w:t>
      </w:r>
      <w:r w:rsidR="00301649">
        <w:t xml:space="preserve"> (subscribed for term deposit)</w:t>
      </w:r>
      <w:r w:rsidRPr="0038557E">
        <w:t>, with an overall rate of 8</w:t>
      </w:r>
      <w:r w:rsidR="00FD7BBA">
        <w:t>3.45</w:t>
      </w:r>
      <w:r w:rsidRPr="0038557E">
        <w:t xml:space="preserve">% on the training data. For the test data, the sensitivity </w:t>
      </w:r>
      <w:r w:rsidR="00FD7BBA">
        <w:t>is 85.29</w:t>
      </w:r>
      <w:r w:rsidRPr="0038557E">
        <w:t xml:space="preserve">3%, the speciﬁcity </w:t>
      </w:r>
      <w:r w:rsidR="00FD7BBA">
        <w:t xml:space="preserve">is 79.34% </w:t>
      </w:r>
      <w:r w:rsidRPr="0038557E">
        <w:t xml:space="preserve">and the overall accuracy increase to </w:t>
      </w:r>
      <w:r w:rsidR="00FD7BBA">
        <w:t>84.</w:t>
      </w:r>
      <w:r w:rsidR="00FF4ACC">
        <w:t>61</w:t>
      </w:r>
      <w:r w:rsidRPr="0038557E">
        <w:t xml:space="preserve">. </w:t>
      </w:r>
    </w:p>
    <w:p w:rsidR="00FD7BBA" w:rsidRDefault="00FD7BBA" w:rsidP="0044277B">
      <w:pPr>
        <w:jc w:val="left"/>
      </w:pPr>
    </w:p>
    <w:p w:rsidR="00FD7BBA" w:rsidRDefault="00FD7BBA" w:rsidP="00FD7BBA">
      <w:pPr>
        <w:jc w:val="left"/>
      </w:pPr>
      <w:r>
        <w:rPr>
          <w:noProof/>
        </w:rPr>
        <w:lastRenderedPageBreak/>
        <w:drawing>
          <wp:inline distT="0" distB="0" distL="0" distR="0" wp14:anchorId="5A31DC8E" wp14:editId="45E72CD2">
            <wp:extent cx="2821940" cy="3043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940" cy="3043555"/>
                    </a:xfrm>
                    <a:prstGeom prst="rect">
                      <a:avLst/>
                    </a:prstGeom>
                    <a:noFill/>
                    <a:ln>
                      <a:noFill/>
                    </a:ln>
                  </pic:spPr>
                </pic:pic>
              </a:graphicData>
            </a:graphic>
          </wp:inline>
        </w:drawing>
      </w:r>
      <w:r>
        <w:rPr>
          <w:noProof/>
        </w:rPr>
        <w:drawing>
          <wp:inline distT="0" distB="0" distL="0" distR="0">
            <wp:extent cx="2793365" cy="30505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3050540"/>
                    </a:xfrm>
                    <a:prstGeom prst="rect">
                      <a:avLst/>
                    </a:prstGeom>
                    <a:noFill/>
                    <a:ln>
                      <a:noFill/>
                    </a:ln>
                  </pic:spPr>
                </pic:pic>
              </a:graphicData>
            </a:graphic>
          </wp:inline>
        </w:drawing>
      </w:r>
    </w:p>
    <w:p w:rsidR="00FD7BBA" w:rsidRDefault="00FD7BBA" w:rsidP="00FD7BBA">
      <w:r>
        <w:t xml:space="preserve"> </w:t>
      </w:r>
      <w:r w:rsidR="00F85773">
        <w:t xml:space="preserve">Table 1: </w:t>
      </w:r>
      <w:r>
        <w:t xml:space="preserve">Confusion matrix with test dataset                </w:t>
      </w:r>
      <w:r w:rsidR="00F85773">
        <w:t xml:space="preserve">Tables 2: </w:t>
      </w:r>
      <w:r>
        <w:t>Confusion matrix with training dataset</w:t>
      </w:r>
    </w:p>
    <w:p w:rsidR="000108BC" w:rsidRDefault="000108BC" w:rsidP="000108BC">
      <w:pPr>
        <w:jc w:val="left"/>
        <w:rPr>
          <w:sz w:val="28"/>
          <w:szCs w:val="28"/>
        </w:rPr>
      </w:pPr>
      <w:r w:rsidRPr="0038557E">
        <w:rPr>
          <w:sz w:val="28"/>
          <w:szCs w:val="28"/>
        </w:rPr>
        <w:t>Residual diagnostics</w:t>
      </w:r>
    </w:p>
    <w:p w:rsidR="00ED1094" w:rsidRDefault="00ED1094" w:rsidP="000108BC">
      <w:pPr>
        <w:jc w:val="left"/>
        <w:rPr>
          <w:sz w:val="28"/>
          <w:szCs w:val="28"/>
        </w:rPr>
      </w:pPr>
      <w:r>
        <w:t>Plots here help us examine Cook’s D graph:</w:t>
      </w:r>
    </w:p>
    <w:p w:rsidR="000108BC" w:rsidRDefault="000108BC" w:rsidP="000108BC">
      <w:pPr>
        <w:jc w:val="center"/>
        <w:rPr>
          <w:sz w:val="28"/>
          <w:szCs w:val="28"/>
        </w:rPr>
      </w:pPr>
      <w:r w:rsidRPr="000D598D">
        <w:rPr>
          <w:noProof/>
        </w:rPr>
        <w:drawing>
          <wp:inline distT="0" distB="0" distL="0" distR="0" wp14:anchorId="1051F101" wp14:editId="32977AC5">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rPr>
        <w:lastRenderedPageBreak/>
        <w:drawing>
          <wp:inline distT="0" distB="0" distL="0" distR="0" wp14:anchorId="784DB560" wp14:editId="58340D99">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rPr>
        <w:drawing>
          <wp:inline distT="0" distB="0" distL="0" distR="0" wp14:anchorId="5FFA8BCF" wp14:editId="29D26D40">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rsidR="000108BC" w:rsidRDefault="000108BC" w:rsidP="000108BC">
      <w:pPr>
        <w:jc w:val="center"/>
        <w:rPr>
          <w:sz w:val="28"/>
          <w:szCs w:val="28"/>
        </w:rPr>
      </w:pPr>
    </w:p>
    <w:p w:rsidR="00ED1094" w:rsidRDefault="00ED1094" w:rsidP="000108BC">
      <w:pPr>
        <w:jc w:val="center"/>
        <w:rPr>
          <w:sz w:val="28"/>
          <w:szCs w:val="28"/>
        </w:rPr>
      </w:pPr>
      <w:r>
        <w:rPr>
          <w:noProof/>
          <w:sz w:val="28"/>
          <w:szCs w:val="28"/>
        </w:rPr>
        <w:lastRenderedPageBreak/>
        <w:drawing>
          <wp:inline distT="0" distB="0" distL="0" distR="0">
            <wp:extent cx="436626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260" cy="3063240"/>
                    </a:xfrm>
                    <a:prstGeom prst="rect">
                      <a:avLst/>
                    </a:prstGeom>
                    <a:noFill/>
                    <a:ln>
                      <a:noFill/>
                    </a:ln>
                  </pic:spPr>
                </pic:pic>
              </a:graphicData>
            </a:graphic>
          </wp:inline>
        </w:drawing>
      </w:r>
    </w:p>
    <w:p w:rsidR="00ED1094" w:rsidRPr="003423A7" w:rsidRDefault="00ED1094" w:rsidP="00ED1094">
      <w:pPr>
        <w:pStyle w:val="BodyText"/>
        <w:rPr>
          <w:sz w:val="22"/>
          <w:szCs w:val="22"/>
        </w:rPr>
      </w:pPr>
      <w:r w:rsidRPr="003423A7">
        <w:rPr>
          <w:sz w:val="22"/>
          <w:szCs w:val="22"/>
        </w:rPr>
        <w:t>When checking Cook’s D plot, if observations are outside the Cook’s distance (meaning they have a high Cook’s distance score) the observations are influential to the regression results. In this case, from the Cook’s D plot above, we see few observations</w:t>
      </w:r>
      <w:r w:rsidR="00005432" w:rsidRPr="003423A7">
        <w:rPr>
          <w:sz w:val="22"/>
          <w:szCs w:val="22"/>
        </w:rPr>
        <w:t xml:space="preserve"> (observation 16940)</w:t>
      </w:r>
      <w:r w:rsidRPr="003423A7">
        <w:rPr>
          <w:sz w:val="22"/>
          <w:szCs w:val="22"/>
        </w:rPr>
        <w:t xml:space="preserve"> as highlighted are influential observations.</w:t>
      </w:r>
    </w:p>
    <w:p w:rsidR="0044277B" w:rsidRDefault="0044277B" w:rsidP="0044277B">
      <w:pPr>
        <w:jc w:val="left"/>
        <w:rPr>
          <w:sz w:val="28"/>
          <w:szCs w:val="28"/>
        </w:rPr>
      </w:pPr>
      <w:r w:rsidRPr="003F4BBC">
        <w:rPr>
          <w:sz w:val="28"/>
          <w:szCs w:val="28"/>
        </w:rPr>
        <w:t xml:space="preserve">Using </w:t>
      </w:r>
      <w:proofErr w:type="spellStart"/>
      <w:r w:rsidRPr="003F4BBC">
        <w:rPr>
          <w:sz w:val="28"/>
          <w:szCs w:val="28"/>
        </w:rPr>
        <w:t>Unblanced</w:t>
      </w:r>
      <w:proofErr w:type="spellEnd"/>
      <w:r w:rsidRPr="003F4BBC">
        <w:rPr>
          <w:sz w:val="28"/>
          <w:szCs w:val="28"/>
        </w:rPr>
        <w:t xml:space="preserve"> Dataset</w:t>
      </w:r>
    </w:p>
    <w:p w:rsidR="003423A7" w:rsidRDefault="003423A7" w:rsidP="0044277B">
      <w:pPr>
        <w:jc w:val="left"/>
      </w:pPr>
      <w:r w:rsidRPr="003423A7">
        <w:t xml:space="preserve">The analyses we have done so far </w:t>
      </w:r>
      <w:r>
        <w:t>is</w:t>
      </w:r>
      <w:r w:rsidRPr="003423A7">
        <w:t xml:space="preserve"> based on the balanced training dataset. We would like to ﬁnd out if we will get a diﬀerent logistic regression model if the training dataset is unbalanced, thus we repeat the analyses using the unbalanced training dataset. </w:t>
      </w:r>
    </w:p>
    <w:p w:rsidR="003423A7" w:rsidRDefault="003423A7" w:rsidP="0044277B">
      <w:pPr>
        <w:jc w:val="left"/>
      </w:pPr>
      <w:r w:rsidRPr="003423A7">
        <w:t>At the signiﬁcant level of 0.05, age</w:t>
      </w:r>
      <w:r w:rsidR="0008174A">
        <w:t xml:space="preserve"> and </w:t>
      </w:r>
      <w:proofErr w:type="spellStart"/>
      <w:r w:rsidR="0008174A">
        <w:t>day_of_week</w:t>
      </w:r>
      <w:proofErr w:type="spellEnd"/>
      <w:r w:rsidR="0008174A">
        <w:t xml:space="preserve"> </w:t>
      </w:r>
      <w:r w:rsidRPr="003423A7">
        <w:t xml:space="preserve">are non-signiﬁcant. </w:t>
      </w:r>
      <w:r w:rsidR="0008174A">
        <w:t>Variables</w:t>
      </w:r>
      <w:r w:rsidRPr="003423A7">
        <w:t xml:space="preserve"> education </w:t>
      </w:r>
      <w:r w:rsidR="0008174A">
        <w:t xml:space="preserve">and marital are </w:t>
      </w:r>
      <w:r w:rsidRPr="003423A7">
        <w:t xml:space="preserve">statistically </w:t>
      </w:r>
      <w:r w:rsidR="0008174A">
        <w:t>non-</w:t>
      </w:r>
      <w:r w:rsidRPr="003423A7">
        <w:t xml:space="preserve">signiﬁcant here, whereas </w:t>
      </w:r>
      <w:proofErr w:type="gramStart"/>
      <w:r w:rsidR="0008174A">
        <w:t>both of them</w:t>
      </w:r>
      <w:proofErr w:type="gramEnd"/>
      <w:r w:rsidR="0008174A">
        <w:t xml:space="preserve"> were</w:t>
      </w:r>
      <w:r w:rsidRPr="003423A7">
        <w:t xml:space="preserve"> shown signiﬁcant in the prior model under the balanced dataset. We then remove</w:t>
      </w:r>
      <w:r w:rsidR="00FF3FF4">
        <w:t>d</w:t>
      </w:r>
      <w:r w:rsidRPr="003423A7">
        <w:t xml:space="preserve"> the non-signiﬁcant predictors and reﬁt the model, the output. </w:t>
      </w:r>
    </w:p>
    <w:p w:rsidR="003423A7" w:rsidRDefault="003423A7" w:rsidP="0044277B">
      <w:pPr>
        <w:jc w:val="left"/>
      </w:pPr>
      <w:r w:rsidRPr="003423A7">
        <w:t xml:space="preserve">Using the resulting model that is built with the unbalanced dataset, we examine the ROC curve of the training dataset </w:t>
      </w:r>
      <w:proofErr w:type="gramStart"/>
      <w:r w:rsidRPr="003423A7">
        <w:t>and also</w:t>
      </w:r>
      <w:proofErr w:type="gramEnd"/>
      <w:r w:rsidRPr="003423A7">
        <w:t xml:space="preserve"> on the same test dataset to determine the predictability power of the model. </w:t>
      </w:r>
    </w:p>
    <w:p w:rsidR="003423A7" w:rsidRDefault="003423A7" w:rsidP="0044277B">
      <w:pPr>
        <w:jc w:val="left"/>
      </w:pPr>
      <w:r w:rsidRPr="003423A7">
        <w:t xml:space="preserve">Figure </w:t>
      </w:r>
      <w:r w:rsidR="005B19D3">
        <w:t>below</w:t>
      </w:r>
      <w:r w:rsidRPr="003423A7">
        <w:t xml:space="preserve"> illustrates the ROC curve on the </w:t>
      </w:r>
      <w:r w:rsidR="00B84DB5" w:rsidRPr="003423A7">
        <w:t>training</w:t>
      </w:r>
      <w:r w:rsidRPr="003423A7">
        <w:t xml:space="preserve"> dataset and test dataset. The AUC is 0.9</w:t>
      </w:r>
      <w:r w:rsidR="00B84DB5">
        <w:t>175</w:t>
      </w:r>
      <w:r w:rsidRPr="003423A7">
        <w:t xml:space="preserve"> for the model based on the training data and 0.9</w:t>
      </w:r>
      <w:r w:rsidR="00B84DB5">
        <w:t>112</w:t>
      </w:r>
      <w:r w:rsidRPr="003423A7">
        <w:t xml:space="preserve"> for the test data. The values are </w:t>
      </w:r>
      <w:proofErr w:type="spellStart"/>
      <w:r w:rsidRPr="003423A7">
        <w:t>slighly</w:t>
      </w:r>
      <w:proofErr w:type="spellEnd"/>
      <w:r w:rsidRPr="003423A7">
        <w:t xml:space="preserve"> </w:t>
      </w:r>
      <w:r w:rsidR="007A2E1B">
        <w:t>higher</w:t>
      </w:r>
      <w:r w:rsidRPr="003423A7">
        <w:t xml:space="preserve"> than those that are obtained from the balanced model respectively. </w:t>
      </w:r>
    </w:p>
    <w:p w:rsidR="00B84DB5" w:rsidRDefault="00B84DB5" w:rsidP="00B84DB5">
      <w:pPr>
        <w:jc w:val="center"/>
      </w:pPr>
      <w:r w:rsidRPr="00B84DB5">
        <w:rPr>
          <w:noProof/>
        </w:rPr>
        <w:lastRenderedPageBreak/>
        <w:drawing>
          <wp:inline distT="0" distB="0" distL="0" distR="0" wp14:anchorId="3F7572FD" wp14:editId="248C88DE">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rsidR="00B84DB5" w:rsidRDefault="00C911E7" w:rsidP="00B84DB5">
      <w:pPr>
        <w:jc w:val="center"/>
      </w:pPr>
      <w:r>
        <w:t>Figure:</w:t>
      </w:r>
      <w:r w:rsidR="00B84DB5">
        <w:t xml:space="preserve"> ROC </w:t>
      </w:r>
      <w:r w:rsidR="00B84DB5" w:rsidRPr="00F85773">
        <w:t xml:space="preserve">curves for the </w:t>
      </w:r>
      <w:r w:rsidR="00B84DB5">
        <w:t>un</w:t>
      </w:r>
      <w:r w:rsidR="00B84DB5" w:rsidRPr="00F85773">
        <w:t>balanced training dataset and the test dataset</w:t>
      </w:r>
    </w:p>
    <w:p w:rsidR="003423A7" w:rsidRDefault="003423A7" w:rsidP="0044277B">
      <w:pPr>
        <w:jc w:val="left"/>
      </w:pPr>
      <w:r w:rsidRPr="003423A7">
        <w:t xml:space="preserve">The classiﬁcation table in Figure 27 (top) displays the sensitivity and the speciﬁcity of the model. </w:t>
      </w:r>
      <w:r w:rsidR="00673633" w:rsidRPr="0038557E">
        <w:t xml:space="preserve">At the probability level of 0.5, the model can correctly classify </w:t>
      </w:r>
      <w:r w:rsidR="00673633">
        <w:t>97.56</w:t>
      </w:r>
      <w:r w:rsidR="00673633" w:rsidRPr="0038557E">
        <w:t>% of the event</w:t>
      </w:r>
      <w:r w:rsidR="00301649">
        <w:t xml:space="preserve"> (not subscribed for term deposit)</w:t>
      </w:r>
      <w:r w:rsidR="00673633" w:rsidRPr="0038557E">
        <w:t xml:space="preserve"> and </w:t>
      </w:r>
      <w:r w:rsidR="00673633">
        <w:t>37.29</w:t>
      </w:r>
      <w:r w:rsidR="00673633" w:rsidRPr="0038557E">
        <w:t>% of the non-event</w:t>
      </w:r>
      <w:r w:rsidR="00301649">
        <w:t xml:space="preserve"> (subscribed for term deposit)</w:t>
      </w:r>
      <w:r w:rsidR="00673633" w:rsidRPr="0038557E">
        <w:t xml:space="preserve">, with an overall rate of </w:t>
      </w:r>
      <w:r w:rsidR="00673633">
        <w:t>90.66</w:t>
      </w:r>
      <w:r w:rsidR="00673633" w:rsidRPr="0038557E">
        <w:t xml:space="preserve">% on the training data. For the test data, the sensitivity </w:t>
      </w:r>
      <w:r w:rsidR="00673633">
        <w:t>is 97.53</w:t>
      </w:r>
      <w:r w:rsidR="00673633" w:rsidRPr="0038557E">
        <w:t xml:space="preserve">%, the speciﬁcity </w:t>
      </w:r>
      <w:r w:rsidR="00673633">
        <w:t xml:space="preserve">is 37.37% </w:t>
      </w:r>
      <w:r w:rsidR="00673633" w:rsidRPr="0038557E">
        <w:t xml:space="preserve">and the overall accuracy increase to </w:t>
      </w:r>
      <w:r w:rsidR="00673633">
        <w:t>90.76</w:t>
      </w:r>
      <w:r w:rsidR="00673633" w:rsidRPr="0038557E">
        <w:t>.</w:t>
      </w:r>
    </w:p>
    <w:p w:rsidR="007A2E1B" w:rsidRDefault="007A2E1B" w:rsidP="0044277B">
      <w:pPr>
        <w:jc w:val="left"/>
      </w:pPr>
    </w:p>
    <w:p w:rsidR="007A2E1B" w:rsidRDefault="007A2E1B" w:rsidP="007A2E1B">
      <w:pPr>
        <w:jc w:val="left"/>
      </w:pPr>
    </w:p>
    <w:p w:rsidR="007A2E1B" w:rsidRDefault="00673633" w:rsidP="007A2E1B">
      <w:pPr>
        <w:jc w:val="left"/>
      </w:pPr>
      <w:r>
        <w:rPr>
          <w:noProof/>
        </w:rPr>
        <w:lastRenderedPageBreak/>
        <w:drawing>
          <wp:inline distT="0" distB="0" distL="0" distR="0">
            <wp:extent cx="2758440" cy="3055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8440" cy="3055620"/>
                    </a:xfrm>
                    <a:prstGeom prst="rect">
                      <a:avLst/>
                    </a:prstGeom>
                    <a:noFill/>
                    <a:ln>
                      <a:noFill/>
                    </a:ln>
                  </pic:spPr>
                </pic:pic>
              </a:graphicData>
            </a:graphic>
          </wp:inline>
        </w:drawing>
      </w:r>
      <w:r>
        <w:rPr>
          <w:noProof/>
        </w:rPr>
        <w:drawing>
          <wp:inline distT="0" distB="0" distL="0" distR="0">
            <wp:extent cx="2758440" cy="3124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3124200"/>
                    </a:xfrm>
                    <a:prstGeom prst="rect">
                      <a:avLst/>
                    </a:prstGeom>
                    <a:noFill/>
                    <a:ln>
                      <a:noFill/>
                    </a:ln>
                  </pic:spPr>
                </pic:pic>
              </a:graphicData>
            </a:graphic>
          </wp:inline>
        </w:drawing>
      </w:r>
    </w:p>
    <w:p w:rsidR="007A2E1B" w:rsidRDefault="007A2E1B" w:rsidP="007A2E1B">
      <w:pPr>
        <w:jc w:val="left"/>
      </w:pPr>
      <w:r>
        <w:t xml:space="preserve"> Table 1: Confusion matrix with test dataset                Tables 2: Confusion matrix with training dataset</w:t>
      </w:r>
    </w:p>
    <w:p w:rsidR="003423A7" w:rsidRDefault="003423A7" w:rsidP="0044277B">
      <w:pPr>
        <w:jc w:val="left"/>
      </w:pPr>
      <w:r w:rsidRPr="003423A7">
        <w:t xml:space="preserve">Compared to the prior model with the balanced training data, the sensitivity is </w:t>
      </w:r>
      <w:r w:rsidR="00673633">
        <w:t>almost</w:t>
      </w:r>
      <w:r w:rsidRPr="003423A7">
        <w:t xml:space="preserve"> </w:t>
      </w:r>
      <w:r w:rsidR="00301649">
        <w:t>higher</w:t>
      </w:r>
      <w:r w:rsidRPr="003423A7">
        <w:t xml:space="preserve"> and the speciﬁcity is </w:t>
      </w:r>
      <w:r w:rsidR="00301649">
        <w:t>lower</w:t>
      </w:r>
      <w:r w:rsidRPr="003423A7">
        <w:t xml:space="preserve">, which makes sense since the latter model is built based on the disproportionate ratio of ‘no’ and ‘yes’ responses, having a much higher observations of ‘no’ than ‘yes’. Thus, the model can more accurately classify the events resulting in higher </w:t>
      </w:r>
      <w:r w:rsidR="00301649" w:rsidRPr="003423A7">
        <w:t>sensitivity</w:t>
      </w:r>
      <w:r w:rsidRPr="003423A7">
        <w:t xml:space="preserve">. On the other hand, the </w:t>
      </w:r>
      <w:r w:rsidR="00301649" w:rsidRPr="003423A7">
        <w:t xml:space="preserve">speciﬁcity </w:t>
      </w:r>
      <w:r w:rsidRPr="003423A7">
        <w:t>is low due to the small number of ‘yes’ records in the training dataset. Thus, there is not enough information for the model to correctly classify the event.</w:t>
      </w:r>
    </w:p>
    <w:p w:rsidR="003423A7" w:rsidRDefault="003423A7" w:rsidP="0044277B">
      <w:pPr>
        <w:jc w:val="left"/>
        <w:rPr>
          <w:b/>
          <w:bCs/>
          <w:sz w:val="28"/>
          <w:szCs w:val="28"/>
          <w:u w:val="single"/>
        </w:rPr>
      </w:pPr>
    </w:p>
    <w:tbl>
      <w:tblPr>
        <w:tblStyle w:val="TableGrid"/>
        <w:tblW w:w="9445" w:type="dxa"/>
        <w:tblLook w:val="04A0" w:firstRow="1" w:lastRow="0" w:firstColumn="1" w:lastColumn="0" w:noHBand="0" w:noVBand="1"/>
      </w:tblPr>
      <w:tblGrid>
        <w:gridCol w:w="1325"/>
        <w:gridCol w:w="1020"/>
        <w:gridCol w:w="1126"/>
        <w:gridCol w:w="1121"/>
        <w:gridCol w:w="830"/>
        <w:gridCol w:w="1020"/>
        <w:gridCol w:w="1126"/>
        <w:gridCol w:w="1121"/>
        <w:gridCol w:w="830"/>
      </w:tblGrid>
      <w:tr w:rsidR="0062686C" w:rsidTr="00581690">
        <w:tc>
          <w:tcPr>
            <w:tcW w:w="1421" w:type="dxa"/>
          </w:tcPr>
          <w:p w:rsidR="0062686C" w:rsidRDefault="0062686C" w:rsidP="0044277B">
            <w:pPr>
              <w:jc w:val="left"/>
              <w:rPr>
                <w:b/>
                <w:bCs/>
                <w:sz w:val="28"/>
                <w:szCs w:val="28"/>
                <w:u w:val="single"/>
              </w:rPr>
            </w:pPr>
          </w:p>
        </w:tc>
        <w:tc>
          <w:tcPr>
            <w:tcW w:w="3972" w:type="dxa"/>
            <w:gridSpan w:val="4"/>
          </w:tcPr>
          <w:p w:rsidR="0062686C" w:rsidRPr="0062686C" w:rsidRDefault="0062686C" w:rsidP="0044277B">
            <w:pPr>
              <w:jc w:val="left"/>
              <w:rPr>
                <w:sz w:val="28"/>
                <w:szCs w:val="28"/>
              </w:rPr>
            </w:pPr>
            <w:r w:rsidRPr="0062686C">
              <w:rPr>
                <w:sz w:val="28"/>
                <w:szCs w:val="28"/>
              </w:rPr>
              <w:t>Training Dataset</w:t>
            </w:r>
          </w:p>
        </w:tc>
        <w:tc>
          <w:tcPr>
            <w:tcW w:w="4052" w:type="dxa"/>
            <w:gridSpan w:val="4"/>
          </w:tcPr>
          <w:p w:rsidR="0062686C" w:rsidRPr="0062686C" w:rsidRDefault="0062686C" w:rsidP="0044277B">
            <w:pPr>
              <w:jc w:val="left"/>
              <w:rPr>
                <w:sz w:val="28"/>
                <w:szCs w:val="28"/>
              </w:rPr>
            </w:pPr>
            <w:r w:rsidRPr="0062686C">
              <w:rPr>
                <w:sz w:val="28"/>
                <w:szCs w:val="28"/>
              </w:rPr>
              <w:t>Test Dataset</w:t>
            </w:r>
          </w:p>
        </w:tc>
      </w:tr>
      <w:tr w:rsidR="00581690" w:rsidTr="00581690">
        <w:tc>
          <w:tcPr>
            <w:tcW w:w="1421" w:type="dxa"/>
          </w:tcPr>
          <w:p w:rsidR="0062686C" w:rsidRPr="0062686C" w:rsidRDefault="0062686C" w:rsidP="0062686C">
            <w:pPr>
              <w:jc w:val="left"/>
              <w:rPr>
                <w:sz w:val="28"/>
                <w:szCs w:val="28"/>
              </w:rPr>
            </w:pPr>
            <w:r w:rsidRPr="0062686C">
              <w:rPr>
                <w:sz w:val="28"/>
                <w:szCs w:val="28"/>
              </w:rPr>
              <w:t>Model</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05" w:type="dxa"/>
          </w:tcPr>
          <w:p w:rsidR="0062686C" w:rsidRPr="0062686C" w:rsidRDefault="0062686C" w:rsidP="0062686C">
            <w:pPr>
              <w:jc w:val="left"/>
            </w:pPr>
            <w:r w:rsidRPr="0062686C">
              <w:t>AUC</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85" w:type="dxa"/>
          </w:tcPr>
          <w:p w:rsidR="0062686C" w:rsidRPr="0062686C" w:rsidRDefault="0062686C" w:rsidP="0062686C">
            <w:pPr>
              <w:jc w:val="left"/>
            </w:pPr>
            <w:r w:rsidRPr="0062686C">
              <w:t>AUC</w:t>
            </w:r>
          </w:p>
        </w:tc>
      </w:tr>
      <w:tr w:rsidR="0062686C" w:rsidTr="00581690">
        <w:tc>
          <w:tcPr>
            <w:tcW w:w="1421" w:type="dxa"/>
          </w:tcPr>
          <w:p w:rsidR="0062686C" w:rsidRPr="0062686C" w:rsidRDefault="0062686C" w:rsidP="0044277B">
            <w:pPr>
              <w:jc w:val="left"/>
            </w:pPr>
            <w:r w:rsidRPr="0062686C">
              <w:t>LR (balanced dataset)</w:t>
            </w:r>
          </w:p>
        </w:tc>
        <w:tc>
          <w:tcPr>
            <w:tcW w:w="1020" w:type="dxa"/>
          </w:tcPr>
          <w:p w:rsidR="0062686C" w:rsidRPr="00581690" w:rsidRDefault="00581690" w:rsidP="0044277B">
            <w:pPr>
              <w:jc w:val="left"/>
            </w:pPr>
            <w:r w:rsidRPr="00581690">
              <w:t>83.45</w:t>
            </w:r>
          </w:p>
        </w:tc>
        <w:tc>
          <w:tcPr>
            <w:tcW w:w="1126" w:type="dxa"/>
          </w:tcPr>
          <w:p w:rsidR="0062686C" w:rsidRPr="00581690" w:rsidRDefault="00581690" w:rsidP="0044277B">
            <w:pPr>
              <w:jc w:val="left"/>
            </w:pPr>
            <w:r w:rsidRPr="00581690">
              <w:t>85.66</w:t>
            </w:r>
          </w:p>
        </w:tc>
        <w:tc>
          <w:tcPr>
            <w:tcW w:w="1121" w:type="dxa"/>
          </w:tcPr>
          <w:p w:rsidR="0062686C" w:rsidRPr="00581690" w:rsidRDefault="00581690" w:rsidP="0044277B">
            <w:pPr>
              <w:jc w:val="left"/>
            </w:pPr>
            <w:r w:rsidRPr="00581690">
              <w:t>81.25</w:t>
            </w:r>
          </w:p>
        </w:tc>
        <w:tc>
          <w:tcPr>
            <w:tcW w:w="705" w:type="dxa"/>
          </w:tcPr>
          <w:p w:rsidR="0062686C" w:rsidRPr="00581690" w:rsidRDefault="00581690" w:rsidP="0044277B">
            <w:pPr>
              <w:jc w:val="left"/>
            </w:pPr>
            <w:r w:rsidRPr="00581690">
              <w:t>0.913</w:t>
            </w:r>
          </w:p>
        </w:tc>
        <w:tc>
          <w:tcPr>
            <w:tcW w:w="1020" w:type="dxa"/>
          </w:tcPr>
          <w:p w:rsidR="0062686C" w:rsidRPr="00581690" w:rsidRDefault="00581690" w:rsidP="0044277B">
            <w:pPr>
              <w:jc w:val="left"/>
            </w:pPr>
            <w:r w:rsidRPr="00581690">
              <w:t>84.61</w:t>
            </w:r>
          </w:p>
        </w:tc>
        <w:tc>
          <w:tcPr>
            <w:tcW w:w="1126" w:type="dxa"/>
          </w:tcPr>
          <w:p w:rsidR="0062686C" w:rsidRPr="00581690" w:rsidRDefault="00581690" w:rsidP="0044277B">
            <w:pPr>
              <w:jc w:val="left"/>
            </w:pPr>
            <w:r w:rsidRPr="00581690">
              <w:t>85.29</w:t>
            </w:r>
          </w:p>
        </w:tc>
        <w:tc>
          <w:tcPr>
            <w:tcW w:w="1121" w:type="dxa"/>
          </w:tcPr>
          <w:p w:rsidR="0062686C" w:rsidRPr="00581690" w:rsidRDefault="00581690" w:rsidP="0044277B">
            <w:pPr>
              <w:jc w:val="left"/>
            </w:pPr>
            <w:r w:rsidRPr="00581690">
              <w:t>79.34</w:t>
            </w:r>
          </w:p>
        </w:tc>
        <w:tc>
          <w:tcPr>
            <w:tcW w:w="785" w:type="dxa"/>
          </w:tcPr>
          <w:p w:rsidR="0062686C" w:rsidRPr="00581690" w:rsidRDefault="00581690" w:rsidP="0044277B">
            <w:pPr>
              <w:jc w:val="left"/>
            </w:pPr>
            <w:r w:rsidRPr="00581690">
              <w:t>0.905</w:t>
            </w:r>
          </w:p>
        </w:tc>
      </w:tr>
      <w:tr w:rsidR="00581690" w:rsidTr="00581690">
        <w:tc>
          <w:tcPr>
            <w:tcW w:w="1421" w:type="dxa"/>
          </w:tcPr>
          <w:p w:rsidR="0062686C" w:rsidRPr="0062686C" w:rsidRDefault="0062686C" w:rsidP="0044277B">
            <w:pPr>
              <w:jc w:val="left"/>
            </w:pPr>
            <w:r w:rsidRPr="0062686C">
              <w:t>LR (unbalanced dataset)</w:t>
            </w:r>
          </w:p>
        </w:tc>
        <w:tc>
          <w:tcPr>
            <w:tcW w:w="1020" w:type="dxa"/>
          </w:tcPr>
          <w:p w:rsidR="0062686C" w:rsidRPr="00581690" w:rsidRDefault="00581690" w:rsidP="0044277B">
            <w:pPr>
              <w:jc w:val="left"/>
            </w:pPr>
            <w:r w:rsidRPr="00581690">
              <w:t>90.66</w:t>
            </w:r>
          </w:p>
        </w:tc>
        <w:tc>
          <w:tcPr>
            <w:tcW w:w="1126" w:type="dxa"/>
          </w:tcPr>
          <w:p w:rsidR="0062686C" w:rsidRPr="00581690" w:rsidRDefault="00581690" w:rsidP="0044277B">
            <w:pPr>
              <w:jc w:val="left"/>
            </w:pPr>
            <w:r w:rsidRPr="00581690">
              <w:t>97.56</w:t>
            </w:r>
          </w:p>
        </w:tc>
        <w:tc>
          <w:tcPr>
            <w:tcW w:w="1121" w:type="dxa"/>
          </w:tcPr>
          <w:p w:rsidR="0062686C" w:rsidRPr="00581690" w:rsidRDefault="00581690" w:rsidP="0044277B">
            <w:pPr>
              <w:jc w:val="left"/>
            </w:pPr>
            <w:r w:rsidRPr="00581690">
              <w:t>37.29</w:t>
            </w:r>
          </w:p>
        </w:tc>
        <w:tc>
          <w:tcPr>
            <w:tcW w:w="705" w:type="dxa"/>
          </w:tcPr>
          <w:p w:rsidR="0062686C" w:rsidRPr="00581690" w:rsidRDefault="00581690" w:rsidP="0044277B">
            <w:pPr>
              <w:jc w:val="left"/>
            </w:pPr>
            <w:r w:rsidRPr="00581690">
              <w:t>0.9175</w:t>
            </w:r>
          </w:p>
        </w:tc>
        <w:tc>
          <w:tcPr>
            <w:tcW w:w="1020" w:type="dxa"/>
          </w:tcPr>
          <w:p w:rsidR="0062686C" w:rsidRPr="00581690" w:rsidRDefault="00581690" w:rsidP="0044277B">
            <w:pPr>
              <w:jc w:val="left"/>
            </w:pPr>
            <w:r w:rsidRPr="00581690">
              <w:t>90.76</w:t>
            </w:r>
          </w:p>
        </w:tc>
        <w:tc>
          <w:tcPr>
            <w:tcW w:w="1126" w:type="dxa"/>
          </w:tcPr>
          <w:p w:rsidR="0062686C" w:rsidRPr="00581690" w:rsidRDefault="00581690" w:rsidP="0044277B">
            <w:pPr>
              <w:jc w:val="left"/>
            </w:pPr>
            <w:r w:rsidRPr="00581690">
              <w:t>97.53</w:t>
            </w:r>
          </w:p>
        </w:tc>
        <w:tc>
          <w:tcPr>
            <w:tcW w:w="1121" w:type="dxa"/>
          </w:tcPr>
          <w:p w:rsidR="0062686C" w:rsidRPr="00581690" w:rsidRDefault="00581690" w:rsidP="0044277B">
            <w:pPr>
              <w:jc w:val="left"/>
            </w:pPr>
            <w:r w:rsidRPr="00581690">
              <w:t>37.37</w:t>
            </w:r>
          </w:p>
        </w:tc>
        <w:tc>
          <w:tcPr>
            <w:tcW w:w="785" w:type="dxa"/>
          </w:tcPr>
          <w:p w:rsidR="0062686C" w:rsidRPr="00581690" w:rsidRDefault="00581690" w:rsidP="0044277B">
            <w:pPr>
              <w:jc w:val="left"/>
            </w:pPr>
            <w:r w:rsidRPr="00581690">
              <w:t>0.9175</w:t>
            </w:r>
          </w:p>
        </w:tc>
      </w:tr>
    </w:tbl>
    <w:p w:rsidR="00301649" w:rsidRDefault="00301649" w:rsidP="0044277B">
      <w:pPr>
        <w:jc w:val="left"/>
        <w:rPr>
          <w:b/>
          <w:bCs/>
          <w:sz w:val="28"/>
          <w:szCs w:val="28"/>
          <w:u w:val="single"/>
        </w:rPr>
      </w:pPr>
    </w:p>
    <w:p w:rsidR="00301649" w:rsidRDefault="00301649"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Pr="00417C31" w:rsidRDefault="00417C31" w:rsidP="00417C31">
      <w:pPr>
        <w:pStyle w:val="Heading1"/>
      </w:pPr>
      <w:r w:rsidRPr="00417C31">
        <w:lastRenderedPageBreak/>
        <w:t xml:space="preserve">Objective 2 - </w:t>
      </w:r>
      <w:r w:rsidRPr="00417C31">
        <w:t>Additional Models</w:t>
      </w:r>
    </w:p>
    <w:p w:rsidR="00417C31" w:rsidRDefault="00417C31" w:rsidP="0044277B">
      <w:pPr>
        <w:jc w:val="left"/>
        <w:rPr>
          <w:sz w:val="28"/>
          <w:szCs w:val="28"/>
        </w:rPr>
      </w:pPr>
    </w:p>
    <w:p w:rsidR="00417C31" w:rsidRDefault="00417C31" w:rsidP="0044277B">
      <w:pPr>
        <w:jc w:val="left"/>
        <w:rPr>
          <w:sz w:val="28"/>
          <w:szCs w:val="28"/>
        </w:rPr>
      </w:pPr>
      <w:r w:rsidRPr="00417C31">
        <w:rPr>
          <w:sz w:val="28"/>
          <w:szCs w:val="28"/>
        </w:rPr>
        <w:t xml:space="preserve">Logistic Regression model (LRM) with </w:t>
      </w:r>
      <w:r>
        <w:rPr>
          <w:sz w:val="28"/>
          <w:szCs w:val="28"/>
        </w:rPr>
        <w:t xml:space="preserve">interaction </w:t>
      </w:r>
    </w:p>
    <w:p w:rsidR="00417C31" w:rsidRDefault="00417C31"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bookmarkStart w:id="0" w:name="_GoBack"/>
      <w:bookmarkEnd w:id="0"/>
      <w:r w:rsidRPr="00417C31">
        <w:rPr>
          <w:sz w:val="28"/>
          <w:szCs w:val="28"/>
        </w:rPr>
        <w:t xml:space="preserve">Linear Discriminant Analysis model </w:t>
      </w:r>
      <w:r>
        <w:rPr>
          <w:sz w:val="28"/>
          <w:szCs w:val="28"/>
        </w:rPr>
        <w:t>(LDA)</w:t>
      </w:r>
    </w:p>
    <w:p w:rsidR="00417C31" w:rsidRDefault="00417C31" w:rsidP="0044277B">
      <w:pPr>
        <w:jc w:val="left"/>
        <w:rPr>
          <w:sz w:val="28"/>
          <w:szCs w:val="28"/>
        </w:rPr>
      </w:pPr>
    </w:p>
    <w:p w:rsidR="00417C31" w:rsidRDefault="00417C31" w:rsidP="0044277B">
      <w:pPr>
        <w:jc w:val="left"/>
        <w:rPr>
          <w:sz w:val="28"/>
          <w:szCs w:val="28"/>
        </w:rPr>
      </w:pPr>
    </w:p>
    <w:p w:rsidR="00417C31" w:rsidRDefault="00417C31" w:rsidP="0044277B">
      <w:pPr>
        <w:jc w:val="left"/>
        <w:rPr>
          <w:sz w:val="28"/>
          <w:szCs w:val="28"/>
        </w:rPr>
      </w:pPr>
    </w:p>
    <w:p w:rsidR="00417C31" w:rsidRPr="00417C31" w:rsidRDefault="00417C31" w:rsidP="0044277B">
      <w:pPr>
        <w:jc w:val="left"/>
        <w:rPr>
          <w:sz w:val="28"/>
          <w:szCs w:val="28"/>
        </w:rPr>
      </w:pPr>
      <w:r w:rsidRPr="00417C31">
        <w:rPr>
          <w:sz w:val="28"/>
          <w:szCs w:val="28"/>
        </w:rPr>
        <w:t>Non-parametric model. Random Forest (RF)</w:t>
      </w:r>
    </w:p>
    <w:p w:rsidR="00417C31" w:rsidRDefault="00417C31" w:rsidP="0044277B">
      <w:pPr>
        <w:jc w:val="left"/>
        <w:rPr>
          <w:b/>
          <w:bCs/>
          <w:sz w:val="28"/>
          <w:szCs w:val="28"/>
          <w:u w:val="single"/>
        </w:rPr>
      </w:pPr>
    </w:p>
    <w:p w:rsidR="003423A7" w:rsidRDefault="003423A7" w:rsidP="0044277B">
      <w:pPr>
        <w:jc w:val="left"/>
        <w:rPr>
          <w:b/>
          <w:bCs/>
          <w:sz w:val="28"/>
          <w:szCs w:val="28"/>
          <w:u w:val="single"/>
        </w:rPr>
      </w:pPr>
    </w:p>
    <w:p w:rsidR="003423A7" w:rsidRDefault="00417C31" w:rsidP="0044277B">
      <w:pPr>
        <w:jc w:val="left"/>
        <w:rPr>
          <w:sz w:val="28"/>
          <w:szCs w:val="28"/>
        </w:rPr>
      </w:pPr>
      <w:r w:rsidRPr="00417C31">
        <w:rPr>
          <w:sz w:val="28"/>
          <w:szCs w:val="28"/>
        </w:rPr>
        <w:t>Comparison of all models and Conclusion</w:t>
      </w:r>
    </w:p>
    <w:p w:rsidR="00417C31" w:rsidRDefault="00417C31" w:rsidP="0044277B">
      <w:pPr>
        <w:jc w:val="left"/>
        <w:rPr>
          <w:sz w:val="28"/>
          <w:szCs w:val="28"/>
        </w:rPr>
      </w:pPr>
    </w:p>
    <w:p w:rsidR="00417C31" w:rsidRPr="00417C31" w:rsidRDefault="00417C31" w:rsidP="0044277B">
      <w:pPr>
        <w:jc w:val="left"/>
        <w:rPr>
          <w:sz w:val="28"/>
          <w:szCs w:val="28"/>
        </w:rPr>
      </w:pPr>
    </w:p>
    <w:p w:rsidR="003423A7" w:rsidRDefault="003423A7"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0108BC" w:rsidRPr="008260B3" w:rsidRDefault="008260B3" w:rsidP="0044277B">
      <w:pPr>
        <w:jc w:val="left"/>
        <w:rPr>
          <w:b/>
          <w:bCs/>
          <w:sz w:val="28"/>
          <w:szCs w:val="28"/>
          <w:u w:val="single"/>
        </w:rPr>
      </w:pPr>
      <w:r w:rsidRPr="008260B3">
        <w:rPr>
          <w:b/>
          <w:bCs/>
          <w:sz w:val="28"/>
          <w:szCs w:val="28"/>
          <w:u w:val="single"/>
        </w:rPr>
        <w:lastRenderedPageBreak/>
        <w:t>APPENDIX</w:t>
      </w:r>
    </w:p>
    <w:p w:rsidR="00D86BEC" w:rsidRDefault="00EB5E91">
      <w:r>
        <w:rPr>
          <w:noProof/>
        </w:rPr>
        <w:drawing>
          <wp:inline distT="0" distB="0" distL="0" distR="0">
            <wp:extent cx="45720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1: Spine plot of day of Week with response variable</w:t>
      </w:r>
      <w:r w:rsidR="00EB5E91">
        <w:rPr>
          <w:noProof/>
        </w:rPr>
        <w:drawing>
          <wp:inline distT="0" distB="0" distL="0" distR="0">
            <wp:extent cx="45720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2: Spine plot of month with response variable</w:t>
      </w:r>
    </w:p>
    <w:p w:rsidR="00D86BEC" w:rsidRDefault="00EB5E91" w:rsidP="00D86BEC">
      <w:pPr>
        <w:jc w:val="left"/>
      </w:pPr>
      <w:r>
        <w:rPr>
          <w:noProof/>
        </w:rPr>
        <w:lastRenderedPageBreak/>
        <w:drawing>
          <wp:inline distT="0" distB="0" distL="0" distR="0">
            <wp:extent cx="45720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3: Spine plot of contact with response variable</w:t>
      </w:r>
      <w:r w:rsidR="00EB5E91">
        <w:rPr>
          <w:noProof/>
        </w:rPr>
        <w:drawing>
          <wp:inline distT="0" distB="0" distL="0" distR="0">
            <wp:extent cx="45720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4: Spine plot of Loan with response variable</w:t>
      </w:r>
    </w:p>
    <w:p w:rsidR="00D86BEC" w:rsidRDefault="00EB5E91" w:rsidP="00D86BEC">
      <w:pPr>
        <w:jc w:val="left"/>
      </w:pPr>
      <w:r>
        <w:rPr>
          <w:noProof/>
        </w:rPr>
        <w:lastRenderedPageBreak/>
        <w:drawing>
          <wp:inline distT="0" distB="0" distL="0" distR="0">
            <wp:extent cx="45720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D86BEC" w:rsidP="00D86BEC">
      <w:pPr>
        <w:jc w:val="left"/>
      </w:pPr>
      <w:r>
        <w:t>Figure 5: Spine plot of Housing with response variable</w:t>
      </w:r>
      <w:r w:rsidR="00EB5E91">
        <w:rPr>
          <w:noProof/>
        </w:rPr>
        <w:drawing>
          <wp:inline distT="0" distB="0" distL="0" distR="0">
            <wp:extent cx="45720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6: Spine plot of Default with response variable</w:t>
      </w:r>
    </w:p>
    <w:p w:rsidR="00B168FC" w:rsidRDefault="00EB5E91" w:rsidP="00D86BEC">
      <w:pPr>
        <w:jc w:val="left"/>
      </w:pPr>
      <w:r>
        <w:rPr>
          <w:noProof/>
        </w:rPr>
        <w:lastRenderedPageBreak/>
        <w:drawing>
          <wp:inline distT="0" distB="0" distL="0" distR="0">
            <wp:extent cx="45720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7: Spine plot of Education with response variable</w:t>
      </w:r>
      <w:r w:rsidR="00EB5E91">
        <w:rPr>
          <w:noProof/>
        </w:rPr>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8: Spine plot of Marital with response variable</w:t>
      </w:r>
    </w:p>
    <w:p w:rsidR="00B168FC" w:rsidRDefault="00EB5E91" w:rsidP="00D86BEC">
      <w:pPr>
        <w:jc w:val="left"/>
      </w:pPr>
      <w:r>
        <w:rPr>
          <w:noProof/>
        </w:rPr>
        <w:lastRenderedPageBreak/>
        <w:drawing>
          <wp:inline distT="0" distB="0" distL="0" distR="0">
            <wp:extent cx="45720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9: Spine plot of job with response variable</w:t>
      </w:r>
    </w:p>
    <w:p w:rsidR="008260B3" w:rsidRDefault="00EB5E91" w:rsidP="00D86BEC">
      <w:pPr>
        <w:jc w:val="left"/>
      </w:pPr>
      <w:r>
        <w:rPr>
          <w:noProof/>
        </w:rPr>
        <w:drawing>
          <wp:inline distT="0" distB="0" distL="0" distR="0">
            <wp:extent cx="4572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10: Spine plot of previous with response variable</w:t>
      </w:r>
    </w:p>
    <w:p w:rsidR="00B168FC" w:rsidRDefault="00B168FC" w:rsidP="00D86BEC">
      <w:pPr>
        <w:jc w:val="left"/>
      </w:pPr>
    </w:p>
    <w:p w:rsidR="00B168FC" w:rsidRDefault="00B168FC" w:rsidP="00D86BEC">
      <w:pPr>
        <w:jc w:val="left"/>
      </w:pPr>
      <w:r w:rsidRPr="00D05C79">
        <w:rPr>
          <w:noProof/>
        </w:rPr>
        <w:drawing>
          <wp:inline distT="0" distB="0" distL="0" distR="0" wp14:anchorId="1988A2C7" wp14:editId="29D9724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43600"/>
                    </a:xfrm>
                    <a:prstGeom prst="rect">
                      <a:avLst/>
                    </a:prstGeom>
                  </pic:spPr>
                </pic:pic>
              </a:graphicData>
            </a:graphic>
          </wp:inline>
        </w:drawing>
      </w:r>
    </w:p>
    <w:p w:rsidR="00B168FC" w:rsidRDefault="00B168FC" w:rsidP="00B168FC">
      <w:r>
        <w:t>Figure 11: Pair wise plots for continuous variables with response variable</w:t>
      </w:r>
    </w:p>
    <w:p w:rsidR="00B168FC" w:rsidRDefault="00B168FC"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212B05">
      <w:pPr>
        <w:jc w:val="center"/>
      </w:pPr>
      <w:r>
        <w:rPr>
          <w:noProof/>
        </w:rPr>
        <w:lastRenderedPageBreak/>
        <w:drawing>
          <wp:inline distT="0" distB="0" distL="0" distR="0" wp14:anchorId="7F9F8DE9" wp14:editId="27142F3D">
            <wp:extent cx="4607560" cy="5372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7560" cy="5372100"/>
                    </a:xfrm>
                    <a:prstGeom prst="rect">
                      <a:avLst/>
                    </a:prstGeom>
                    <a:noFill/>
                    <a:ln>
                      <a:noFill/>
                    </a:ln>
                  </pic:spPr>
                </pic:pic>
              </a:graphicData>
            </a:graphic>
          </wp:inline>
        </w:drawing>
      </w:r>
    </w:p>
    <w:p w:rsidR="00212B05" w:rsidRDefault="00212B05" w:rsidP="00212B05">
      <w:pPr>
        <w:ind w:left="720"/>
        <w:jc w:val="center"/>
      </w:pPr>
      <w:r>
        <w:t>Figure 12: C</w:t>
      </w:r>
      <w:r w:rsidRPr="00F32EFD">
        <w:t>oeﬃcient estimates</w:t>
      </w:r>
    </w:p>
    <w:p w:rsidR="00212B05" w:rsidRDefault="00212B05" w:rsidP="00D86BEC">
      <w:pPr>
        <w:jc w:val="left"/>
      </w:pPr>
    </w:p>
    <w:p w:rsidR="00212B05" w:rsidRDefault="00212B05" w:rsidP="00212B05">
      <w:pPr>
        <w:jc w:val="center"/>
      </w:pPr>
      <w:r>
        <w:rPr>
          <w:noProof/>
        </w:rPr>
        <w:lastRenderedPageBreak/>
        <w:drawing>
          <wp:inline distT="0" distB="0" distL="0" distR="0" wp14:anchorId="549E1226" wp14:editId="4F2B120C">
            <wp:extent cx="4022090" cy="522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2090" cy="5229225"/>
                    </a:xfrm>
                    <a:prstGeom prst="rect">
                      <a:avLst/>
                    </a:prstGeom>
                    <a:noFill/>
                    <a:ln>
                      <a:noFill/>
                    </a:ln>
                  </pic:spPr>
                </pic:pic>
              </a:graphicData>
            </a:graphic>
          </wp:inline>
        </w:drawing>
      </w:r>
    </w:p>
    <w:p w:rsidR="00212B05" w:rsidRDefault="00212B05" w:rsidP="00212B05">
      <w:pPr>
        <w:ind w:left="720"/>
        <w:jc w:val="center"/>
      </w:pPr>
      <w:r>
        <w:t xml:space="preserve">Figure 13: </w:t>
      </w:r>
      <w:r w:rsidRPr="00F85773">
        <w:t>Odds Ratio estimates and conﬁdence intervals</w:t>
      </w:r>
      <w:r>
        <w:t xml:space="preserve"> </w:t>
      </w:r>
    </w:p>
    <w:p w:rsidR="00212B05" w:rsidRDefault="00212B05" w:rsidP="00212B05">
      <w:pPr>
        <w:jc w:val="center"/>
      </w:pPr>
    </w:p>
    <w:sectPr w:rsidR="0021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C1D"/>
      </v:shape>
    </w:pict>
  </w:numPicBullet>
  <w:abstractNum w:abstractNumId="0" w15:restartNumberingAfterBreak="0">
    <w:nsid w:val="1EA14909"/>
    <w:multiLevelType w:val="hybridMultilevel"/>
    <w:tmpl w:val="94EC853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45993C5F"/>
    <w:multiLevelType w:val="hybridMultilevel"/>
    <w:tmpl w:val="97FAF2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910BEF"/>
    <w:multiLevelType w:val="hybridMultilevel"/>
    <w:tmpl w:val="916427A8"/>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6FC77626"/>
    <w:multiLevelType w:val="hybridMultilevel"/>
    <w:tmpl w:val="8256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B"/>
    <w:rsid w:val="00005432"/>
    <w:rsid w:val="000108BC"/>
    <w:rsid w:val="00017594"/>
    <w:rsid w:val="00045BFA"/>
    <w:rsid w:val="00074B11"/>
    <w:rsid w:val="0008174A"/>
    <w:rsid w:val="000C510E"/>
    <w:rsid w:val="000D598D"/>
    <w:rsid w:val="000E1A6C"/>
    <w:rsid w:val="00212B05"/>
    <w:rsid w:val="00292473"/>
    <w:rsid w:val="002E1DB5"/>
    <w:rsid w:val="00301649"/>
    <w:rsid w:val="003423A7"/>
    <w:rsid w:val="00417C31"/>
    <w:rsid w:val="0044277B"/>
    <w:rsid w:val="0049602D"/>
    <w:rsid w:val="004F162E"/>
    <w:rsid w:val="00581690"/>
    <w:rsid w:val="005B19D3"/>
    <w:rsid w:val="0062686C"/>
    <w:rsid w:val="00673633"/>
    <w:rsid w:val="00690590"/>
    <w:rsid w:val="006F5B31"/>
    <w:rsid w:val="007076F8"/>
    <w:rsid w:val="007772BC"/>
    <w:rsid w:val="00782D47"/>
    <w:rsid w:val="007A2E1B"/>
    <w:rsid w:val="007E5E3B"/>
    <w:rsid w:val="008260B3"/>
    <w:rsid w:val="00991564"/>
    <w:rsid w:val="00A14D84"/>
    <w:rsid w:val="00B168FC"/>
    <w:rsid w:val="00B27854"/>
    <w:rsid w:val="00B84DB5"/>
    <w:rsid w:val="00C07C72"/>
    <w:rsid w:val="00C711B3"/>
    <w:rsid w:val="00C911E7"/>
    <w:rsid w:val="00CC3A24"/>
    <w:rsid w:val="00D05C79"/>
    <w:rsid w:val="00D24970"/>
    <w:rsid w:val="00D86BEC"/>
    <w:rsid w:val="00E94D37"/>
    <w:rsid w:val="00EB5E91"/>
    <w:rsid w:val="00EC5CFB"/>
    <w:rsid w:val="00ED1094"/>
    <w:rsid w:val="00F17916"/>
    <w:rsid w:val="00F32EFD"/>
    <w:rsid w:val="00F752F1"/>
    <w:rsid w:val="00F85773"/>
    <w:rsid w:val="00FD7BBA"/>
    <w:rsid w:val="00FF3FF4"/>
    <w:rsid w:val="00FF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8AB4"/>
  <w15:chartTrackingRefBased/>
  <w15:docId w15:val="{548AB6E0-355B-4E06-9CB2-1DBC0320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77B"/>
    <w:pPr>
      <w:spacing w:line="252" w:lineRule="auto"/>
      <w:jc w:val="both"/>
    </w:pPr>
    <w:rPr>
      <w:rFonts w:eastAsiaTheme="minorEastAsia"/>
    </w:rPr>
  </w:style>
  <w:style w:type="paragraph" w:styleId="Heading1">
    <w:name w:val="heading 1"/>
    <w:basedOn w:val="Normal"/>
    <w:next w:val="Normal"/>
    <w:link w:val="Heading1Char"/>
    <w:uiPriority w:val="9"/>
    <w:qFormat/>
    <w:rsid w:val="0044277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4277B"/>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77B"/>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4277B"/>
    <w:rPr>
      <w:rFonts w:ascii="Segoe UI" w:hAnsi="Segoe UI" w:cs="Segoe UI"/>
      <w:sz w:val="18"/>
      <w:szCs w:val="18"/>
    </w:rPr>
  </w:style>
  <w:style w:type="character" w:customStyle="1" w:styleId="Heading1Char">
    <w:name w:val="Heading 1 Char"/>
    <w:basedOn w:val="DefaultParagraphFont"/>
    <w:link w:val="Heading1"/>
    <w:uiPriority w:val="9"/>
    <w:rsid w:val="004427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4277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4277B"/>
    <w:rPr>
      <w:color w:val="0000FF"/>
      <w:u w:val="single"/>
    </w:rPr>
  </w:style>
  <w:style w:type="table" w:styleId="TableGrid">
    <w:name w:val="Table Grid"/>
    <w:basedOn w:val="TableNormal"/>
    <w:uiPriority w:val="39"/>
    <w:rsid w:val="0044277B"/>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77B"/>
    <w:rPr>
      <w:rFonts w:ascii="Courier New" w:eastAsia="Times New Roman" w:hAnsi="Courier New" w:cs="Courier New"/>
      <w:sz w:val="20"/>
      <w:szCs w:val="20"/>
    </w:rPr>
  </w:style>
  <w:style w:type="paragraph" w:styleId="ListParagraph">
    <w:name w:val="List Paragraph"/>
    <w:basedOn w:val="Normal"/>
    <w:uiPriority w:val="34"/>
    <w:qFormat/>
    <w:rsid w:val="00782D47"/>
    <w:pPr>
      <w:ind w:left="720"/>
      <w:contextualSpacing/>
    </w:pPr>
  </w:style>
  <w:style w:type="paragraph" w:styleId="Title">
    <w:name w:val="Title"/>
    <w:basedOn w:val="Normal"/>
    <w:next w:val="Normal"/>
    <w:link w:val="TitleChar"/>
    <w:uiPriority w:val="10"/>
    <w:qFormat/>
    <w:rsid w:val="00F85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4D37"/>
    <w:rPr>
      <w:color w:val="954F72" w:themeColor="followedHyperlink"/>
      <w:u w:val="single"/>
    </w:rPr>
  </w:style>
  <w:style w:type="paragraph" w:styleId="BodyText">
    <w:name w:val="Body Text"/>
    <w:basedOn w:val="Normal"/>
    <w:link w:val="BodyTextChar"/>
    <w:semiHidden/>
    <w:unhideWhenUsed/>
    <w:qFormat/>
    <w:rsid w:val="00ED1094"/>
    <w:pPr>
      <w:spacing w:before="180" w:after="180" w:line="240" w:lineRule="auto"/>
      <w:jc w:val="left"/>
    </w:pPr>
    <w:rPr>
      <w:rFonts w:eastAsiaTheme="minorHAnsi"/>
      <w:sz w:val="24"/>
      <w:szCs w:val="24"/>
    </w:rPr>
  </w:style>
  <w:style w:type="character" w:customStyle="1" w:styleId="BodyTextChar">
    <w:name w:val="Body Text Char"/>
    <w:basedOn w:val="DefaultParagraphFont"/>
    <w:link w:val="BodyText"/>
    <w:semiHidden/>
    <w:rsid w:val="00ED10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3658">
      <w:bodyDiv w:val="1"/>
      <w:marLeft w:val="0"/>
      <w:marRight w:val="0"/>
      <w:marTop w:val="0"/>
      <w:marBottom w:val="0"/>
      <w:divBdr>
        <w:top w:val="none" w:sz="0" w:space="0" w:color="auto"/>
        <w:left w:val="none" w:sz="0" w:space="0" w:color="auto"/>
        <w:bottom w:val="none" w:sz="0" w:space="0" w:color="auto"/>
        <w:right w:val="none" w:sz="0" w:space="0" w:color="auto"/>
      </w:divBdr>
    </w:div>
    <w:div w:id="338315433">
      <w:bodyDiv w:val="1"/>
      <w:marLeft w:val="0"/>
      <w:marRight w:val="0"/>
      <w:marTop w:val="0"/>
      <w:marBottom w:val="0"/>
      <w:divBdr>
        <w:top w:val="none" w:sz="0" w:space="0" w:color="auto"/>
        <w:left w:val="none" w:sz="0" w:space="0" w:color="auto"/>
        <w:bottom w:val="none" w:sz="0" w:space="0" w:color="auto"/>
        <w:right w:val="none" w:sz="0" w:space="0" w:color="auto"/>
      </w:divBdr>
    </w:div>
    <w:div w:id="438572145">
      <w:bodyDiv w:val="1"/>
      <w:marLeft w:val="0"/>
      <w:marRight w:val="0"/>
      <w:marTop w:val="0"/>
      <w:marBottom w:val="0"/>
      <w:divBdr>
        <w:top w:val="none" w:sz="0" w:space="0" w:color="auto"/>
        <w:left w:val="none" w:sz="0" w:space="0" w:color="auto"/>
        <w:bottom w:val="none" w:sz="0" w:space="0" w:color="auto"/>
        <w:right w:val="none" w:sz="0" w:space="0" w:color="auto"/>
      </w:divBdr>
    </w:div>
    <w:div w:id="1453328105">
      <w:bodyDiv w:val="1"/>
      <w:marLeft w:val="0"/>
      <w:marRight w:val="0"/>
      <w:marTop w:val="0"/>
      <w:marBottom w:val="0"/>
      <w:divBdr>
        <w:top w:val="none" w:sz="0" w:space="0" w:color="auto"/>
        <w:left w:val="none" w:sz="0" w:space="0" w:color="auto"/>
        <w:bottom w:val="none" w:sz="0" w:space="0" w:color="auto"/>
        <w:right w:val="none" w:sz="0" w:space="0" w:color="auto"/>
      </w:divBdr>
    </w:div>
    <w:div w:id="1496802803">
      <w:bodyDiv w:val="1"/>
      <w:marLeft w:val="0"/>
      <w:marRight w:val="0"/>
      <w:marTop w:val="0"/>
      <w:marBottom w:val="0"/>
      <w:divBdr>
        <w:top w:val="none" w:sz="0" w:space="0" w:color="auto"/>
        <w:left w:val="none" w:sz="0" w:space="0" w:color="auto"/>
        <w:bottom w:val="none" w:sz="0" w:space="0" w:color="auto"/>
        <w:right w:val="none" w:sz="0" w:space="0" w:color="auto"/>
      </w:divBdr>
    </w:div>
    <w:div w:id="194113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hyperlink" Target="https://archive.ics.uci.edu/ml/datasets/Bank+Marketing"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Belaji Avvaru</dc:creator>
  <cp:keywords/>
  <dc:description/>
  <cp:lastModifiedBy>Belaji Avvaru</cp:lastModifiedBy>
  <cp:revision>51</cp:revision>
  <dcterms:created xsi:type="dcterms:W3CDTF">2020-04-10T05:10:00Z</dcterms:created>
  <dcterms:modified xsi:type="dcterms:W3CDTF">2020-04-13T22:54:00Z</dcterms:modified>
</cp:coreProperties>
</file>