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520B0" w14:textId="77777777" w:rsidR="007E3D9B" w:rsidRPr="00344519" w:rsidRDefault="74846B25" w:rsidP="74846B25">
      <w:pPr>
        <w:ind w:left="4320" w:firstLine="720"/>
        <w:jc w:val="right"/>
        <w:rPr>
          <w:rFonts w:ascii="Verdana" w:hAnsi="Verdana"/>
          <w:color w:val="FF0000"/>
        </w:rPr>
      </w:pPr>
      <w:r w:rsidRPr="74846B25">
        <w:rPr>
          <w:rFonts w:ascii="Verdana" w:hAnsi="Verdana"/>
          <w:b/>
          <w:bCs/>
          <w:color w:val="FF0000"/>
        </w:rPr>
        <w:t xml:space="preserve">Ref: </w:t>
      </w:r>
      <w:r w:rsidRPr="74846B25">
        <w:rPr>
          <w:rFonts w:ascii="Verdana" w:hAnsi="Verdana"/>
          <w:color w:val="FF0000"/>
        </w:rPr>
        <w:t>MetLife-UP-400</w:t>
      </w:r>
    </w:p>
    <w:tbl>
      <w:tblPr>
        <w:tblW w:w="4990" w:type="pct"/>
        <w:tblInd w:w="-108" w:type="dxa"/>
        <w:tblLook w:val="04A0" w:firstRow="1" w:lastRow="0" w:firstColumn="1" w:lastColumn="0" w:noHBand="0" w:noVBand="1"/>
      </w:tblPr>
      <w:tblGrid>
        <w:gridCol w:w="2457"/>
        <w:gridCol w:w="4304"/>
        <w:gridCol w:w="2580"/>
      </w:tblGrid>
      <w:tr w:rsidR="00D66AFB" w:rsidRPr="007E3D9B" w14:paraId="1CF7849F" w14:textId="77777777" w:rsidTr="74846B25">
        <w:trPr>
          <w:trHeight w:val="630"/>
        </w:trPr>
        <w:tc>
          <w:tcPr>
            <w:tcW w:w="5000" w:type="pct"/>
            <w:gridSpan w:val="3"/>
            <w:noWrap/>
            <w:vAlign w:val="center"/>
            <w:hideMark/>
          </w:tcPr>
          <w:p w14:paraId="6B60DE22" w14:textId="77777777" w:rsidR="00D66AFB" w:rsidRPr="007E3D9B" w:rsidRDefault="74846B25" w:rsidP="74846B25">
            <w:pPr>
              <w:spacing w:after="0" w:line="240" w:lineRule="auto"/>
              <w:rPr>
                <w:rFonts w:ascii="Verdana" w:eastAsia="Times New Roman" w:hAnsi="Verdana" w:cs="Times New Roman"/>
                <w:b/>
                <w:bCs/>
                <w:color w:val="000000" w:themeColor="text1"/>
              </w:rPr>
            </w:pPr>
            <w:r w:rsidRPr="74846B25">
              <w:rPr>
                <w:rFonts w:ascii="Verdana" w:eastAsia="Times New Roman" w:hAnsi="Verdana" w:cs="Times New Roman"/>
                <w:b/>
                <w:bCs/>
                <w:color w:val="000000" w:themeColor="text1"/>
              </w:rPr>
              <w:t xml:space="preserve">Client name: </w:t>
            </w:r>
            <w:r w:rsidRPr="74846B25">
              <w:rPr>
                <w:rFonts w:ascii="Verdana" w:eastAsia="Times New Roman" w:hAnsi="Verdana" w:cs="Times New Roman"/>
                <w:color w:val="000000" w:themeColor="text1"/>
              </w:rPr>
              <w:t>American Life Insurance Company, Bangladesh Branch (MetLife)</w:t>
            </w:r>
          </w:p>
        </w:tc>
      </w:tr>
      <w:tr w:rsidR="00D66AFB" w:rsidRPr="007E3D9B" w14:paraId="56B4CB53" w14:textId="77777777" w:rsidTr="74846B25">
        <w:trPr>
          <w:trHeight w:val="330"/>
        </w:trPr>
        <w:tc>
          <w:tcPr>
            <w:tcW w:w="5000" w:type="pct"/>
            <w:gridSpan w:val="3"/>
            <w:noWrap/>
            <w:vAlign w:val="bottom"/>
            <w:hideMark/>
          </w:tcPr>
          <w:p w14:paraId="7FD23450" w14:textId="127B4ED2" w:rsidR="00D66AFB" w:rsidRPr="007E3D9B" w:rsidRDefault="74846B25" w:rsidP="74846B25">
            <w:pPr>
              <w:spacing w:after="0" w:line="240" w:lineRule="auto"/>
              <w:jc w:val="both"/>
              <w:rPr>
                <w:rFonts w:ascii="Verdana" w:eastAsia="Times New Roman" w:hAnsi="Verdana" w:cs="Times New Roman"/>
                <w:color w:val="000000" w:themeColor="text1"/>
              </w:rPr>
            </w:pPr>
            <w:r w:rsidRPr="74846B25">
              <w:rPr>
                <w:rFonts w:ascii="Verdana" w:eastAsia="Times New Roman" w:hAnsi="Verdana" w:cs="Times New Roman"/>
                <w:b/>
                <w:bCs/>
                <w:color w:val="000000" w:themeColor="text1"/>
              </w:rPr>
              <w:t xml:space="preserve">Accounting period: </w:t>
            </w:r>
            <w:r w:rsidRPr="74846B25">
              <w:rPr>
                <w:rFonts w:ascii="Verdana" w:eastAsia="Times New Roman" w:hAnsi="Verdana" w:cs="Times New Roman"/>
                <w:color w:val="000000" w:themeColor="text1"/>
              </w:rPr>
              <w:t>01 January 2021 to 31 December 2021</w:t>
            </w:r>
          </w:p>
        </w:tc>
      </w:tr>
      <w:tr w:rsidR="00D66AFB" w:rsidRPr="007E3D9B" w14:paraId="672A6659" w14:textId="77777777" w:rsidTr="74846B25">
        <w:trPr>
          <w:trHeight w:val="330"/>
        </w:trPr>
        <w:tc>
          <w:tcPr>
            <w:tcW w:w="3619" w:type="pct"/>
            <w:gridSpan w:val="2"/>
            <w:noWrap/>
            <w:vAlign w:val="bottom"/>
            <w:hideMark/>
          </w:tcPr>
          <w:p w14:paraId="0A37501D" w14:textId="77777777" w:rsidR="00D66AFB" w:rsidRPr="007E3D9B" w:rsidRDefault="00D66AFB">
            <w:pPr>
              <w:rPr>
                <w:rFonts w:ascii="Verdana" w:eastAsia="Times New Roman" w:hAnsi="Verdana" w:cs="Times New Roman"/>
                <w:color w:val="000000"/>
              </w:rPr>
            </w:pPr>
          </w:p>
        </w:tc>
        <w:tc>
          <w:tcPr>
            <w:tcW w:w="1381" w:type="pct"/>
            <w:vAlign w:val="bottom"/>
          </w:tcPr>
          <w:p w14:paraId="5DAB6C7B" w14:textId="77777777" w:rsidR="00D66AFB" w:rsidRPr="007E3D9B" w:rsidRDefault="00D66AFB">
            <w:pPr>
              <w:spacing w:after="0" w:line="240" w:lineRule="auto"/>
              <w:jc w:val="both"/>
              <w:rPr>
                <w:rFonts w:ascii="Verdana" w:eastAsia="Times New Roman" w:hAnsi="Verdana" w:cs="Times New Roman"/>
                <w:sz w:val="20"/>
                <w:szCs w:val="20"/>
              </w:rPr>
            </w:pPr>
          </w:p>
        </w:tc>
      </w:tr>
      <w:tr w:rsidR="00D66AFB" w:rsidRPr="007E3D9B" w14:paraId="15FA11B3" w14:textId="77777777" w:rsidTr="74846B25">
        <w:trPr>
          <w:trHeight w:val="288"/>
        </w:trPr>
        <w:tc>
          <w:tcPr>
            <w:tcW w:w="1315" w:type="pct"/>
            <w:noWrap/>
            <w:vAlign w:val="bottom"/>
            <w:hideMark/>
          </w:tcPr>
          <w:p w14:paraId="6C69C23A" w14:textId="77777777" w:rsidR="00D66AFB" w:rsidRPr="007E3D9B" w:rsidRDefault="74846B25" w:rsidP="74846B25">
            <w:pPr>
              <w:spacing w:after="0" w:line="240" w:lineRule="auto"/>
              <w:jc w:val="both"/>
              <w:rPr>
                <w:rFonts w:ascii="Verdana" w:eastAsia="Times New Roman" w:hAnsi="Verdana" w:cs="Times New Roman"/>
                <w:sz w:val="20"/>
                <w:szCs w:val="20"/>
              </w:rPr>
            </w:pPr>
            <w:r w:rsidRPr="74846B25">
              <w:rPr>
                <w:rFonts w:ascii="Verdana" w:eastAsia="Times New Roman" w:hAnsi="Verdana" w:cs="Times New Roman"/>
                <w:b/>
                <w:bCs/>
                <w:color w:val="000000" w:themeColor="text1"/>
              </w:rPr>
              <w:t>Work done by</w:t>
            </w:r>
          </w:p>
        </w:tc>
        <w:tc>
          <w:tcPr>
            <w:tcW w:w="2304" w:type="pct"/>
            <w:vAlign w:val="bottom"/>
            <w:hideMark/>
          </w:tcPr>
          <w:p w14:paraId="34047748" w14:textId="77777777" w:rsidR="00D66AFB" w:rsidRPr="007E3D9B" w:rsidRDefault="74846B25" w:rsidP="74846B25">
            <w:pPr>
              <w:spacing w:after="0" w:line="240" w:lineRule="auto"/>
              <w:jc w:val="both"/>
              <w:rPr>
                <w:rFonts w:ascii="Verdana" w:eastAsia="Times New Roman" w:hAnsi="Verdana" w:cs="Times New Roman"/>
                <w:sz w:val="20"/>
                <w:szCs w:val="20"/>
              </w:rPr>
            </w:pPr>
            <w:r w:rsidRPr="74846B25">
              <w:rPr>
                <w:rFonts w:ascii="Verdana" w:eastAsia="Times New Roman" w:hAnsi="Verdana" w:cs="Times New Roman"/>
                <w:b/>
                <w:bCs/>
                <w:color w:val="000000" w:themeColor="text1"/>
              </w:rPr>
              <w:t>:</w:t>
            </w:r>
            <w:r w:rsidRPr="74846B25">
              <w:rPr>
                <w:rFonts w:ascii="Verdana" w:eastAsia="Times New Roman" w:hAnsi="Verdana" w:cs="Times New Roman"/>
                <w:color w:val="000000" w:themeColor="text1"/>
              </w:rPr>
              <w:t xml:space="preserve"> Hasan Shahriar Khan</w:t>
            </w:r>
          </w:p>
        </w:tc>
        <w:tc>
          <w:tcPr>
            <w:tcW w:w="1381" w:type="pct"/>
            <w:vAlign w:val="bottom"/>
            <w:hideMark/>
          </w:tcPr>
          <w:p w14:paraId="6E13D7DE" w14:textId="03DEE3CA" w:rsidR="00D66AFB" w:rsidRPr="007E3D9B" w:rsidRDefault="74846B25" w:rsidP="74846B25">
            <w:pPr>
              <w:spacing w:after="0" w:line="240" w:lineRule="auto"/>
              <w:jc w:val="both"/>
              <w:rPr>
                <w:rFonts w:ascii="Verdana" w:eastAsia="Times New Roman" w:hAnsi="Verdana" w:cs="Times New Roman"/>
                <w:color w:val="000000" w:themeColor="text1"/>
              </w:rPr>
            </w:pPr>
            <w:r w:rsidRPr="74846B25">
              <w:rPr>
                <w:rFonts w:ascii="Verdana" w:eastAsia="Times New Roman" w:hAnsi="Verdana" w:cs="Times New Roman"/>
                <w:b/>
                <w:bCs/>
                <w:color w:val="000000" w:themeColor="text1"/>
              </w:rPr>
              <w:t xml:space="preserve">Date: </w:t>
            </w:r>
            <w:r w:rsidRPr="74846B25">
              <w:rPr>
                <w:rFonts w:ascii="Verdana" w:eastAsia="Times New Roman" w:hAnsi="Verdana" w:cs="Times New Roman"/>
                <w:color w:val="000000" w:themeColor="text1"/>
              </w:rPr>
              <w:t>29-03-2022</w:t>
            </w:r>
          </w:p>
        </w:tc>
      </w:tr>
      <w:tr w:rsidR="00D66AFB" w:rsidRPr="007E3D9B" w14:paraId="75583670" w14:textId="77777777" w:rsidTr="74846B25">
        <w:trPr>
          <w:trHeight w:val="163"/>
        </w:trPr>
        <w:tc>
          <w:tcPr>
            <w:tcW w:w="1315" w:type="pct"/>
            <w:noWrap/>
            <w:vAlign w:val="bottom"/>
            <w:hideMark/>
          </w:tcPr>
          <w:p w14:paraId="5D983519" w14:textId="77777777" w:rsidR="00D66AFB" w:rsidRPr="007E3D9B" w:rsidRDefault="74846B25" w:rsidP="74846B25">
            <w:pPr>
              <w:spacing w:after="0" w:line="240" w:lineRule="auto"/>
              <w:jc w:val="both"/>
              <w:rPr>
                <w:rFonts w:ascii="Verdana" w:eastAsia="Times New Roman" w:hAnsi="Verdana" w:cs="Times New Roman"/>
                <w:sz w:val="20"/>
                <w:szCs w:val="20"/>
              </w:rPr>
            </w:pPr>
            <w:r w:rsidRPr="74846B25">
              <w:rPr>
                <w:rFonts w:ascii="Verdana" w:eastAsia="Times New Roman" w:hAnsi="Verdana" w:cs="Times New Roman"/>
                <w:b/>
                <w:bCs/>
                <w:color w:val="000000" w:themeColor="text1"/>
              </w:rPr>
              <w:t>Work reviewed by</w:t>
            </w:r>
          </w:p>
        </w:tc>
        <w:tc>
          <w:tcPr>
            <w:tcW w:w="2304" w:type="pct"/>
            <w:shd w:val="clear" w:color="auto" w:fill="auto"/>
            <w:vAlign w:val="bottom"/>
            <w:hideMark/>
          </w:tcPr>
          <w:p w14:paraId="2B2D4666" w14:textId="77777777" w:rsidR="00D66AFB" w:rsidRPr="007E3D9B" w:rsidRDefault="74846B25" w:rsidP="74846B25">
            <w:pPr>
              <w:spacing w:after="0" w:line="240" w:lineRule="auto"/>
              <w:jc w:val="both"/>
              <w:rPr>
                <w:rFonts w:ascii="Verdana" w:eastAsia="Times New Roman" w:hAnsi="Verdana" w:cs="Times New Roman"/>
                <w:sz w:val="20"/>
                <w:szCs w:val="20"/>
                <w:highlight w:val="yellow"/>
              </w:rPr>
            </w:pPr>
            <w:r w:rsidRPr="74846B25">
              <w:rPr>
                <w:rFonts w:ascii="Verdana" w:eastAsia="Times New Roman" w:hAnsi="Verdana" w:cs="Times New Roman"/>
                <w:b/>
                <w:bCs/>
                <w:color w:val="000000" w:themeColor="text1"/>
              </w:rPr>
              <w:t xml:space="preserve">: </w:t>
            </w:r>
            <w:r w:rsidRPr="74846B25">
              <w:rPr>
                <w:rFonts w:ascii="Verdana" w:eastAsia="Times New Roman" w:hAnsi="Verdana" w:cs="Times New Roman"/>
                <w:color w:val="000000" w:themeColor="text1"/>
              </w:rPr>
              <w:t>Israt Jahan</w:t>
            </w:r>
          </w:p>
        </w:tc>
        <w:tc>
          <w:tcPr>
            <w:tcW w:w="1381" w:type="pct"/>
            <w:vAlign w:val="bottom"/>
            <w:hideMark/>
          </w:tcPr>
          <w:p w14:paraId="4EADE2E1" w14:textId="509E8EE8" w:rsidR="00EA6A6C" w:rsidRPr="00EA6A6C" w:rsidRDefault="74846B25" w:rsidP="74846B25">
            <w:pPr>
              <w:spacing w:after="0" w:line="240" w:lineRule="auto"/>
              <w:jc w:val="both"/>
              <w:rPr>
                <w:rFonts w:ascii="Verdana" w:eastAsia="Times New Roman" w:hAnsi="Verdana" w:cs="Times New Roman"/>
                <w:color w:val="000000" w:themeColor="text1"/>
              </w:rPr>
            </w:pPr>
            <w:r w:rsidRPr="74846B25">
              <w:rPr>
                <w:rFonts w:ascii="Verdana" w:eastAsia="Times New Roman" w:hAnsi="Verdana" w:cs="Times New Roman"/>
                <w:b/>
                <w:bCs/>
                <w:color w:val="000000" w:themeColor="text1"/>
              </w:rPr>
              <w:t xml:space="preserve">Date: </w:t>
            </w:r>
            <w:r w:rsidRPr="74846B25">
              <w:rPr>
                <w:rFonts w:ascii="Verdana" w:eastAsia="Times New Roman" w:hAnsi="Verdana" w:cs="Times New Roman"/>
                <w:color w:val="000000" w:themeColor="text1"/>
              </w:rPr>
              <w:t>29-03-2022</w:t>
            </w:r>
          </w:p>
        </w:tc>
      </w:tr>
    </w:tbl>
    <w:p w14:paraId="02EB378F" w14:textId="77777777" w:rsidR="000B44E5" w:rsidRPr="007E3D9B" w:rsidRDefault="000B44E5" w:rsidP="007958D2">
      <w:pPr>
        <w:spacing w:after="0"/>
        <w:jc w:val="center"/>
        <w:rPr>
          <w:rFonts w:ascii="Verdana" w:hAnsi="Verdana"/>
          <w:b/>
          <w:sz w:val="28"/>
          <w:u w:val="single"/>
        </w:rPr>
      </w:pPr>
    </w:p>
    <w:p w14:paraId="27E2BBAE" w14:textId="77777777" w:rsidR="007958D2" w:rsidRPr="007E3D9B" w:rsidRDefault="74846B25" w:rsidP="74846B25">
      <w:pPr>
        <w:spacing w:after="0"/>
        <w:jc w:val="center"/>
        <w:rPr>
          <w:rFonts w:ascii="Verdana" w:hAnsi="Verdana"/>
          <w:b/>
          <w:bCs/>
          <w:sz w:val="28"/>
          <w:szCs w:val="28"/>
          <w:u w:val="single"/>
        </w:rPr>
      </w:pPr>
      <w:r w:rsidRPr="74846B25">
        <w:rPr>
          <w:rFonts w:ascii="Verdana" w:hAnsi="Verdana"/>
          <w:b/>
          <w:bCs/>
          <w:sz w:val="28"/>
          <w:szCs w:val="28"/>
          <w:u w:val="single"/>
        </w:rPr>
        <w:t>Investment Procedures</w:t>
      </w:r>
    </w:p>
    <w:p w14:paraId="6A05A809" w14:textId="77777777" w:rsidR="002D5DD2" w:rsidRPr="007E3D9B" w:rsidRDefault="002D5DD2" w:rsidP="007958D2">
      <w:pPr>
        <w:spacing w:after="0"/>
        <w:jc w:val="center"/>
        <w:rPr>
          <w:rFonts w:ascii="Verdana" w:hAnsi="Verdana"/>
          <w:b/>
          <w:sz w:val="28"/>
          <w:u w:val="single"/>
        </w:rPr>
      </w:pPr>
    </w:p>
    <w:p w14:paraId="1B371D8E" w14:textId="77777777" w:rsidR="00000028" w:rsidRPr="007E3D9B" w:rsidRDefault="74846B25" w:rsidP="74846B25">
      <w:pPr>
        <w:pBdr>
          <w:bottom w:val="single" w:sz="12" w:space="1" w:color="auto"/>
        </w:pBdr>
        <w:spacing w:after="0" w:line="240" w:lineRule="auto"/>
        <w:jc w:val="both"/>
        <w:rPr>
          <w:rFonts w:ascii="Verdana" w:hAnsi="Verdana"/>
          <w:b/>
          <w:bCs/>
        </w:rPr>
      </w:pPr>
      <w:r w:rsidRPr="74846B25">
        <w:rPr>
          <w:rFonts w:ascii="Verdana" w:hAnsi="Verdana"/>
          <w:b/>
          <w:bCs/>
        </w:rPr>
        <w:t xml:space="preserve">We have summarized the current practice regarding investment as per discussion with following process owner of </w:t>
      </w:r>
      <w:r w:rsidRPr="74846B25">
        <w:rPr>
          <w:rFonts w:ascii="Verdana" w:eastAsia="Times New Roman" w:hAnsi="Verdana" w:cs="Times New Roman"/>
          <w:b/>
          <w:bCs/>
          <w:color w:val="000000" w:themeColor="text1"/>
        </w:rPr>
        <w:t>MetLife</w:t>
      </w:r>
      <w:r w:rsidRPr="74846B25">
        <w:rPr>
          <w:rFonts w:ascii="Verdana" w:hAnsi="Verdana"/>
          <w:b/>
          <w:bCs/>
        </w:rPr>
        <w:t>.</w:t>
      </w:r>
    </w:p>
    <w:p w14:paraId="5A39BBE3" w14:textId="77777777" w:rsidR="0002250F" w:rsidRPr="007E3D9B" w:rsidRDefault="0002250F" w:rsidP="002912EC">
      <w:pPr>
        <w:pBdr>
          <w:bottom w:val="single" w:sz="12" w:space="1" w:color="auto"/>
        </w:pBdr>
        <w:spacing w:after="0" w:line="240" w:lineRule="auto"/>
        <w:jc w:val="both"/>
        <w:rPr>
          <w:rFonts w:ascii="Verdana" w:hAnsi="Verdana"/>
          <w:b/>
        </w:rPr>
      </w:pPr>
    </w:p>
    <w:tbl>
      <w:tblPr>
        <w:tblStyle w:val="TableGrid"/>
        <w:tblW w:w="0" w:type="auto"/>
        <w:tblInd w:w="108" w:type="dxa"/>
        <w:tblLook w:val="04A0" w:firstRow="1" w:lastRow="0" w:firstColumn="1" w:lastColumn="0" w:noHBand="0" w:noVBand="1"/>
      </w:tblPr>
      <w:tblGrid>
        <w:gridCol w:w="4910"/>
        <w:gridCol w:w="4332"/>
      </w:tblGrid>
      <w:tr w:rsidR="0002250F" w:rsidRPr="007E3D9B" w14:paraId="59A69106" w14:textId="77777777" w:rsidTr="74846B25">
        <w:tc>
          <w:tcPr>
            <w:tcW w:w="5040" w:type="dxa"/>
            <w:tcBorders>
              <w:right w:val="single" w:sz="4" w:space="0" w:color="FFFFFF" w:themeColor="background1"/>
            </w:tcBorders>
            <w:shd w:val="clear" w:color="auto" w:fill="000000" w:themeFill="text1"/>
          </w:tcPr>
          <w:p w14:paraId="0D909AED" w14:textId="77777777" w:rsidR="0002250F" w:rsidRPr="007E3D9B" w:rsidRDefault="74846B25" w:rsidP="74846B25">
            <w:pPr>
              <w:spacing w:after="0" w:line="240" w:lineRule="auto"/>
              <w:jc w:val="both"/>
              <w:rPr>
                <w:rFonts w:ascii="Verdana" w:hAnsi="Verdana"/>
                <w:b/>
                <w:bCs/>
              </w:rPr>
            </w:pPr>
            <w:r w:rsidRPr="74846B25">
              <w:rPr>
                <w:rFonts w:ascii="Verdana" w:hAnsi="Verdana"/>
                <w:b/>
                <w:bCs/>
              </w:rPr>
              <w:t>Name</w:t>
            </w:r>
          </w:p>
        </w:tc>
        <w:tc>
          <w:tcPr>
            <w:tcW w:w="4423" w:type="dxa"/>
            <w:tcBorders>
              <w:left w:val="single" w:sz="4" w:space="0" w:color="FFFFFF" w:themeColor="background1"/>
            </w:tcBorders>
            <w:shd w:val="clear" w:color="auto" w:fill="000000" w:themeFill="text1"/>
          </w:tcPr>
          <w:p w14:paraId="5474599C" w14:textId="77777777" w:rsidR="0002250F" w:rsidRPr="007E3D9B" w:rsidRDefault="74846B25" w:rsidP="74846B25">
            <w:pPr>
              <w:spacing w:after="0" w:line="240" w:lineRule="auto"/>
              <w:jc w:val="both"/>
              <w:rPr>
                <w:rFonts w:ascii="Verdana" w:hAnsi="Verdana"/>
                <w:b/>
                <w:bCs/>
              </w:rPr>
            </w:pPr>
            <w:r w:rsidRPr="74846B25">
              <w:rPr>
                <w:rFonts w:ascii="Verdana" w:hAnsi="Verdana"/>
                <w:b/>
                <w:bCs/>
              </w:rPr>
              <w:t>Designation</w:t>
            </w:r>
          </w:p>
        </w:tc>
      </w:tr>
      <w:tr w:rsidR="0002250F" w:rsidRPr="007E3D9B" w14:paraId="49798BC1" w14:textId="77777777" w:rsidTr="74846B25">
        <w:tc>
          <w:tcPr>
            <w:tcW w:w="5040" w:type="dxa"/>
          </w:tcPr>
          <w:p w14:paraId="2DFA4BF9" w14:textId="77777777" w:rsidR="0002250F" w:rsidRPr="007E3D9B" w:rsidRDefault="74846B25" w:rsidP="74846B25">
            <w:pPr>
              <w:spacing w:after="0" w:line="240" w:lineRule="auto"/>
              <w:jc w:val="both"/>
              <w:rPr>
                <w:rFonts w:ascii="Verdana" w:hAnsi="Verdana"/>
              </w:rPr>
            </w:pPr>
            <w:r w:rsidRPr="74846B25">
              <w:rPr>
                <w:rFonts w:ascii="Verdana" w:hAnsi="Verdana"/>
              </w:rPr>
              <w:t>Mr. Md. Imran Shikdar, CFA</w:t>
            </w:r>
          </w:p>
        </w:tc>
        <w:tc>
          <w:tcPr>
            <w:tcW w:w="4423" w:type="dxa"/>
          </w:tcPr>
          <w:p w14:paraId="732E39DB" w14:textId="77777777" w:rsidR="0002250F" w:rsidRPr="007E3D9B" w:rsidRDefault="74846B25" w:rsidP="74846B25">
            <w:pPr>
              <w:spacing w:after="0" w:line="240" w:lineRule="auto"/>
              <w:jc w:val="both"/>
              <w:rPr>
                <w:rFonts w:ascii="Verdana" w:hAnsi="Verdana"/>
              </w:rPr>
            </w:pPr>
            <w:r w:rsidRPr="74846B25">
              <w:rPr>
                <w:rFonts w:ascii="Verdana" w:hAnsi="Verdana"/>
              </w:rPr>
              <w:t>Manager, Finance</w:t>
            </w:r>
          </w:p>
        </w:tc>
      </w:tr>
    </w:tbl>
    <w:p w14:paraId="41C8F396" w14:textId="77777777" w:rsidR="0002250F" w:rsidRPr="007E3D9B" w:rsidRDefault="0002250F" w:rsidP="002912EC">
      <w:pPr>
        <w:pBdr>
          <w:bottom w:val="single" w:sz="12" w:space="1" w:color="auto"/>
        </w:pBdr>
        <w:spacing w:after="0" w:line="240" w:lineRule="auto"/>
        <w:jc w:val="both"/>
        <w:rPr>
          <w:rFonts w:ascii="Verdana" w:hAnsi="Verdana"/>
          <w:b/>
        </w:rPr>
      </w:pPr>
    </w:p>
    <w:p w14:paraId="72A3D3EC" w14:textId="77777777" w:rsidR="00CF6BE5" w:rsidRPr="007E3D9B" w:rsidRDefault="00CF6BE5" w:rsidP="002912EC">
      <w:pPr>
        <w:spacing w:after="0" w:line="240" w:lineRule="auto"/>
        <w:jc w:val="both"/>
        <w:rPr>
          <w:rFonts w:ascii="Verdana" w:hAnsi="Verdana"/>
          <w:b/>
        </w:rPr>
      </w:pPr>
    </w:p>
    <w:p w14:paraId="59345766" w14:textId="77777777" w:rsidR="006478A6" w:rsidRPr="007E3D9B" w:rsidRDefault="74846B25" w:rsidP="74846B25">
      <w:pPr>
        <w:spacing w:after="0" w:line="240" w:lineRule="auto"/>
        <w:jc w:val="both"/>
        <w:rPr>
          <w:rFonts w:ascii="Verdana" w:hAnsi="Verdana"/>
        </w:rPr>
      </w:pPr>
      <w:r w:rsidRPr="74846B25">
        <w:rPr>
          <w:rFonts w:ascii="Verdana" w:hAnsi="Verdana"/>
        </w:rPr>
        <w:t>American Life Insurance Company, Bangladesh Branch manages its investment by its well-designed process. MetLife has investment in the following five categories:</w:t>
      </w:r>
    </w:p>
    <w:p w14:paraId="0D0B940D" w14:textId="77777777" w:rsidR="00980D79" w:rsidRPr="007E3D9B" w:rsidRDefault="00980D79" w:rsidP="00980D79">
      <w:pPr>
        <w:spacing w:after="0" w:line="240" w:lineRule="auto"/>
        <w:jc w:val="both"/>
        <w:rPr>
          <w:rFonts w:ascii="Verdana" w:hAnsi="Verdana"/>
          <w:color w:val="FF0000"/>
        </w:rPr>
      </w:pPr>
    </w:p>
    <w:tbl>
      <w:tblPr>
        <w:tblStyle w:val="TableGrid"/>
        <w:tblW w:w="0" w:type="auto"/>
        <w:tblInd w:w="108" w:type="dxa"/>
        <w:tblLook w:val="04A0" w:firstRow="1" w:lastRow="0" w:firstColumn="1" w:lastColumn="0" w:noHBand="0" w:noVBand="1"/>
      </w:tblPr>
      <w:tblGrid>
        <w:gridCol w:w="705"/>
        <w:gridCol w:w="2762"/>
        <w:gridCol w:w="4211"/>
        <w:gridCol w:w="1564"/>
      </w:tblGrid>
      <w:tr w:rsidR="00FA0B31" w:rsidRPr="007E3D9B" w14:paraId="3C20A37B" w14:textId="77777777" w:rsidTr="74846B25">
        <w:tc>
          <w:tcPr>
            <w:tcW w:w="705"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14:paraId="481EAC89" w14:textId="77777777" w:rsidR="00FA0B31" w:rsidRPr="007E3D9B" w:rsidRDefault="74846B25" w:rsidP="74846B25">
            <w:pPr>
              <w:spacing w:after="0" w:line="240" w:lineRule="auto"/>
              <w:jc w:val="center"/>
              <w:rPr>
                <w:rFonts w:ascii="Verdana" w:hAnsi="Verdana"/>
                <w:b/>
                <w:bCs/>
                <w:color w:val="FFFFFF" w:themeColor="background1"/>
              </w:rPr>
            </w:pPr>
            <w:r w:rsidRPr="74846B25">
              <w:rPr>
                <w:rFonts w:ascii="Verdana" w:hAnsi="Verdana"/>
                <w:b/>
                <w:bCs/>
                <w:color w:val="FFFFFF" w:themeColor="background1"/>
              </w:rPr>
              <w:t>SL#</w:t>
            </w:r>
          </w:p>
        </w:tc>
        <w:tc>
          <w:tcPr>
            <w:tcW w:w="2895"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39BD4C59" w14:textId="77777777" w:rsidR="00FA0B31" w:rsidRPr="007E3D9B" w:rsidRDefault="74846B25" w:rsidP="74846B25">
            <w:pPr>
              <w:spacing w:after="0" w:line="240" w:lineRule="auto"/>
              <w:jc w:val="center"/>
              <w:rPr>
                <w:rFonts w:ascii="Verdana" w:hAnsi="Verdana"/>
                <w:b/>
                <w:bCs/>
                <w:color w:val="FFFFFF" w:themeColor="background1"/>
              </w:rPr>
            </w:pPr>
            <w:r w:rsidRPr="74846B25">
              <w:rPr>
                <w:rFonts w:ascii="Verdana" w:hAnsi="Verdana"/>
                <w:b/>
                <w:bCs/>
                <w:color w:val="FFFFFF" w:themeColor="background1"/>
              </w:rPr>
              <w:t>Class of investments</w:t>
            </w:r>
          </w:p>
        </w:tc>
        <w:tc>
          <w:tcPr>
            <w:tcW w:w="450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31FF54C8" w14:textId="77777777" w:rsidR="00FA0B31" w:rsidRPr="007E3D9B" w:rsidRDefault="74846B25" w:rsidP="74846B25">
            <w:pPr>
              <w:spacing w:after="0" w:line="240" w:lineRule="auto"/>
              <w:jc w:val="center"/>
              <w:rPr>
                <w:rFonts w:ascii="Verdana" w:hAnsi="Verdana"/>
                <w:b/>
                <w:bCs/>
                <w:color w:val="FFFFFF" w:themeColor="background1"/>
              </w:rPr>
            </w:pPr>
            <w:r w:rsidRPr="74846B25">
              <w:rPr>
                <w:rFonts w:ascii="Verdana" w:hAnsi="Verdana"/>
                <w:b/>
                <w:bCs/>
                <w:color w:val="FFFFFF" w:themeColor="background1"/>
              </w:rPr>
              <w:t>Description</w:t>
            </w:r>
          </w:p>
        </w:tc>
        <w:tc>
          <w:tcPr>
            <w:tcW w:w="1368"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14:paraId="4C94FBC7" w14:textId="77777777" w:rsidR="00FA0B31" w:rsidRPr="007E3D9B" w:rsidRDefault="74846B25" w:rsidP="74846B25">
            <w:pPr>
              <w:spacing w:after="0" w:line="240" w:lineRule="auto"/>
              <w:jc w:val="center"/>
              <w:rPr>
                <w:rFonts w:ascii="Verdana" w:hAnsi="Verdana"/>
                <w:b/>
                <w:bCs/>
                <w:color w:val="FFFFFF" w:themeColor="background1"/>
              </w:rPr>
            </w:pPr>
            <w:r w:rsidRPr="74846B25">
              <w:rPr>
                <w:rFonts w:ascii="Verdana" w:hAnsi="Verdana"/>
                <w:b/>
                <w:bCs/>
                <w:color w:val="FFFFFF" w:themeColor="background1"/>
              </w:rPr>
              <w:t>Remarks</w:t>
            </w:r>
          </w:p>
        </w:tc>
      </w:tr>
      <w:tr w:rsidR="00FA0B31" w:rsidRPr="007E3D9B" w14:paraId="2E22809F" w14:textId="77777777" w:rsidTr="74846B25">
        <w:tc>
          <w:tcPr>
            <w:tcW w:w="705" w:type="dxa"/>
            <w:tcBorders>
              <w:top w:val="single" w:sz="4" w:space="0" w:color="auto"/>
            </w:tcBorders>
          </w:tcPr>
          <w:p w14:paraId="5B4507BE" w14:textId="77777777" w:rsidR="00FA0B31" w:rsidRPr="007E3D9B" w:rsidRDefault="74846B25" w:rsidP="74846B25">
            <w:pPr>
              <w:spacing w:after="0" w:line="240" w:lineRule="auto"/>
              <w:jc w:val="center"/>
              <w:rPr>
                <w:rFonts w:ascii="Verdana" w:hAnsi="Verdana"/>
              </w:rPr>
            </w:pPr>
            <w:r w:rsidRPr="74846B25">
              <w:rPr>
                <w:rFonts w:ascii="Verdana" w:hAnsi="Verdana"/>
              </w:rPr>
              <w:t>01</w:t>
            </w:r>
          </w:p>
        </w:tc>
        <w:tc>
          <w:tcPr>
            <w:tcW w:w="2895" w:type="dxa"/>
            <w:tcBorders>
              <w:top w:val="single" w:sz="4" w:space="0" w:color="auto"/>
            </w:tcBorders>
          </w:tcPr>
          <w:p w14:paraId="4908C3DD" w14:textId="77777777" w:rsidR="00FA0B31" w:rsidRPr="007E3D9B" w:rsidRDefault="74846B25" w:rsidP="74846B25">
            <w:pPr>
              <w:spacing w:after="0" w:line="240" w:lineRule="auto"/>
              <w:rPr>
                <w:rFonts w:ascii="Verdana" w:hAnsi="Verdana"/>
              </w:rPr>
            </w:pPr>
            <w:r w:rsidRPr="74846B25">
              <w:rPr>
                <w:rFonts w:ascii="Verdana" w:hAnsi="Verdana"/>
              </w:rPr>
              <w:t>Statutory Deposit</w:t>
            </w:r>
          </w:p>
        </w:tc>
        <w:tc>
          <w:tcPr>
            <w:tcW w:w="4500" w:type="dxa"/>
            <w:tcBorders>
              <w:top w:val="single" w:sz="4" w:space="0" w:color="auto"/>
            </w:tcBorders>
          </w:tcPr>
          <w:p w14:paraId="122999A5" w14:textId="77777777" w:rsidR="00FA0B31" w:rsidRPr="007E3D9B" w:rsidRDefault="74846B25" w:rsidP="74846B25">
            <w:pPr>
              <w:spacing w:after="0" w:line="240" w:lineRule="auto"/>
              <w:jc w:val="both"/>
              <w:rPr>
                <w:rFonts w:ascii="Verdana" w:hAnsi="Verdana"/>
              </w:rPr>
            </w:pPr>
            <w:r w:rsidRPr="74846B25">
              <w:rPr>
                <w:rFonts w:ascii="Verdana" w:hAnsi="Verdana"/>
              </w:rPr>
              <w:t>Statutory deposit of 20-years Government Treasury Bonds of Taka 1.5 Cores with Bangladesh Bank. Investment was made in 2013.</w:t>
            </w:r>
          </w:p>
        </w:tc>
        <w:tc>
          <w:tcPr>
            <w:tcW w:w="1368" w:type="dxa"/>
            <w:tcBorders>
              <w:top w:val="single" w:sz="4" w:space="0" w:color="auto"/>
            </w:tcBorders>
          </w:tcPr>
          <w:p w14:paraId="11270BC6" w14:textId="77777777" w:rsidR="00FA0B31" w:rsidRPr="007E3D9B" w:rsidRDefault="74846B25" w:rsidP="74846B25">
            <w:pPr>
              <w:spacing w:after="0" w:line="240" w:lineRule="auto"/>
              <w:jc w:val="both"/>
              <w:rPr>
                <w:rFonts w:ascii="Verdana" w:hAnsi="Verdana"/>
              </w:rPr>
            </w:pPr>
            <w:r w:rsidRPr="74846B25">
              <w:rPr>
                <w:rFonts w:ascii="Verdana" w:hAnsi="Verdana"/>
              </w:rPr>
              <w:t>No change</w:t>
            </w:r>
          </w:p>
        </w:tc>
      </w:tr>
      <w:tr w:rsidR="00FA0B31" w:rsidRPr="007E3D9B" w14:paraId="5E16A788" w14:textId="77777777" w:rsidTr="74846B25">
        <w:tc>
          <w:tcPr>
            <w:tcW w:w="705" w:type="dxa"/>
          </w:tcPr>
          <w:p w14:paraId="385FFFD4" w14:textId="77777777" w:rsidR="00FA0B31" w:rsidRPr="007E3D9B" w:rsidRDefault="74846B25" w:rsidP="74846B25">
            <w:pPr>
              <w:spacing w:after="0" w:line="240" w:lineRule="auto"/>
              <w:jc w:val="center"/>
              <w:rPr>
                <w:rFonts w:ascii="Verdana" w:hAnsi="Verdana"/>
              </w:rPr>
            </w:pPr>
            <w:r w:rsidRPr="74846B25">
              <w:rPr>
                <w:rFonts w:ascii="Verdana" w:hAnsi="Verdana"/>
              </w:rPr>
              <w:t>02</w:t>
            </w:r>
          </w:p>
        </w:tc>
        <w:tc>
          <w:tcPr>
            <w:tcW w:w="2895" w:type="dxa"/>
          </w:tcPr>
          <w:p w14:paraId="653318AF" w14:textId="77777777" w:rsidR="00FA0B31" w:rsidRPr="007E3D9B" w:rsidRDefault="74846B25" w:rsidP="74846B25">
            <w:pPr>
              <w:spacing w:after="0" w:line="240" w:lineRule="auto"/>
              <w:rPr>
                <w:rFonts w:ascii="Verdana" w:hAnsi="Verdana"/>
              </w:rPr>
            </w:pPr>
            <w:r w:rsidRPr="74846B25">
              <w:rPr>
                <w:rFonts w:ascii="Verdana" w:hAnsi="Verdana"/>
              </w:rPr>
              <w:t>Treasury Bonds</w:t>
            </w:r>
          </w:p>
        </w:tc>
        <w:tc>
          <w:tcPr>
            <w:tcW w:w="4500" w:type="dxa"/>
          </w:tcPr>
          <w:p w14:paraId="027929E8" w14:textId="77777777" w:rsidR="00FA0B31" w:rsidRPr="007E3D9B" w:rsidRDefault="74846B25" w:rsidP="74846B25">
            <w:pPr>
              <w:spacing w:after="0" w:line="240" w:lineRule="auto"/>
              <w:jc w:val="both"/>
              <w:rPr>
                <w:rFonts w:ascii="Verdana" w:hAnsi="Verdana"/>
              </w:rPr>
            </w:pPr>
            <w:r w:rsidRPr="74846B25">
              <w:rPr>
                <w:rFonts w:ascii="Verdana" w:hAnsi="Verdana"/>
              </w:rPr>
              <w:t>Consist of Government Treasury Bonds for different tenure from 02 year to 20 years.</w:t>
            </w:r>
          </w:p>
        </w:tc>
        <w:tc>
          <w:tcPr>
            <w:tcW w:w="1368" w:type="dxa"/>
          </w:tcPr>
          <w:p w14:paraId="78BBD088" w14:textId="77777777" w:rsidR="00FA0B31" w:rsidRPr="007E3D9B" w:rsidRDefault="74846B25" w:rsidP="74846B25">
            <w:pPr>
              <w:spacing w:after="0" w:line="240" w:lineRule="auto"/>
              <w:jc w:val="both"/>
              <w:rPr>
                <w:rFonts w:ascii="Verdana" w:hAnsi="Verdana"/>
              </w:rPr>
            </w:pPr>
            <w:r w:rsidRPr="74846B25">
              <w:rPr>
                <w:rFonts w:ascii="Verdana" w:hAnsi="Verdana"/>
              </w:rPr>
              <w:t>New investments and encashment incurred</w:t>
            </w:r>
          </w:p>
        </w:tc>
      </w:tr>
      <w:tr w:rsidR="00FA0B31" w:rsidRPr="007E3D9B" w14:paraId="0C1077E7" w14:textId="77777777" w:rsidTr="74846B25">
        <w:tc>
          <w:tcPr>
            <w:tcW w:w="705" w:type="dxa"/>
          </w:tcPr>
          <w:p w14:paraId="2953FD37" w14:textId="77777777" w:rsidR="00FA0B31" w:rsidRPr="007E3D9B" w:rsidRDefault="74846B25" w:rsidP="74846B25">
            <w:pPr>
              <w:spacing w:after="0" w:line="240" w:lineRule="auto"/>
              <w:jc w:val="center"/>
              <w:rPr>
                <w:rFonts w:ascii="Verdana" w:hAnsi="Verdana"/>
              </w:rPr>
            </w:pPr>
            <w:r w:rsidRPr="74846B25">
              <w:rPr>
                <w:rFonts w:ascii="Verdana" w:hAnsi="Verdana"/>
              </w:rPr>
              <w:t>03</w:t>
            </w:r>
          </w:p>
        </w:tc>
        <w:tc>
          <w:tcPr>
            <w:tcW w:w="2895" w:type="dxa"/>
          </w:tcPr>
          <w:p w14:paraId="32E01F6D" w14:textId="77777777" w:rsidR="00FA0B31" w:rsidRPr="007E3D9B" w:rsidRDefault="74846B25" w:rsidP="74846B25">
            <w:pPr>
              <w:spacing w:after="0" w:line="240" w:lineRule="auto"/>
              <w:rPr>
                <w:rFonts w:ascii="Verdana" w:hAnsi="Verdana"/>
              </w:rPr>
            </w:pPr>
            <w:r w:rsidRPr="74846B25">
              <w:rPr>
                <w:rFonts w:ascii="Verdana" w:hAnsi="Verdana"/>
              </w:rPr>
              <w:t>Fixed Deposits with Banks</w:t>
            </w:r>
          </w:p>
        </w:tc>
        <w:tc>
          <w:tcPr>
            <w:tcW w:w="4500" w:type="dxa"/>
          </w:tcPr>
          <w:p w14:paraId="7B50E350" w14:textId="77777777" w:rsidR="00FA0B31" w:rsidRPr="007E3D9B" w:rsidRDefault="74846B25" w:rsidP="74846B25">
            <w:pPr>
              <w:spacing w:after="0" w:line="240" w:lineRule="auto"/>
              <w:jc w:val="both"/>
              <w:rPr>
                <w:rFonts w:ascii="Verdana" w:hAnsi="Verdana"/>
              </w:rPr>
            </w:pPr>
            <w:r w:rsidRPr="74846B25">
              <w:rPr>
                <w:rFonts w:ascii="Verdana" w:hAnsi="Verdana"/>
              </w:rPr>
              <w:t>Fixed Deposit (FDR) with Banks consist of following three categories:</w:t>
            </w:r>
          </w:p>
          <w:p w14:paraId="33CA844D" w14:textId="77777777" w:rsidR="00FA0B31" w:rsidRPr="007E3D9B" w:rsidRDefault="74846B25" w:rsidP="74846B25">
            <w:pPr>
              <w:pStyle w:val="ListParagraph"/>
              <w:numPr>
                <w:ilvl w:val="0"/>
                <w:numId w:val="33"/>
              </w:numPr>
              <w:spacing w:after="0" w:line="240" w:lineRule="auto"/>
              <w:jc w:val="both"/>
              <w:rPr>
                <w:rFonts w:ascii="Verdana" w:hAnsi="Verdana"/>
              </w:rPr>
            </w:pPr>
            <w:r w:rsidRPr="74846B25">
              <w:rPr>
                <w:rFonts w:ascii="Verdana" w:hAnsi="Verdana"/>
              </w:rPr>
              <w:t>Long term (More than 1 year)</w:t>
            </w:r>
          </w:p>
          <w:p w14:paraId="2F667B41" w14:textId="77777777" w:rsidR="00FA0B31" w:rsidRPr="007E3D9B" w:rsidRDefault="74846B25" w:rsidP="74846B25">
            <w:pPr>
              <w:pStyle w:val="ListParagraph"/>
              <w:numPr>
                <w:ilvl w:val="0"/>
                <w:numId w:val="33"/>
              </w:numPr>
              <w:spacing w:after="0" w:line="240" w:lineRule="auto"/>
              <w:jc w:val="both"/>
              <w:rPr>
                <w:rFonts w:ascii="Verdana" w:hAnsi="Verdana"/>
              </w:rPr>
            </w:pPr>
            <w:r w:rsidRPr="74846B25">
              <w:rPr>
                <w:rFonts w:ascii="Verdana" w:hAnsi="Verdana"/>
              </w:rPr>
              <w:t>Short term (Up to 1 year)</w:t>
            </w:r>
          </w:p>
          <w:p w14:paraId="59077411" w14:textId="77777777" w:rsidR="00FA0B31" w:rsidRPr="007E3D9B" w:rsidRDefault="74846B25" w:rsidP="74846B25">
            <w:pPr>
              <w:pStyle w:val="ListParagraph"/>
              <w:numPr>
                <w:ilvl w:val="0"/>
                <w:numId w:val="33"/>
              </w:numPr>
              <w:spacing w:after="0" w:line="240" w:lineRule="auto"/>
              <w:jc w:val="both"/>
              <w:rPr>
                <w:rFonts w:ascii="Verdana" w:hAnsi="Verdana"/>
              </w:rPr>
            </w:pPr>
            <w:r w:rsidRPr="74846B25">
              <w:rPr>
                <w:rFonts w:ascii="Verdana" w:hAnsi="Verdana"/>
              </w:rPr>
              <w:t>Takaful Deposits (Islamic)</w:t>
            </w:r>
          </w:p>
        </w:tc>
        <w:tc>
          <w:tcPr>
            <w:tcW w:w="1368" w:type="dxa"/>
          </w:tcPr>
          <w:p w14:paraId="2E41806A" w14:textId="77777777" w:rsidR="00FA0B31" w:rsidRPr="007E3D9B" w:rsidRDefault="74846B25" w:rsidP="74846B25">
            <w:pPr>
              <w:spacing w:after="0" w:line="240" w:lineRule="auto"/>
              <w:jc w:val="both"/>
              <w:rPr>
                <w:rFonts w:ascii="Verdana" w:hAnsi="Verdana"/>
              </w:rPr>
            </w:pPr>
            <w:r w:rsidRPr="74846B25">
              <w:rPr>
                <w:rFonts w:ascii="Verdana" w:hAnsi="Verdana"/>
              </w:rPr>
              <w:t>New investments and encashment incurred</w:t>
            </w:r>
          </w:p>
        </w:tc>
      </w:tr>
      <w:tr w:rsidR="00FA0B31" w:rsidRPr="007E3D9B" w14:paraId="2C5C897D" w14:textId="77777777" w:rsidTr="74846B25">
        <w:tc>
          <w:tcPr>
            <w:tcW w:w="705" w:type="dxa"/>
          </w:tcPr>
          <w:p w14:paraId="5464B667" w14:textId="77777777" w:rsidR="00FA0B31" w:rsidRPr="007E3D9B" w:rsidRDefault="74846B25" w:rsidP="74846B25">
            <w:pPr>
              <w:spacing w:after="0" w:line="240" w:lineRule="auto"/>
              <w:jc w:val="center"/>
              <w:rPr>
                <w:rFonts w:ascii="Verdana" w:hAnsi="Verdana"/>
              </w:rPr>
            </w:pPr>
            <w:r w:rsidRPr="74846B25">
              <w:rPr>
                <w:rFonts w:ascii="Verdana" w:hAnsi="Verdana"/>
              </w:rPr>
              <w:t>04</w:t>
            </w:r>
          </w:p>
        </w:tc>
        <w:tc>
          <w:tcPr>
            <w:tcW w:w="2895" w:type="dxa"/>
          </w:tcPr>
          <w:p w14:paraId="48F924B4" w14:textId="77777777" w:rsidR="00FA0B31" w:rsidRPr="007E3D9B" w:rsidRDefault="74846B25" w:rsidP="74846B25">
            <w:pPr>
              <w:spacing w:after="0" w:line="240" w:lineRule="auto"/>
              <w:rPr>
                <w:rFonts w:ascii="Verdana" w:hAnsi="Verdana"/>
              </w:rPr>
            </w:pPr>
            <w:r w:rsidRPr="74846B25">
              <w:rPr>
                <w:rFonts w:ascii="Verdana" w:hAnsi="Verdana"/>
              </w:rPr>
              <w:t>Investment Corporation of Bangladesh (ICB) Unit Certificates</w:t>
            </w:r>
          </w:p>
        </w:tc>
        <w:tc>
          <w:tcPr>
            <w:tcW w:w="4500" w:type="dxa"/>
          </w:tcPr>
          <w:p w14:paraId="58968223" w14:textId="77777777" w:rsidR="00FA0B31" w:rsidRPr="007E3D9B" w:rsidRDefault="74846B25" w:rsidP="74846B25">
            <w:pPr>
              <w:spacing w:after="0" w:line="240" w:lineRule="auto"/>
              <w:jc w:val="both"/>
              <w:rPr>
                <w:rFonts w:ascii="Verdana" w:hAnsi="Verdana"/>
              </w:rPr>
            </w:pPr>
            <w:r w:rsidRPr="74846B25">
              <w:rPr>
                <w:rFonts w:ascii="Verdana" w:hAnsi="Verdana"/>
              </w:rPr>
              <w:t>ICB Unit Certificates consist of following two categories:</w:t>
            </w:r>
          </w:p>
          <w:p w14:paraId="28BC39DF" w14:textId="77777777" w:rsidR="00FA0B31" w:rsidRPr="007E3D9B" w:rsidRDefault="74846B25" w:rsidP="74846B25">
            <w:pPr>
              <w:pStyle w:val="ListParagraph"/>
              <w:numPr>
                <w:ilvl w:val="0"/>
                <w:numId w:val="34"/>
              </w:numPr>
              <w:spacing w:after="0" w:line="240" w:lineRule="auto"/>
              <w:jc w:val="both"/>
              <w:rPr>
                <w:rFonts w:ascii="Verdana" w:hAnsi="Verdana"/>
              </w:rPr>
            </w:pPr>
            <w:r w:rsidRPr="74846B25">
              <w:rPr>
                <w:rFonts w:ascii="Verdana" w:hAnsi="Verdana"/>
              </w:rPr>
              <w:t>40,000 Units (BDT 100 each)</w:t>
            </w:r>
          </w:p>
          <w:p w14:paraId="63093E37" w14:textId="77777777" w:rsidR="00690A65" w:rsidRPr="007E3D9B" w:rsidRDefault="74846B25" w:rsidP="74846B25">
            <w:pPr>
              <w:pStyle w:val="ListParagraph"/>
              <w:numPr>
                <w:ilvl w:val="0"/>
                <w:numId w:val="34"/>
              </w:numPr>
              <w:spacing w:after="0" w:line="240" w:lineRule="auto"/>
              <w:jc w:val="both"/>
              <w:rPr>
                <w:rFonts w:ascii="Verdana" w:hAnsi="Verdana"/>
              </w:rPr>
            </w:pPr>
            <w:r w:rsidRPr="74846B25">
              <w:rPr>
                <w:rFonts w:ascii="Verdana" w:hAnsi="Verdana"/>
              </w:rPr>
              <w:t>47,620 Units (BDT 105 each including premium of BDT 5)</w:t>
            </w:r>
          </w:p>
        </w:tc>
        <w:tc>
          <w:tcPr>
            <w:tcW w:w="1368" w:type="dxa"/>
          </w:tcPr>
          <w:p w14:paraId="1F54EA72" w14:textId="77777777" w:rsidR="00FA0B31" w:rsidRPr="007E3D9B" w:rsidRDefault="74846B25" w:rsidP="74846B25">
            <w:pPr>
              <w:spacing w:after="0" w:line="240" w:lineRule="auto"/>
              <w:jc w:val="both"/>
              <w:rPr>
                <w:rFonts w:ascii="Verdana" w:hAnsi="Verdana"/>
              </w:rPr>
            </w:pPr>
            <w:r w:rsidRPr="74846B25">
              <w:rPr>
                <w:rFonts w:ascii="Verdana" w:hAnsi="Verdana"/>
              </w:rPr>
              <w:t>No change</w:t>
            </w:r>
          </w:p>
        </w:tc>
      </w:tr>
      <w:tr w:rsidR="00FA0B31" w:rsidRPr="007E3D9B" w14:paraId="5F391575" w14:textId="77777777" w:rsidTr="74846B25">
        <w:tc>
          <w:tcPr>
            <w:tcW w:w="705" w:type="dxa"/>
          </w:tcPr>
          <w:p w14:paraId="1569879C" w14:textId="77777777" w:rsidR="00FA0B31" w:rsidRPr="007E3D9B" w:rsidRDefault="74846B25" w:rsidP="74846B25">
            <w:pPr>
              <w:spacing w:after="0" w:line="240" w:lineRule="auto"/>
              <w:jc w:val="center"/>
              <w:rPr>
                <w:rFonts w:ascii="Verdana" w:hAnsi="Verdana"/>
              </w:rPr>
            </w:pPr>
            <w:r w:rsidRPr="74846B25">
              <w:rPr>
                <w:rFonts w:ascii="Verdana" w:hAnsi="Verdana"/>
              </w:rPr>
              <w:lastRenderedPageBreak/>
              <w:t>05</w:t>
            </w:r>
          </w:p>
        </w:tc>
        <w:tc>
          <w:tcPr>
            <w:tcW w:w="2895" w:type="dxa"/>
          </w:tcPr>
          <w:p w14:paraId="550CC775" w14:textId="77777777" w:rsidR="00FA0B31" w:rsidRPr="007E3D9B" w:rsidRDefault="74846B25" w:rsidP="74846B25">
            <w:pPr>
              <w:spacing w:after="0" w:line="240" w:lineRule="auto"/>
              <w:rPr>
                <w:rFonts w:ascii="Verdana" w:hAnsi="Verdana"/>
              </w:rPr>
            </w:pPr>
            <w:r w:rsidRPr="74846B25">
              <w:rPr>
                <w:rFonts w:ascii="Verdana" w:hAnsi="Verdana"/>
              </w:rPr>
              <w:t>Shares- Common Stocks</w:t>
            </w:r>
          </w:p>
        </w:tc>
        <w:tc>
          <w:tcPr>
            <w:tcW w:w="4500" w:type="dxa"/>
          </w:tcPr>
          <w:p w14:paraId="6257D1B9" w14:textId="77777777" w:rsidR="00FA0B31" w:rsidRPr="007E3D9B" w:rsidRDefault="74846B25" w:rsidP="74846B25">
            <w:pPr>
              <w:spacing w:after="0" w:line="240" w:lineRule="auto"/>
              <w:jc w:val="both"/>
              <w:rPr>
                <w:rFonts w:ascii="Verdana" w:hAnsi="Verdana"/>
              </w:rPr>
            </w:pPr>
            <w:r w:rsidRPr="74846B25">
              <w:rPr>
                <w:rFonts w:ascii="Verdana" w:hAnsi="Verdana"/>
              </w:rPr>
              <w:t>Shares-Common Stocks consist of investment in two company:</w:t>
            </w:r>
          </w:p>
          <w:p w14:paraId="44E96F99" w14:textId="77777777" w:rsidR="00690A65" w:rsidRPr="007E3D9B" w:rsidRDefault="74846B25" w:rsidP="74846B25">
            <w:pPr>
              <w:pStyle w:val="ListParagraph"/>
              <w:numPr>
                <w:ilvl w:val="0"/>
                <w:numId w:val="35"/>
              </w:numPr>
              <w:spacing w:after="0" w:line="240" w:lineRule="auto"/>
              <w:jc w:val="both"/>
              <w:rPr>
                <w:rFonts w:ascii="Verdana" w:hAnsi="Verdana"/>
              </w:rPr>
            </w:pPr>
            <w:r w:rsidRPr="74846B25">
              <w:rPr>
                <w:rFonts w:ascii="Verdana" w:hAnsi="Verdana"/>
              </w:rPr>
              <w:t>Padma Oil Company Limited</w:t>
            </w:r>
          </w:p>
          <w:p w14:paraId="6797E78A" w14:textId="77777777" w:rsidR="00690A65" w:rsidRPr="007E3D9B" w:rsidRDefault="74846B25" w:rsidP="74846B25">
            <w:pPr>
              <w:pStyle w:val="ListParagraph"/>
              <w:numPr>
                <w:ilvl w:val="0"/>
                <w:numId w:val="35"/>
              </w:numPr>
              <w:spacing w:after="0" w:line="240" w:lineRule="auto"/>
              <w:jc w:val="both"/>
              <w:rPr>
                <w:rFonts w:ascii="Verdana" w:hAnsi="Verdana"/>
              </w:rPr>
            </w:pPr>
            <w:r w:rsidRPr="74846B25">
              <w:rPr>
                <w:rFonts w:ascii="Verdana" w:hAnsi="Verdana"/>
              </w:rPr>
              <w:t>ACI Limited</w:t>
            </w:r>
          </w:p>
        </w:tc>
        <w:tc>
          <w:tcPr>
            <w:tcW w:w="1368" w:type="dxa"/>
          </w:tcPr>
          <w:p w14:paraId="203839E7" w14:textId="77777777" w:rsidR="00FA0B31" w:rsidRPr="007E3D9B" w:rsidRDefault="74846B25" w:rsidP="74846B25">
            <w:pPr>
              <w:spacing w:after="0" w:line="240" w:lineRule="auto"/>
              <w:jc w:val="both"/>
              <w:rPr>
                <w:rFonts w:ascii="Verdana" w:hAnsi="Verdana"/>
              </w:rPr>
            </w:pPr>
            <w:r w:rsidRPr="74846B25">
              <w:rPr>
                <w:rFonts w:ascii="Verdana" w:hAnsi="Verdana"/>
              </w:rPr>
              <w:t>No change</w:t>
            </w:r>
          </w:p>
        </w:tc>
      </w:tr>
    </w:tbl>
    <w:p w14:paraId="0E27B00A" w14:textId="77777777" w:rsidR="00D70126" w:rsidRPr="007E3D9B" w:rsidRDefault="00D70126" w:rsidP="00690A65">
      <w:pPr>
        <w:spacing w:after="0" w:line="240" w:lineRule="auto"/>
        <w:jc w:val="both"/>
        <w:rPr>
          <w:rFonts w:ascii="Verdana" w:hAnsi="Verdana"/>
        </w:rPr>
      </w:pPr>
    </w:p>
    <w:p w14:paraId="15F0D304" w14:textId="77777777" w:rsidR="00286E3E" w:rsidRPr="007E3D9B" w:rsidRDefault="74846B25" w:rsidP="74846B25">
      <w:pPr>
        <w:spacing w:after="0" w:line="240" w:lineRule="auto"/>
        <w:jc w:val="both"/>
        <w:rPr>
          <w:rFonts w:ascii="Verdana" w:hAnsi="Verdana"/>
        </w:rPr>
      </w:pPr>
      <w:r w:rsidRPr="74846B25">
        <w:rPr>
          <w:rFonts w:ascii="Verdana" w:hAnsi="Verdana"/>
        </w:rPr>
        <w:t>MetLife has their internal policies and procedures regarding investment which are:</w:t>
      </w:r>
    </w:p>
    <w:p w14:paraId="5E6A2C28" w14:textId="77777777" w:rsidR="00286E3E" w:rsidRPr="007E3D9B" w:rsidRDefault="74846B25" w:rsidP="74846B25">
      <w:pPr>
        <w:pStyle w:val="ListParagraph"/>
        <w:numPr>
          <w:ilvl w:val="0"/>
          <w:numId w:val="36"/>
        </w:numPr>
        <w:spacing w:after="0" w:line="240" w:lineRule="auto"/>
        <w:jc w:val="both"/>
        <w:rPr>
          <w:rFonts w:ascii="Verdana" w:hAnsi="Verdana"/>
        </w:rPr>
      </w:pPr>
      <w:r w:rsidRPr="74846B25">
        <w:rPr>
          <w:rFonts w:ascii="Verdana" w:hAnsi="Verdana"/>
        </w:rPr>
        <w:t>Bangladesh Asset Liability Management (ALM) SOP;</w:t>
      </w:r>
    </w:p>
    <w:p w14:paraId="052C7B8C" w14:textId="77777777" w:rsidR="00286E3E" w:rsidRPr="007E3D9B" w:rsidRDefault="74846B25" w:rsidP="74846B25">
      <w:pPr>
        <w:pStyle w:val="ListParagraph"/>
        <w:numPr>
          <w:ilvl w:val="0"/>
          <w:numId w:val="36"/>
        </w:numPr>
        <w:spacing w:after="0" w:line="240" w:lineRule="auto"/>
        <w:jc w:val="both"/>
        <w:rPr>
          <w:rFonts w:ascii="Verdana" w:hAnsi="Verdana"/>
        </w:rPr>
      </w:pPr>
      <w:r w:rsidRPr="74846B25">
        <w:rPr>
          <w:rFonts w:ascii="Verdana" w:hAnsi="Verdana"/>
        </w:rPr>
        <w:t>ALM 2019 Investment Guidelines (Yearly);</w:t>
      </w:r>
    </w:p>
    <w:p w14:paraId="5ADD2EF2" w14:textId="77777777" w:rsidR="00BE3DB3" w:rsidRPr="007E3D9B" w:rsidRDefault="74846B25" w:rsidP="74846B25">
      <w:pPr>
        <w:pStyle w:val="ListParagraph"/>
        <w:numPr>
          <w:ilvl w:val="0"/>
          <w:numId w:val="36"/>
        </w:numPr>
        <w:spacing w:after="0" w:line="240" w:lineRule="auto"/>
        <w:jc w:val="both"/>
        <w:rPr>
          <w:rFonts w:ascii="Verdana" w:hAnsi="Verdana"/>
        </w:rPr>
      </w:pPr>
      <w:r w:rsidRPr="74846B25">
        <w:rPr>
          <w:rFonts w:ascii="Verdana" w:hAnsi="Verdana"/>
        </w:rPr>
        <w:t>Investment Committee Charter;</w:t>
      </w:r>
    </w:p>
    <w:p w14:paraId="6832CDF1" w14:textId="77777777" w:rsidR="00816776" w:rsidRPr="007E3D9B" w:rsidRDefault="74846B25" w:rsidP="74846B25">
      <w:pPr>
        <w:pStyle w:val="ListParagraph"/>
        <w:numPr>
          <w:ilvl w:val="0"/>
          <w:numId w:val="36"/>
        </w:numPr>
        <w:spacing w:after="0" w:line="240" w:lineRule="auto"/>
        <w:jc w:val="both"/>
        <w:rPr>
          <w:rFonts w:ascii="Verdana" w:hAnsi="Verdana"/>
        </w:rPr>
      </w:pPr>
      <w:r w:rsidRPr="74846B25">
        <w:rPr>
          <w:rFonts w:ascii="Verdana" w:hAnsi="Verdana"/>
        </w:rPr>
        <w:t>Investment Committee Meeting.</w:t>
      </w:r>
    </w:p>
    <w:p w14:paraId="60061E4C" w14:textId="77777777" w:rsidR="00286E3E" w:rsidRPr="007E3D9B" w:rsidRDefault="00286E3E" w:rsidP="00286E3E">
      <w:pPr>
        <w:spacing w:after="0" w:line="240" w:lineRule="auto"/>
        <w:jc w:val="both"/>
        <w:rPr>
          <w:rFonts w:ascii="Verdana" w:hAnsi="Verdana"/>
        </w:rPr>
      </w:pPr>
    </w:p>
    <w:p w14:paraId="6B7FAE28" w14:textId="77777777" w:rsidR="00400DC3" w:rsidRPr="007E3D9B" w:rsidRDefault="74846B25" w:rsidP="74846B25">
      <w:pPr>
        <w:spacing w:after="0" w:line="240" w:lineRule="auto"/>
        <w:jc w:val="both"/>
        <w:rPr>
          <w:rFonts w:ascii="Verdana" w:hAnsi="Verdana"/>
        </w:rPr>
      </w:pPr>
      <w:r w:rsidRPr="74846B25">
        <w:rPr>
          <w:rFonts w:ascii="Verdana" w:hAnsi="Verdana"/>
          <w:b/>
          <w:bCs/>
        </w:rPr>
        <w:t>Bangladesh ALM SOP:</w:t>
      </w:r>
      <w:r w:rsidRPr="74846B25">
        <w:rPr>
          <w:rFonts w:ascii="Verdana" w:hAnsi="Verdana"/>
        </w:rPr>
        <w:t xml:space="preserve"> ALM SOP used for the governance of Asset Liability Management (ALM) for MetLife Bangladesh which is established in accordance with MetLife Enterprise ALM Charter to manage asset-liability risks within acceptable tolerance. ALM SOP is used for day to day operation and reporting of investment.</w:t>
      </w:r>
    </w:p>
    <w:p w14:paraId="44EAFD9C" w14:textId="77777777" w:rsidR="00400DC3" w:rsidRPr="007E3D9B" w:rsidRDefault="00400DC3" w:rsidP="00286E3E">
      <w:pPr>
        <w:spacing w:after="0" w:line="240" w:lineRule="auto"/>
        <w:jc w:val="both"/>
        <w:rPr>
          <w:rFonts w:ascii="Verdana" w:hAnsi="Verdana"/>
          <w:b/>
        </w:rPr>
      </w:pPr>
    </w:p>
    <w:p w14:paraId="33FE4D14" w14:textId="77777777" w:rsidR="00816776" w:rsidRPr="007E3D9B" w:rsidRDefault="74846B25" w:rsidP="74846B25">
      <w:pPr>
        <w:spacing w:after="0" w:line="240" w:lineRule="auto"/>
        <w:jc w:val="both"/>
        <w:rPr>
          <w:rFonts w:ascii="Verdana" w:hAnsi="Verdana"/>
        </w:rPr>
      </w:pPr>
      <w:r w:rsidRPr="74846B25">
        <w:rPr>
          <w:rFonts w:ascii="Verdana" w:hAnsi="Verdana"/>
          <w:b/>
          <w:bCs/>
        </w:rPr>
        <w:t xml:space="preserve">ALM Investment Guidelines (Yearly): </w:t>
      </w:r>
      <w:r w:rsidRPr="74846B25">
        <w:rPr>
          <w:rFonts w:ascii="Verdana" w:hAnsi="Verdana"/>
        </w:rPr>
        <w:t>The ALM Investment Guidelines Comprises of the targets and bands for both asset durations and allocations. The proposed ALM Investment Guidelines are submitted by the local Investment team annually to MetLife Asia ALM Working Group and MetLife Asia ALM Committee for review and approval. Once approved, the ALM Investment Guidelines are followed by Investment team to manage day to day Investment of the country. Besides, Investment Compliance Department produces a compliance report every month to raise flags/alerts if the approved ALM Investment Guideline is violated in any way.</w:t>
      </w:r>
    </w:p>
    <w:p w14:paraId="4B94D5A5" w14:textId="77777777" w:rsidR="00F36692" w:rsidRPr="007E3D9B" w:rsidRDefault="00F36692" w:rsidP="00F36692">
      <w:pPr>
        <w:spacing w:after="0" w:line="240" w:lineRule="auto"/>
        <w:jc w:val="both"/>
        <w:rPr>
          <w:rFonts w:ascii="Verdana" w:hAnsi="Verdana"/>
        </w:rPr>
      </w:pPr>
    </w:p>
    <w:p w14:paraId="0222FB4A" w14:textId="77777777" w:rsidR="00CF5A9F" w:rsidRPr="007E3D9B" w:rsidRDefault="74846B25" w:rsidP="74846B25">
      <w:pPr>
        <w:spacing w:after="0" w:line="240" w:lineRule="auto"/>
        <w:jc w:val="both"/>
        <w:rPr>
          <w:rFonts w:ascii="Verdana" w:hAnsi="Verdana"/>
        </w:rPr>
      </w:pPr>
      <w:r w:rsidRPr="74846B25">
        <w:rPr>
          <w:rFonts w:ascii="Verdana" w:hAnsi="Verdana"/>
          <w:b/>
          <w:bCs/>
        </w:rPr>
        <w:t>Investment Committee Charter:</w:t>
      </w:r>
      <w:r w:rsidRPr="74846B25">
        <w:rPr>
          <w:rFonts w:ascii="Verdana" w:hAnsi="Verdana"/>
        </w:rPr>
        <w:t xml:space="preserve"> MetLife has an Investment Committee Charter established by the management of the Company for overseeing investment portfolio, suggesting investment decisions, suggesting securities for investment, monitoring the financial institutions and monitoring quarterly results and providing directives if required. The investment management process includes determination of investible cash, approval of securities, entry of trades in Blackrock-Aladdin, reconciliation of investment sub system PAM and validation &amp; posting of investment journals in People Soft’s ledger.</w:t>
      </w:r>
    </w:p>
    <w:p w14:paraId="3DEEC669" w14:textId="77777777" w:rsidR="00CF5A9F" w:rsidRPr="007E3D9B" w:rsidRDefault="00CF5A9F" w:rsidP="00CF5A9F">
      <w:pPr>
        <w:spacing w:after="0" w:line="240" w:lineRule="auto"/>
        <w:jc w:val="both"/>
        <w:rPr>
          <w:rFonts w:ascii="Verdana" w:hAnsi="Verdana"/>
          <w:b/>
        </w:rPr>
      </w:pPr>
    </w:p>
    <w:p w14:paraId="1523FD5F" w14:textId="77777777" w:rsidR="00CF5A9F" w:rsidRPr="007E3D9B" w:rsidRDefault="74846B25" w:rsidP="74846B25">
      <w:pPr>
        <w:spacing w:after="0" w:line="240" w:lineRule="auto"/>
        <w:jc w:val="both"/>
        <w:rPr>
          <w:rFonts w:ascii="Verdana" w:hAnsi="Verdana"/>
        </w:rPr>
      </w:pPr>
      <w:r w:rsidRPr="74846B25">
        <w:rPr>
          <w:rFonts w:ascii="Verdana" w:hAnsi="Verdana"/>
          <w:b/>
          <w:bCs/>
        </w:rPr>
        <w:t xml:space="preserve">Investment Committee Meeting: </w:t>
      </w:r>
      <w:r w:rsidRPr="74846B25">
        <w:rPr>
          <w:rFonts w:ascii="Verdana" w:hAnsi="Verdana"/>
        </w:rPr>
        <w:t xml:space="preserve">The Investment Committee Meeting is a platform to discuss and see the ALM’s activities are in line with the approved ALM Investment Guidelines. According to the Investment Committee Charter, Investment Committee Meeting is held four times a year or more if required. </w:t>
      </w:r>
    </w:p>
    <w:p w14:paraId="3656B9AB" w14:textId="77777777" w:rsidR="00CF5A9F" w:rsidRPr="007E3D9B" w:rsidRDefault="00CF5A9F" w:rsidP="00F36692">
      <w:pPr>
        <w:spacing w:after="0" w:line="240" w:lineRule="auto"/>
        <w:jc w:val="both"/>
        <w:rPr>
          <w:rFonts w:ascii="Verdana" w:hAnsi="Verdana"/>
        </w:rPr>
      </w:pPr>
    </w:p>
    <w:p w14:paraId="58B2F2A3" w14:textId="77777777" w:rsidR="00F36692" w:rsidRPr="007E3D9B" w:rsidRDefault="74846B25" w:rsidP="74846B25">
      <w:pPr>
        <w:spacing w:after="0" w:line="240" w:lineRule="auto"/>
        <w:jc w:val="both"/>
        <w:rPr>
          <w:rFonts w:ascii="Verdana" w:hAnsi="Verdana"/>
        </w:rPr>
      </w:pPr>
      <w:r w:rsidRPr="74846B25">
        <w:rPr>
          <w:rFonts w:ascii="Verdana" w:hAnsi="Verdana"/>
        </w:rPr>
        <w:t>Bangladesh Investment Committee consists of the following members:</w:t>
      </w:r>
    </w:p>
    <w:p w14:paraId="45FB0818" w14:textId="77777777" w:rsidR="00F36692" w:rsidRPr="007E3D9B" w:rsidRDefault="00F36692" w:rsidP="00F36692">
      <w:pPr>
        <w:spacing w:after="0" w:line="240" w:lineRule="auto"/>
        <w:jc w:val="both"/>
        <w:rPr>
          <w:rFonts w:ascii="Verdana" w:hAnsi="Verdana"/>
        </w:rPr>
      </w:pPr>
    </w:p>
    <w:tbl>
      <w:tblPr>
        <w:tblStyle w:val="TableGrid"/>
        <w:tblW w:w="0" w:type="auto"/>
        <w:tblInd w:w="108" w:type="dxa"/>
        <w:tblLook w:val="04A0" w:firstRow="1" w:lastRow="0" w:firstColumn="1" w:lastColumn="0" w:noHBand="0" w:noVBand="1"/>
      </w:tblPr>
      <w:tblGrid>
        <w:gridCol w:w="704"/>
        <w:gridCol w:w="2375"/>
        <w:gridCol w:w="2829"/>
        <w:gridCol w:w="1560"/>
        <w:gridCol w:w="1774"/>
      </w:tblGrid>
      <w:tr w:rsidR="00E55076" w:rsidRPr="007E3D9B" w14:paraId="41EA4015" w14:textId="77777777" w:rsidTr="74846B25">
        <w:tc>
          <w:tcPr>
            <w:tcW w:w="704" w:type="dxa"/>
            <w:tcBorders>
              <w:right w:val="single" w:sz="4" w:space="0" w:color="FFFFFF" w:themeColor="background1"/>
            </w:tcBorders>
            <w:shd w:val="clear" w:color="auto" w:fill="000000" w:themeFill="text1"/>
            <w:vAlign w:val="center"/>
          </w:tcPr>
          <w:p w14:paraId="3412440D" w14:textId="77777777" w:rsidR="006A7DC9" w:rsidRPr="007E3D9B" w:rsidRDefault="74846B25" w:rsidP="74846B25">
            <w:pPr>
              <w:spacing w:after="0" w:line="240" w:lineRule="auto"/>
              <w:jc w:val="center"/>
              <w:rPr>
                <w:rFonts w:ascii="Verdana" w:hAnsi="Verdana"/>
                <w:b/>
                <w:bCs/>
                <w:color w:val="FFFFFF" w:themeColor="background1"/>
              </w:rPr>
            </w:pPr>
            <w:r w:rsidRPr="74846B25">
              <w:rPr>
                <w:rFonts w:ascii="Verdana" w:hAnsi="Verdana"/>
                <w:b/>
                <w:bCs/>
                <w:color w:val="FFFFFF" w:themeColor="background1"/>
              </w:rPr>
              <w:t>SL#</w:t>
            </w:r>
          </w:p>
        </w:tc>
        <w:tc>
          <w:tcPr>
            <w:tcW w:w="2463" w:type="dxa"/>
            <w:tcBorders>
              <w:left w:val="single" w:sz="4" w:space="0" w:color="FFFFFF" w:themeColor="background1"/>
              <w:right w:val="single" w:sz="4" w:space="0" w:color="FFFFFF" w:themeColor="background1"/>
            </w:tcBorders>
            <w:shd w:val="clear" w:color="auto" w:fill="000000" w:themeFill="text1"/>
            <w:vAlign w:val="center"/>
          </w:tcPr>
          <w:p w14:paraId="7C5F01FB" w14:textId="77777777" w:rsidR="006A7DC9" w:rsidRPr="007E3D9B" w:rsidRDefault="74846B25" w:rsidP="74846B25">
            <w:pPr>
              <w:spacing w:after="0" w:line="240" w:lineRule="auto"/>
              <w:jc w:val="center"/>
              <w:rPr>
                <w:rFonts w:ascii="Verdana" w:hAnsi="Verdana"/>
                <w:b/>
                <w:bCs/>
                <w:color w:val="FFFFFF" w:themeColor="background1"/>
              </w:rPr>
            </w:pPr>
            <w:r w:rsidRPr="74846B25">
              <w:rPr>
                <w:rFonts w:ascii="Verdana" w:hAnsi="Verdana"/>
                <w:b/>
                <w:bCs/>
                <w:color w:val="FFFFFF" w:themeColor="background1"/>
              </w:rPr>
              <w:t>Name of members</w:t>
            </w:r>
          </w:p>
        </w:tc>
        <w:tc>
          <w:tcPr>
            <w:tcW w:w="2940" w:type="dxa"/>
            <w:tcBorders>
              <w:left w:val="single" w:sz="4" w:space="0" w:color="FFFFFF" w:themeColor="background1"/>
              <w:right w:val="single" w:sz="4" w:space="0" w:color="FFFFFF" w:themeColor="background1"/>
            </w:tcBorders>
            <w:shd w:val="clear" w:color="auto" w:fill="000000" w:themeFill="text1"/>
            <w:vAlign w:val="center"/>
          </w:tcPr>
          <w:p w14:paraId="1F989B48" w14:textId="77777777" w:rsidR="006A7DC9" w:rsidRPr="007E3D9B" w:rsidRDefault="74846B25" w:rsidP="74846B25">
            <w:pPr>
              <w:spacing w:after="0" w:line="240" w:lineRule="auto"/>
              <w:jc w:val="center"/>
              <w:rPr>
                <w:rFonts w:ascii="Verdana" w:hAnsi="Verdana"/>
                <w:b/>
                <w:bCs/>
                <w:color w:val="FFFFFF" w:themeColor="background1"/>
              </w:rPr>
            </w:pPr>
            <w:r w:rsidRPr="74846B25">
              <w:rPr>
                <w:rFonts w:ascii="Verdana" w:hAnsi="Verdana"/>
                <w:b/>
                <w:bCs/>
                <w:color w:val="FFFFFF" w:themeColor="background1"/>
              </w:rPr>
              <w:t>Designation</w:t>
            </w:r>
          </w:p>
        </w:tc>
        <w:tc>
          <w:tcPr>
            <w:tcW w:w="1560" w:type="dxa"/>
            <w:tcBorders>
              <w:left w:val="single" w:sz="4" w:space="0" w:color="FFFFFF" w:themeColor="background1"/>
              <w:right w:val="single" w:sz="4" w:space="0" w:color="FFFFFF" w:themeColor="background1"/>
            </w:tcBorders>
            <w:shd w:val="clear" w:color="auto" w:fill="000000" w:themeFill="text1"/>
            <w:vAlign w:val="center"/>
          </w:tcPr>
          <w:p w14:paraId="4E0803B7" w14:textId="77777777" w:rsidR="006A7DC9" w:rsidRPr="007E3D9B" w:rsidRDefault="74846B25" w:rsidP="74846B25">
            <w:pPr>
              <w:spacing w:after="0" w:line="240" w:lineRule="auto"/>
              <w:jc w:val="center"/>
              <w:rPr>
                <w:rFonts w:ascii="Verdana" w:hAnsi="Verdana"/>
                <w:b/>
                <w:bCs/>
                <w:color w:val="FFFFFF" w:themeColor="background1"/>
              </w:rPr>
            </w:pPr>
            <w:r w:rsidRPr="74846B25">
              <w:rPr>
                <w:rFonts w:ascii="Verdana" w:hAnsi="Verdana"/>
                <w:b/>
                <w:bCs/>
                <w:color w:val="FFFFFF" w:themeColor="background1"/>
              </w:rPr>
              <w:t>Position in the Committee</w:t>
            </w:r>
          </w:p>
        </w:tc>
        <w:tc>
          <w:tcPr>
            <w:tcW w:w="1801" w:type="dxa"/>
            <w:tcBorders>
              <w:left w:val="single" w:sz="4" w:space="0" w:color="FFFFFF" w:themeColor="background1"/>
            </w:tcBorders>
            <w:shd w:val="clear" w:color="auto" w:fill="000000" w:themeFill="text1"/>
            <w:vAlign w:val="center"/>
          </w:tcPr>
          <w:p w14:paraId="66E6B5DB" w14:textId="77777777" w:rsidR="006A7DC9" w:rsidRPr="007E3D9B" w:rsidRDefault="74846B25" w:rsidP="74846B25">
            <w:pPr>
              <w:spacing w:after="0" w:line="240" w:lineRule="auto"/>
              <w:jc w:val="center"/>
              <w:rPr>
                <w:rFonts w:ascii="Verdana" w:hAnsi="Verdana"/>
                <w:b/>
                <w:bCs/>
                <w:color w:val="FFFFFF" w:themeColor="background1"/>
              </w:rPr>
            </w:pPr>
            <w:r w:rsidRPr="74846B25">
              <w:rPr>
                <w:rFonts w:ascii="Verdana" w:hAnsi="Verdana"/>
                <w:b/>
                <w:bCs/>
                <w:color w:val="FFFFFF" w:themeColor="background1"/>
              </w:rPr>
              <w:t>Remarks</w:t>
            </w:r>
          </w:p>
        </w:tc>
      </w:tr>
      <w:tr w:rsidR="00E55076" w:rsidRPr="007E3D9B" w14:paraId="4F17F6F0" w14:textId="77777777" w:rsidTr="74846B25">
        <w:tc>
          <w:tcPr>
            <w:tcW w:w="704" w:type="dxa"/>
          </w:tcPr>
          <w:p w14:paraId="4E900DBB" w14:textId="77777777" w:rsidR="00E55076" w:rsidRPr="007E3D9B" w:rsidRDefault="74846B25" w:rsidP="74846B25">
            <w:pPr>
              <w:spacing w:after="0" w:line="240" w:lineRule="auto"/>
              <w:jc w:val="center"/>
              <w:rPr>
                <w:rFonts w:ascii="Verdana" w:hAnsi="Verdana"/>
              </w:rPr>
            </w:pPr>
            <w:r w:rsidRPr="74846B25">
              <w:rPr>
                <w:rFonts w:ascii="Verdana" w:hAnsi="Verdana"/>
              </w:rPr>
              <w:t>01</w:t>
            </w:r>
          </w:p>
        </w:tc>
        <w:tc>
          <w:tcPr>
            <w:tcW w:w="2463" w:type="dxa"/>
          </w:tcPr>
          <w:p w14:paraId="23C1236A" w14:textId="77777777" w:rsidR="00E55076" w:rsidRPr="007E3D9B" w:rsidRDefault="74846B25" w:rsidP="74846B25">
            <w:pPr>
              <w:spacing w:after="0" w:line="240" w:lineRule="auto"/>
              <w:jc w:val="both"/>
              <w:rPr>
                <w:rFonts w:ascii="Verdana" w:hAnsi="Verdana"/>
              </w:rPr>
            </w:pPr>
            <w:r w:rsidRPr="74846B25">
              <w:rPr>
                <w:rFonts w:ascii="Verdana" w:hAnsi="Verdana"/>
              </w:rPr>
              <w:t>Sayed Hammadul Karim</w:t>
            </w:r>
          </w:p>
        </w:tc>
        <w:tc>
          <w:tcPr>
            <w:tcW w:w="2940" w:type="dxa"/>
          </w:tcPr>
          <w:p w14:paraId="0AC221E8" w14:textId="77777777" w:rsidR="00E55076" w:rsidRPr="007E3D9B" w:rsidRDefault="74846B25" w:rsidP="74846B25">
            <w:pPr>
              <w:spacing w:after="0" w:line="240" w:lineRule="auto"/>
              <w:jc w:val="both"/>
              <w:rPr>
                <w:rFonts w:ascii="Verdana" w:hAnsi="Verdana"/>
              </w:rPr>
            </w:pPr>
            <w:r w:rsidRPr="74846B25">
              <w:rPr>
                <w:rFonts w:ascii="Verdana" w:hAnsi="Verdana"/>
              </w:rPr>
              <w:t>General Manager</w:t>
            </w:r>
          </w:p>
        </w:tc>
        <w:tc>
          <w:tcPr>
            <w:tcW w:w="1560" w:type="dxa"/>
          </w:tcPr>
          <w:p w14:paraId="6BF8B8C9" w14:textId="77777777" w:rsidR="00E55076" w:rsidRPr="007E3D9B" w:rsidRDefault="74846B25" w:rsidP="74846B25">
            <w:pPr>
              <w:spacing w:after="0" w:line="240" w:lineRule="auto"/>
              <w:jc w:val="both"/>
              <w:rPr>
                <w:rFonts w:ascii="Verdana" w:hAnsi="Verdana"/>
              </w:rPr>
            </w:pPr>
            <w:r w:rsidRPr="74846B25">
              <w:rPr>
                <w:rFonts w:ascii="Verdana" w:hAnsi="Verdana"/>
              </w:rPr>
              <w:t>Chairman</w:t>
            </w:r>
          </w:p>
        </w:tc>
        <w:tc>
          <w:tcPr>
            <w:tcW w:w="1801" w:type="dxa"/>
            <w:vMerge w:val="restart"/>
          </w:tcPr>
          <w:p w14:paraId="4B71BAE0" w14:textId="77777777" w:rsidR="00E55076" w:rsidRPr="007E3D9B" w:rsidRDefault="74846B25" w:rsidP="74846B25">
            <w:pPr>
              <w:spacing w:after="0" w:line="240" w:lineRule="auto"/>
              <w:jc w:val="both"/>
              <w:rPr>
                <w:rFonts w:ascii="Verdana" w:hAnsi="Verdana"/>
              </w:rPr>
            </w:pPr>
            <w:r w:rsidRPr="74846B25">
              <w:rPr>
                <w:rFonts w:ascii="Verdana" w:hAnsi="Verdana"/>
              </w:rPr>
              <w:t xml:space="preserve">In the absence of </w:t>
            </w:r>
            <w:r w:rsidRPr="74846B25">
              <w:rPr>
                <w:rFonts w:ascii="Verdana" w:hAnsi="Verdana"/>
              </w:rPr>
              <w:lastRenderedPageBreak/>
              <w:t>the Chairman, his delegate shall act as Chairman of the Committee.</w:t>
            </w:r>
          </w:p>
        </w:tc>
      </w:tr>
      <w:tr w:rsidR="00E55076" w:rsidRPr="007E3D9B" w14:paraId="3279D6AB" w14:textId="77777777" w:rsidTr="74846B25">
        <w:tc>
          <w:tcPr>
            <w:tcW w:w="704" w:type="dxa"/>
          </w:tcPr>
          <w:p w14:paraId="6313ED96" w14:textId="77777777" w:rsidR="00E55076" w:rsidRPr="007E3D9B" w:rsidRDefault="74846B25" w:rsidP="74846B25">
            <w:pPr>
              <w:spacing w:after="0" w:line="240" w:lineRule="auto"/>
              <w:jc w:val="center"/>
              <w:rPr>
                <w:rFonts w:ascii="Verdana" w:hAnsi="Verdana"/>
              </w:rPr>
            </w:pPr>
            <w:r w:rsidRPr="74846B25">
              <w:rPr>
                <w:rFonts w:ascii="Verdana" w:hAnsi="Verdana"/>
              </w:rPr>
              <w:lastRenderedPageBreak/>
              <w:t>02</w:t>
            </w:r>
          </w:p>
        </w:tc>
        <w:tc>
          <w:tcPr>
            <w:tcW w:w="2463" w:type="dxa"/>
          </w:tcPr>
          <w:p w14:paraId="0C02B289" w14:textId="77777777" w:rsidR="00E55076" w:rsidRPr="007E3D9B" w:rsidRDefault="74846B25" w:rsidP="74846B25">
            <w:pPr>
              <w:spacing w:after="0" w:line="240" w:lineRule="auto"/>
              <w:jc w:val="both"/>
              <w:rPr>
                <w:rFonts w:ascii="Verdana" w:hAnsi="Verdana"/>
              </w:rPr>
            </w:pPr>
            <w:r w:rsidRPr="74846B25">
              <w:rPr>
                <w:rFonts w:ascii="Verdana" w:hAnsi="Verdana"/>
              </w:rPr>
              <w:t>Ala Uddin</w:t>
            </w:r>
          </w:p>
        </w:tc>
        <w:tc>
          <w:tcPr>
            <w:tcW w:w="2940" w:type="dxa"/>
          </w:tcPr>
          <w:p w14:paraId="2BDA001E" w14:textId="77777777" w:rsidR="00E55076" w:rsidRPr="007E3D9B" w:rsidRDefault="74846B25" w:rsidP="74846B25">
            <w:pPr>
              <w:spacing w:after="0" w:line="240" w:lineRule="auto"/>
              <w:jc w:val="both"/>
              <w:rPr>
                <w:rFonts w:ascii="Verdana" w:hAnsi="Verdana"/>
              </w:rPr>
            </w:pPr>
            <w:r w:rsidRPr="74846B25">
              <w:rPr>
                <w:rFonts w:ascii="Verdana" w:hAnsi="Verdana"/>
              </w:rPr>
              <w:t>CFO</w:t>
            </w:r>
          </w:p>
        </w:tc>
        <w:tc>
          <w:tcPr>
            <w:tcW w:w="1560" w:type="dxa"/>
          </w:tcPr>
          <w:p w14:paraId="3328898C" w14:textId="77777777" w:rsidR="00E55076" w:rsidRPr="007E3D9B" w:rsidRDefault="74846B25" w:rsidP="74846B25">
            <w:pPr>
              <w:spacing w:after="0" w:line="240" w:lineRule="auto"/>
              <w:jc w:val="both"/>
              <w:rPr>
                <w:rFonts w:ascii="Verdana" w:hAnsi="Verdana"/>
              </w:rPr>
            </w:pPr>
            <w:r w:rsidRPr="74846B25">
              <w:rPr>
                <w:rFonts w:ascii="Verdana" w:hAnsi="Verdana"/>
              </w:rPr>
              <w:t>Member</w:t>
            </w:r>
          </w:p>
        </w:tc>
        <w:tc>
          <w:tcPr>
            <w:tcW w:w="1801" w:type="dxa"/>
            <w:vMerge/>
          </w:tcPr>
          <w:p w14:paraId="049F31CB" w14:textId="77777777" w:rsidR="00E55076" w:rsidRPr="007E3D9B" w:rsidRDefault="00E55076" w:rsidP="00F36692">
            <w:pPr>
              <w:spacing w:after="0" w:line="240" w:lineRule="auto"/>
              <w:jc w:val="both"/>
              <w:rPr>
                <w:rFonts w:ascii="Verdana" w:hAnsi="Verdana"/>
              </w:rPr>
            </w:pPr>
          </w:p>
        </w:tc>
      </w:tr>
      <w:tr w:rsidR="00E55076" w:rsidRPr="007E3D9B" w14:paraId="2240D70E" w14:textId="77777777" w:rsidTr="74846B25">
        <w:tc>
          <w:tcPr>
            <w:tcW w:w="704" w:type="dxa"/>
          </w:tcPr>
          <w:p w14:paraId="72133D01" w14:textId="77777777" w:rsidR="00E55076" w:rsidRPr="007E3D9B" w:rsidRDefault="74846B25" w:rsidP="74846B25">
            <w:pPr>
              <w:spacing w:after="0" w:line="240" w:lineRule="auto"/>
              <w:jc w:val="center"/>
              <w:rPr>
                <w:rFonts w:ascii="Verdana" w:hAnsi="Verdana"/>
              </w:rPr>
            </w:pPr>
            <w:r w:rsidRPr="74846B25">
              <w:rPr>
                <w:rFonts w:ascii="Verdana" w:hAnsi="Verdana"/>
              </w:rPr>
              <w:t>03</w:t>
            </w:r>
          </w:p>
        </w:tc>
        <w:tc>
          <w:tcPr>
            <w:tcW w:w="2463" w:type="dxa"/>
          </w:tcPr>
          <w:p w14:paraId="04507761" w14:textId="77777777" w:rsidR="00E55076" w:rsidRPr="007E3D9B" w:rsidRDefault="74846B25" w:rsidP="74846B25">
            <w:pPr>
              <w:spacing w:after="0" w:line="240" w:lineRule="auto"/>
              <w:rPr>
                <w:rFonts w:ascii="Verdana" w:hAnsi="Verdana"/>
              </w:rPr>
            </w:pPr>
            <w:r w:rsidRPr="74846B25">
              <w:rPr>
                <w:rFonts w:ascii="Verdana" w:hAnsi="Verdana"/>
              </w:rPr>
              <w:t>Mohammad Redwanur Rahman</w:t>
            </w:r>
          </w:p>
        </w:tc>
        <w:tc>
          <w:tcPr>
            <w:tcW w:w="2940" w:type="dxa"/>
          </w:tcPr>
          <w:p w14:paraId="4C6264A7" w14:textId="77777777" w:rsidR="00E55076" w:rsidRPr="007E3D9B" w:rsidRDefault="74846B25" w:rsidP="74846B25">
            <w:pPr>
              <w:spacing w:after="0" w:line="240" w:lineRule="auto"/>
              <w:jc w:val="both"/>
              <w:rPr>
                <w:rFonts w:ascii="Verdana" w:hAnsi="Verdana"/>
              </w:rPr>
            </w:pPr>
            <w:r w:rsidRPr="74846B25">
              <w:rPr>
                <w:rFonts w:ascii="Verdana" w:hAnsi="Verdana"/>
              </w:rPr>
              <w:t>Financial Controller</w:t>
            </w:r>
          </w:p>
        </w:tc>
        <w:tc>
          <w:tcPr>
            <w:tcW w:w="1560" w:type="dxa"/>
          </w:tcPr>
          <w:p w14:paraId="1B52F35B" w14:textId="77777777" w:rsidR="00E55076" w:rsidRPr="007E3D9B" w:rsidRDefault="74846B25" w:rsidP="74846B25">
            <w:pPr>
              <w:rPr>
                <w:rFonts w:ascii="Verdana" w:hAnsi="Verdana"/>
              </w:rPr>
            </w:pPr>
            <w:r w:rsidRPr="74846B25">
              <w:rPr>
                <w:rFonts w:ascii="Verdana" w:hAnsi="Verdana"/>
              </w:rPr>
              <w:t>Member</w:t>
            </w:r>
          </w:p>
        </w:tc>
        <w:tc>
          <w:tcPr>
            <w:tcW w:w="1801" w:type="dxa"/>
            <w:vMerge/>
          </w:tcPr>
          <w:p w14:paraId="53128261" w14:textId="77777777" w:rsidR="00E55076" w:rsidRPr="007E3D9B" w:rsidRDefault="00E55076" w:rsidP="00E55076">
            <w:pPr>
              <w:spacing w:after="0" w:line="240" w:lineRule="auto"/>
              <w:jc w:val="both"/>
              <w:rPr>
                <w:rFonts w:ascii="Verdana" w:hAnsi="Verdana"/>
              </w:rPr>
            </w:pPr>
          </w:p>
        </w:tc>
      </w:tr>
      <w:tr w:rsidR="00E55076" w:rsidRPr="007E3D9B" w14:paraId="3B069230" w14:textId="77777777" w:rsidTr="74846B25">
        <w:tc>
          <w:tcPr>
            <w:tcW w:w="704" w:type="dxa"/>
          </w:tcPr>
          <w:p w14:paraId="165A9EEF" w14:textId="77777777" w:rsidR="00E55076" w:rsidRPr="007E3D9B" w:rsidRDefault="74846B25" w:rsidP="74846B25">
            <w:pPr>
              <w:spacing w:after="0" w:line="240" w:lineRule="auto"/>
              <w:jc w:val="center"/>
              <w:rPr>
                <w:rFonts w:ascii="Verdana" w:hAnsi="Verdana"/>
              </w:rPr>
            </w:pPr>
            <w:r w:rsidRPr="74846B25">
              <w:rPr>
                <w:rFonts w:ascii="Verdana" w:hAnsi="Verdana"/>
              </w:rPr>
              <w:t>04</w:t>
            </w:r>
          </w:p>
        </w:tc>
        <w:tc>
          <w:tcPr>
            <w:tcW w:w="2463" w:type="dxa"/>
          </w:tcPr>
          <w:p w14:paraId="0E05646D" w14:textId="77777777" w:rsidR="00E55076" w:rsidRPr="007E3D9B" w:rsidRDefault="74846B25" w:rsidP="74846B25">
            <w:pPr>
              <w:spacing w:after="0" w:line="240" w:lineRule="auto"/>
              <w:jc w:val="both"/>
              <w:rPr>
                <w:rFonts w:ascii="Verdana" w:hAnsi="Verdana"/>
              </w:rPr>
            </w:pPr>
            <w:r w:rsidRPr="74846B25">
              <w:rPr>
                <w:rFonts w:ascii="Verdana" w:hAnsi="Verdana"/>
              </w:rPr>
              <w:t>Michel Ch Wong</w:t>
            </w:r>
          </w:p>
        </w:tc>
        <w:tc>
          <w:tcPr>
            <w:tcW w:w="2940" w:type="dxa"/>
          </w:tcPr>
          <w:p w14:paraId="4EFAC223" w14:textId="77777777" w:rsidR="00E55076" w:rsidRPr="007E3D9B" w:rsidRDefault="74846B25" w:rsidP="74846B25">
            <w:pPr>
              <w:spacing w:after="0" w:line="240" w:lineRule="auto"/>
              <w:jc w:val="both"/>
              <w:rPr>
                <w:rFonts w:ascii="Verdana" w:hAnsi="Verdana"/>
              </w:rPr>
            </w:pPr>
            <w:r w:rsidRPr="74846B25">
              <w:rPr>
                <w:rFonts w:ascii="Verdana" w:hAnsi="Verdana"/>
              </w:rPr>
              <w:t>Assistant Director, Portfolio Management, Asia</w:t>
            </w:r>
          </w:p>
        </w:tc>
        <w:tc>
          <w:tcPr>
            <w:tcW w:w="1560" w:type="dxa"/>
          </w:tcPr>
          <w:p w14:paraId="0633955F" w14:textId="77777777" w:rsidR="00E55076" w:rsidRPr="007E3D9B" w:rsidRDefault="74846B25" w:rsidP="74846B25">
            <w:pPr>
              <w:rPr>
                <w:rFonts w:ascii="Verdana" w:hAnsi="Verdana"/>
              </w:rPr>
            </w:pPr>
            <w:r w:rsidRPr="74846B25">
              <w:rPr>
                <w:rFonts w:ascii="Verdana" w:hAnsi="Verdana"/>
              </w:rPr>
              <w:t>Member</w:t>
            </w:r>
          </w:p>
        </w:tc>
        <w:tc>
          <w:tcPr>
            <w:tcW w:w="1801" w:type="dxa"/>
            <w:vMerge/>
          </w:tcPr>
          <w:p w14:paraId="62486C05" w14:textId="77777777" w:rsidR="00E55076" w:rsidRPr="007E3D9B" w:rsidRDefault="00E55076" w:rsidP="00E55076">
            <w:pPr>
              <w:spacing w:after="0" w:line="240" w:lineRule="auto"/>
              <w:jc w:val="both"/>
              <w:rPr>
                <w:rFonts w:ascii="Verdana" w:hAnsi="Verdana"/>
              </w:rPr>
            </w:pPr>
          </w:p>
        </w:tc>
      </w:tr>
      <w:tr w:rsidR="00E55076" w:rsidRPr="007E3D9B" w14:paraId="654EB1A5" w14:textId="77777777" w:rsidTr="74846B25">
        <w:tc>
          <w:tcPr>
            <w:tcW w:w="704" w:type="dxa"/>
          </w:tcPr>
          <w:p w14:paraId="693050C1" w14:textId="77777777" w:rsidR="00E55076" w:rsidRPr="007E3D9B" w:rsidRDefault="74846B25" w:rsidP="74846B25">
            <w:pPr>
              <w:spacing w:after="0" w:line="240" w:lineRule="auto"/>
              <w:jc w:val="center"/>
              <w:rPr>
                <w:rFonts w:ascii="Verdana" w:hAnsi="Verdana"/>
              </w:rPr>
            </w:pPr>
            <w:r w:rsidRPr="74846B25">
              <w:rPr>
                <w:rFonts w:ascii="Verdana" w:hAnsi="Verdana"/>
              </w:rPr>
              <w:t>05</w:t>
            </w:r>
          </w:p>
        </w:tc>
        <w:tc>
          <w:tcPr>
            <w:tcW w:w="2463" w:type="dxa"/>
          </w:tcPr>
          <w:p w14:paraId="60BC88C6" w14:textId="77777777" w:rsidR="00E55076" w:rsidRPr="007E3D9B" w:rsidRDefault="74846B25" w:rsidP="74846B25">
            <w:pPr>
              <w:spacing w:after="0" w:line="240" w:lineRule="auto"/>
              <w:jc w:val="both"/>
              <w:rPr>
                <w:rFonts w:ascii="Verdana" w:hAnsi="Verdana"/>
              </w:rPr>
            </w:pPr>
            <w:r w:rsidRPr="74846B25">
              <w:rPr>
                <w:rFonts w:ascii="Verdana" w:hAnsi="Verdana"/>
              </w:rPr>
              <w:t>Cherilyn Sun</w:t>
            </w:r>
          </w:p>
        </w:tc>
        <w:tc>
          <w:tcPr>
            <w:tcW w:w="2940" w:type="dxa"/>
          </w:tcPr>
          <w:p w14:paraId="664F7C5A" w14:textId="77777777" w:rsidR="00E55076" w:rsidRPr="007E3D9B" w:rsidRDefault="74846B25" w:rsidP="74846B25">
            <w:pPr>
              <w:spacing w:after="0" w:line="240" w:lineRule="auto"/>
              <w:jc w:val="both"/>
              <w:rPr>
                <w:rFonts w:ascii="Verdana" w:hAnsi="Verdana"/>
              </w:rPr>
            </w:pPr>
            <w:r w:rsidRPr="74846B25">
              <w:rPr>
                <w:rFonts w:ascii="Verdana" w:hAnsi="Verdana"/>
              </w:rPr>
              <w:t>Vice-President (VP), Portfolio Management, Asia</w:t>
            </w:r>
          </w:p>
        </w:tc>
        <w:tc>
          <w:tcPr>
            <w:tcW w:w="1560" w:type="dxa"/>
          </w:tcPr>
          <w:p w14:paraId="343119C1" w14:textId="77777777" w:rsidR="00E55076" w:rsidRPr="007E3D9B" w:rsidRDefault="74846B25" w:rsidP="74846B25">
            <w:pPr>
              <w:rPr>
                <w:rFonts w:ascii="Verdana" w:hAnsi="Verdana"/>
              </w:rPr>
            </w:pPr>
            <w:r w:rsidRPr="74846B25">
              <w:rPr>
                <w:rFonts w:ascii="Verdana" w:hAnsi="Verdana"/>
              </w:rPr>
              <w:t>Member</w:t>
            </w:r>
          </w:p>
        </w:tc>
        <w:tc>
          <w:tcPr>
            <w:tcW w:w="1801" w:type="dxa"/>
            <w:vMerge/>
          </w:tcPr>
          <w:p w14:paraId="4101652C" w14:textId="77777777" w:rsidR="00E55076" w:rsidRPr="007E3D9B" w:rsidRDefault="00E55076" w:rsidP="00E55076">
            <w:pPr>
              <w:spacing w:after="0" w:line="240" w:lineRule="auto"/>
              <w:jc w:val="both"/>
              <w:rPr>
                <w:rFonts w:ascii="Verdana" w:hAnsi="Verdana"/>
              </w:rPr>
            </w:pPr>
          </w:p>
        </w:tc>
      </w:tr>
      <w:tr w:rsidR="00E55076" w:rsidRPr="007E3D9B" w14:paraId="25EEC319" w14:textId="77777777" w:rsidTr="74846B25">
        <w:tc>
          <w:tcPr>
            <w:tcW w:w="704" w:type="dxa"/>
          </w:tcPr>
          <w:p w14:paraId="71931EE1" w14:textId="77777777" w:rsidR="00E55076" w:rsidRPr="007E3D9B" w:rsidRDefault="74846B25" w:rsidP="74846B25">
            <w:pPr>
              <w:spacing w:after="0" w:line="240" w:lineRule="auto"/>
              <w:jc w:val="center"/>
              <w:rPr>
                <w:rFonts w:ascii="Verdana" w:hAnsi="Verdana"/>
              </w:rPr>
            </w:pPr>
            <w:r w:rsidRPr="74846B25">
              <w:rPr>
                <w:rFonts w:ascii="Verdana" w:hAnsi="Verdana"/>
              </w:rPr>
              <w:t>06</w:t>
            </w:r>
          </w:p>
        </w:tc>
        <w:tc>
          <w:tcPr>
            <w:tcW w:w="2463" w:type="dxa"/>
          </w:tcPr>
          <w:p w14:paraId="18330C2E" w14:textId="77777777" w:rsidR="00E55076" w:rsidRPr="007E3D9B" w:rsidRDefault="74846B25" w:rsidP="74846B25">
            <w:pPr>
              <w:spacing w:after="0" w:line="240" w:lineRule="auto"/>
              <w:jc w:val="both"/>
              <w:rPr>
                <w:rFonts w:ascii="Verdana" w:hAnsi="Verdana"/>
              </w:rPr>
            </w:pPr>
            <w:r w:rsidRPr="74846B25">
              <w:rPr>
                <w:rFonts w:ascii="Verdana" w:hAnsi="Verdana"/>
              </w:rPr>
              <w:t>Moinul Hye Asif</w:t>
            </w:r>
          </w:p>
        </w:tc>
        <w:tc>
          <w:tcPr>
            <w:tcW w:w="2940" w:type="dxa"/>
          </w:tcPr>
          <w:p w14:paraId="6F6FF90A" w14:textId="77777777" w:rsidR="00E55076" w:rsidRPr="007E3D9B" w:rsidRDefault="74846B25" w:rsidP="74846B25">
            <w:pPr>
              <w:spacing w:after="0" w:line="240" w:lineRule="auto"/>
              <w:jc w:val="both"/>
              <w:rPr>
                <w:rFonts w:ascii="Verdana" w:hAnsi="Verdana"/>
              </w:rPr>
            </w:pPr>
            <w:r w:rsidRPr="74846B25">
              <w:rPr>
                <w:rFonts w:ascii="Verdana" w:hAnsi="Verdana"/>
              </w:rPr>
              <w:t>Senior Manager &amp; Head of Risk</w:t>
            </w:r>
          </w:p>
        </w:tc>
        <w:tc>
          <w:tcPr>
            <w:tcW w:w="1560" w:type="dxa"/>
          </w:tcPr>
          <w:p w14:paraId="64A4B73F" w14:textId="77777777" w:rsidR="00E55076" w:rsidRPr="007E3D9B" w:rsidRDefault="74846B25" w:rsidP="74846B25">
            <w:pPr>
              <w:rPr>
                <w:rFonts w:ascii="Verdana" w:hAnsi="Verdana"/>
              </w:rPr>
            </w:pPr>
            <w:r w:rsidRPr="74846B25">
              <w:rPr>
                <w:rFonts w:ascii="Verdana" w:hAnsi="Verdana"/>
              </w:rPr>
              <w:t>Member</w:t>
            </w:r>
          </w:p>
        </w:tc>
        <w:tc>
          <w:tcPr>
            <w:tcW w:w="1801" w:type="dxa"/>
            <w:vMerge/>
          </w:tcPr>
          <w:p w14:paraId="4B99056E" w14:textId="77777777" w:rsidR="00E55076" w:rsidRPr="007E3D9B" w:rsidRDefault="00E55076" w:rsidP="00E55076">
            <w:pPr>
              <w:spacing w:after="0" w:line="240" w:lineRule="auto"/>
              <w:jc w:val="both"/>
              <w:rPr>
                <w:rFonts w:ascii="Verdana" w:hAnsi="Verdana"/>
              </w:rPr>
            </w:pPr>
          </w:p>
        </w:tc>
      </w:tr>
      <w:tr w:rsidR="00E55076" w:rsidRPr="007E3D9B" w14:paraId="4C089391" w14:textId="77777777" w:rsidTr="74846B25">
        <w:tc>
          <w:tcPr>
            <w:tcW w:w="704" w:type="dxa"/>
          </w:tcPr>
          <w:p w14:paraId="05988CCC" w14:textId="77777777" w:rsidR="00E55076" w:rsidRPr="007E3D9B" w:rsidRDefault="74846B25" w:rsidP="74846B25">
            <w:pPr>
              <w:spacing w:after="0" w:line="240" w:lineRule="auto"/>
              <w:jc w:val="center"/>
              <w:rPr>
                <w:rFonts w:ascii="Verdana" w:hAnsi="Verdana"/>
              </w:rPr>
            </w:pPr>
            <w:r w:rsidRPr="74846B25">
              <w:rPr>
                <w:rFonts w:ascii="Verdana" w:hAnsi="Verdana"/>
              </w:rPr>
              <w:t>07</w:t>
            </w:r>
          </w:p>
        </w:tc>
        <w:tc>
          <w:tcPr>
            <w:tcW w:w="2463" w:type="dxa"/>
          </w:tcPr>
          <w:p w14:paraId="28B880F6" w14:textId="77777777" w:rsidR="00E55076" w:rsidRPr="007E3D9B" w:rsidRDefault="74846B25" w:rsidP="74846B25">
            <w:pPr>
              <w:spacing w:after="0" w:line="240" w:lineRule="auto"/>
              <w:jc w:val="both"/>
              <w:rPr>
                <w:rFonts w:ascii="Verdana" w:hAnsi="Verdana"/>
              </w:rPr>
            </w:pPr>
            <w:r w:rsidRPr="74846B25">
              <w:rPr>
                <w:rFonts w:ascii="Verdana" w:hAnsi="Verdana"/>
              </w:rPr>
              <w:t>Md. Imran Shikdar</w:t>
            </w:r>
          </w:p>
        </w:tc>
        <w:tc>
          <w:tcPr>
            <w:tcW w:w="2940" w:type="dxa"/>
          </w:tcPr>
          <w:p w14:paraId="3E501036" w14:textId="77777777" w:rsidR="00E55076" w:rsidRPr="007E3D9B" w:rsidRDefault="74846B25" w:rsidP="74846B25">
            <w:pPr>
              <w:spacing w:after="0" w:line="240" w:lineRule="auto"/>
              <w:jc w:val="both"/>
              <w:rPr>
                <w:rFonts w:ascii="Verdana" w:hAnsi="Verdana"/>
              </w:rPr>
            </w:pPr>
            <w:r w:rsidRPr="74846B25">
              <w:rPr>
                <w:rFonts w:ascii="Verdana" w:hAnsi="Verdana"/>
              </w:rPr>
              <w:t>Manager, Finance</w:t>
            </w:r>
          </w:p>
        </w:tc>
        <w:tc>
          <w:tcPr>
            <w:tcW w:w="1560" w:type="dxa"/>
          </w:tcPr>
          <w:p w14:paraId="71C8599C" w14:textId="77777777" w:rsidR="00E55076" w:rsidRPr="007E3D9B" w:rsidRDefault="74846B25" w:rsidP="74846B25">
            <w:pPr>
              <w:rPr>
                <w:rFonts w:ascii="Verdana" w:hAnsi="Verdana"/>
              </w:rPr>
            </w:pPr>
            <w:r w:rsidRPr="74846B25">
              <w:rPr>
                <w:rFonts w:ascii="Verdana" w:hAnsi="Verdana"/>
              </w:rPr>
              <w:t>Member Secretary</w:t>
            </w:r>
          </w:p>
        </w:tc>
        <w:tc>
          <w:tcPr>
            <w:tcW w:w="1801" w:type="dxa"/>
            <w:vMerge/>
          </w:tcPr>
          <w:p w14:paraId="1299C43A" w14:textId="77777777" w:rsidR="00E55076" w:rsidRPr="007E3D9B" w:rsidRDefault="00E55076" w:rsidP="00E55076">
            <w:pPr>
              <w:spacing w:after="0" w:line="240" w:lineRule="auto"/>
              <w:jc w:val="both"/>
              <w:rPr>
                <w:rFonts w:ascii="Verdana" w:hAnsi="Verdana"/>
              </w:rPr>
            </w:pPr>
          </w:p>
        </w:tc>
      </w:tr>
    </w:tbl>
    <w:p w14:paraId="4DDBEF00" w14:textId="77777777" w:rsidR="00E25F70" w:rsidRPr="007E3D9B" w:rsidRDefault="00E25F70" w:rsidP="009F213A">
      <w:pPr>
        <w:spacing w:after="0" w:line="240" w:lineRule="auto"/>
        <w:jc w:val="both"/>
        <w:rPr>
          <w:rFonts w:ascii="Verdana" w:hAnsi="Verdana"/>
        </w:rPr>
      </w:pPr>
    </w:p>
    <w:p w14:paraId="5F6ABDA8" w14:textId="77777777" w:rsidR="00F2644E" w:rsidRPr="007E3D9B" w:rsidRDefault="74846B25" w:rsidP="74846B25">
      <w:pPr>
        <w:spacing w:after="0" w:line="240" w:lineRule="auto"/>
        <w:jc w:val="both"/>
        <w:rPr>
          <w:rFonts w:ascii="Verdana" w:hAnsi="Verdana"/>
          <w:b/>
          <w:bCs/>
        </w:rPr>
      </w:pPr>
      <w:r w:rsidRPr="74846B25">
        <w:rPr>
          <w:rFonts w:ascii="Verdana" w:hAnsi="Verdana"/>
        </w:rPr>
        <w:t>As there is no change incurred for Statutory Deposit, Investment Corporation of Bangladesh Unit Certificate and Shares- Common Stocks. We note down the process of Fixed Deposit (FDR or Takaful) and Government Treasury Bond.</w:t>
      </w:r>
    </w:p>
    <w:p w14:paraId="3461D779" w14:textId="77777777" w:rsidR="00F2644E" w:rsidRPr="007E3D9B" w:rsidRDefault="00F2644E" w:rsidP="00F2644E">
      <w:pPr>
        <w:pStyle w:val="ListParagraph"/>
        <w:spacing w:after="0" w:line="240" w:lineRule="auto"/>
        <w:jc w:val="both"/>
        <w:rPr>
          <w:rFonts w:ascii="Verdana" w:hAnsi="Verdana"/>
          <w:b/>
        </w:rPr>
      </w:pPr>
    </w:p>
    <w:p w14:paraId="2634773A" w14:textId="77777777" w:rsidR="00E25F70" w:rsidRPr="007E3D9B" w:rsidRDefault="74846B25" w:rsidP="74846B25">
      <w:pPr>
        <w:pStyle w:val="ListParagraph"/>
        <w:numPr>
          <w:ilvl w:val="0"/>
          <w:numId w:val="38"/>
        </w:numPr>
        <w:spacing w:after="0" w:line="240" w:lineRule="auto"/>
        <w:ind w:left="360"/>
        <w:jc w:val="both"/>
        <w:rPr>
          <w:rFonts w:ascii="Verdana" w:hAnsi="Verdana"/>
          <w:b/>
          <w:bCs/>
        </w:rPr>
      </w:pPr>
      <w:r w:rsidRPr="74846B25">
        <w:rPr>
          <w:rFonts w:ascii="Verdana" w:hAnsi="Verdana"/>
          <w:b/>
          <w:bCs/>
        </w:rPr>
        <w:t xml:space="preserve">Fixed Deposits with Banks: </w:t>
      </w:r>
      <w:r w:rsidRPr="74846B25">
        <w:rPr>
          <w:rFonts w:ascii="Verdana" w:hAnsi="Verdana"/>
        </w:rPr>
        <w:t>Fixed Deposit (FDR and Takaful) with Banks consist of following three categories:</w:t>
      </w:r>
    </w:p>
    <w:p w14:paraId="3CF2D8B6" w14:textId="77777777" w:rsidR="00E25F70" w:rsidRPr="007E3D9B" w:rsidRDefault="00E25F70" w:rsidP="00E25F70">
      <w:pPr>
        <w:pStyle w:val="ListParagraph"/>
        <w:spacing w:after="0" w:line="240" w:lineRule="auto"/>
        <w:ind w:left="360"/>
        <w:jc w:val="both"/>
        <w:rPr>
          <w:rFonts w:ascii="Verdana" w:hAnsi="Verdana"/>
          <w:b/>
        </w:rPr>
      </w:pPr>
    </w:p>
    <w:p w14:paraId="07A609E8" w14:textId="77777777" w:rsidR="00400F12" w:rsidRPr="007E3D9B" w:rsidRDefault="74846B25" w:rsidP="74846B25">
      <w:pPr>
        <w:pStyle w:val="ListParagraph"/>
        <w:numPr>
          <w:ilvl w:val="0"/>
          <w:numId w:val="41"/>
        </w:numPr>
        <w:spacing w:after="0" w:line="240" w:lineRule="auto"/>
        <w:jc w:val="both"/>
        <w:rPr>
          <w:rFonts w:ascii="Verdana" w:hAnsi="Verdana"/>
        </w:rPr>
      </w:pPr>
      <w:r w:rsidRPr="74846B25">
        <w:rPr>
          <w:rFonts w:ascii="Verdana" w:hAnsi="Verdana"/>
        </w:rPr>
        <w:t>Long term (More than 1 year)</w:t>
      </w:r>
    </w:p>
    <w:p w14:paraId="6FADF393" w14:textId="77777777" w:rsidR="00400F12" w:rsidRPr="007E3D9B" w:rsidRDefault="74846B25" w:rsidP="74846B25">
      <w:pPr>
        <w:pStyle w:val="ListParagraph"/>
        <w:numPr>
          <w:ilvl w:val="0"/>
          <w:numId w:val="41"/>
        </w:numPr>
        <w:spacing w:after="0" w:line="240" w:lineRule="auto"/>
        <w:jc w:val="both"/>
        <w:rPr>
          <w:rFonts w:ascii="Verdana" w:hAnsi="Verdana"/>
        </w:rPr>
      </w:pPr>
      <w:r w:rsidRPr="74846B25">
        <w:rPr>
          <w:rFonts w:ascii="Verdana" w:hAnsi="Verdana"/>
        </w:rPr>
        <w:t>Short term (Up to 1 year)</w:t>
      </w:r>
    </w:p>
    <w:p w14:paraId="1D323DE5" w14:textId="77777777" w:rsidR="00400F12" w:rsidRPr="007E3D9B" w:rsidRDefault="74846B25" w:rsidP="74846B25">
      <w:pPr>
        <w:pStyle w:val="ListParagraph"/>
        <w:numPr>
          <w:ilvl w:val="0"/>
          <w:numId w:val="41"/>
        </w:numPr>
        <w:spacing w:after="0" w:line="240" w:lineRule="auto"/>
        <w:jc w:val="both"/>
        <w:rPr>
          <w:rFonts w:ascii="Verdana" w:hAnsi="Verdana"/>
        </w:rPr>
      </w:pPr>
      <w:r w:rsidRPr="74846B25">
        <w:rPr>
          <w:rFonts w:ascii="Verdana" w:hAnsi="Verdana"/>
        </w:rPr>
        <w:t>Takaful Deposits (Islamic)</w:t>
      </w:r>
    </w:p>
    <w:p w14:paraId="0FB78278" w14:textId="77777777" w:rsidR="00400F12" w:rsidRPr="007E3D9B" w:rsidRDefault="00400F12" w:rsidP="00400F12">
      <w:pPr>
        <w:spacing w:after="0" w:line="240" w:lineRule="auto"/>
        <w:jc w:val="both"/>
        <w:rPr>
          <w:rFonts w:ascii="Verdana" w:hAnsi="Verdana"/>
        </w:rPr>
      </w:pPr>
    </w:p>
    <w:p w14:paraId="00C7FCC4" w14:textId="77777777" w:rsidR="00400F12" w:rsidRPr="007E3D9B" w:rsidRDefault="74846B25" w:rsidP="74846B25">
      <w:pPr>
        <w:spacing w:after="0" w:line="240" w:lineRule="auto"/>
        <w:ind w:left="90"/>
        <w:jc w:val="both"/>
        <w:rPr>
          <w:rFonts w:ascii="Verdana" w:hAnsi="Verdana"/>
        </w:rPr>
      </w:pPr>
      <w:r w:rsidRPr="74846B25">
        <w:rPr>
          <w:rFonts w:ascii="Verdana" w:hAnsi="Verdana"/>
        </w:rPr>
        <w:t>Investment process starts with the determination of investible cash amount. Investible cash amount is determined by the Investment Team based on ALM Investment Guidelines approved from Regional Investment Team yearly. Investment team consists of following two members:</w:t>
      </w:r>
    </w:p>
    <w:p w14:paraId="32690B85" w14:textId="77777777" w:rsidR="00400F12" w:rsidRPr="007E3D9B" w:rsidRDefault="74846B25" w:rsidP="74846B25">
      <w:pPr>
        <w:pStyle w:val="ListParagraph"/>
        <w:numPr>
          <w:ilvl w:val="0"/>
          <w:numId w:val="39"/>
        </w:numPr>
        <w:spacing w:after="0" w:line="240" w:lineRule="auto"/>
        <w:ind w:left="1080"/>
        <w:jc w:val="both"/>
        <w:rPr>
          <w:rFonts w:ascii="Verdana" w:hAnsi="Verdana"/>
        </w:rPr>
      </w:pPr>
      <w:r w:rsidRPr="74846B25">
        <w:rPr>
          <w:rFonts w:ascii="Verdana" w:hAnsi="Verdana"/>
        </w:rPr>
        <w:t>Mr. Md. Imran Shikdar, CFA, Manager-Finance (07 years working experience including 04 years in MetLife)</w:t>
      </w:r>
    </w:p>
    <w:p w14:paraId="1FD36BF1" w14:textId="77777777" w:rsidR="00400F12" w:rsidRPr="007E3D9B" w:rsidRDefault="74846B25" w:rsidP="74846B25">
      <w:pPr>
        <w:pStyle w:val="ListParagraph"/>
        <w:numPr>
          <w:ilvl w:val="0"/>
          <w:numId w:val="39"/>
        </w:numPr>
        <w:spacing w:after="0" w:line="240" w:lineRule="auto"/>
        <w:ind w:left="1080"/>
        <w:jc w:val="both"/>
        <w:rPr>
          <w:rFonts w:ascii="Verdana" w:hAnsi="Verdana"/>
        </w:rPr>
      </w:pPr>
      <w:r w:rsidRPr="74846B25">
        <w:rPr>
          <w:rFonts w:ascii="Verdana" w:hAnsi="Verdana"/>
        </w:rPr>
        <w:t>Mr. Earshad Ullah, Senior Executive-Finance (20 years working experience in MetLife)</w:t>
      </w:r>
    </w:p>
    <w:p w14:paraId="00CEE10F" w14:textId="77777777" w:rsidR="00B73170" w:rsidRPr="007E3D9B" w:rsidRDefault="74846B25" w:rsidP="74846B25">
      <w:pPr>
        <w:spacing w:after="0" w:line="240" w:lineRule="auto"/>
        <w:ind w:left="90"/>
        <w:jc w:val="both"/>
        <w:rPr>
          <w:rFonts w:ascii="Verdana" w:hAnsi="Verdana"/>
        </w:rPr>
      </w:pPr>
      <w:r w:rsidRPr="74846B25">
        <w:rPr>
          <w:rFonts w:ascii="Verdana" w:hAnsi="Verdana"/>
        </w:rPr>
        <w:t xml:space="preserve">After determining of investible amount they (Investment Team) gather information on terms and conditions of different banks such as interest rate, maturity period etc. Then the Investment Team discuss the matter with Chief Financial Officer (CFO) verbally. After that, CFO along with the Investment Team select the bank for investment based on favorable terms and conditions. </w:t>
      </w:r>
    </w:p>
    <w:p w14:paraId="1FC39945" w14:textId="77777777" w:rsidR="00E25F70" w:rsidRPr="007E3D9B" w:rsidRDefault="00E25F70" w:rsidP="00E25F70">
      <w:pPr>
        <w:spacing w:after="0" w:line="240" w:lineRule="auto"/>
        <w:ind w:left="90"/>
        <w:jc w:val="both"/>
        <w:rPr>
          <w:rFonts w:ascii="Verdana" w:hAnsi="Verdana"/>
        </w:rPr>
      </w:pPr>
    </w:p>
    <w:p w14:paraId="37064DE6" w14:textId="77777777" w:rsidR="00B73170" w:rsidRPr="007E3D9B" w:rsidRDefault="74846B25" w:rsidP="74846B25">
      <w:pPr>
        <w:spacing w:after="0" w:line="240" w:lineRule="auto"/>
        <w:ind w:left="90"/>
        <w:jc w:val="both"/>
        <w:rPr>
          <w:rFonts w:ascii="Verdana" w:hAnsi="Verdana"/>
        </w:rPr>
      </w:pPr>
      <w:r w:rsidRPr="74846B25">
        <w:rPr>
          <w:rFonts w:ascii="Verdana" w:hAnsi="Verdana"/>
        </w:rPr>
        <w:t>After finalizing the investment decision, Mr. Imran Shikdar, Manager-Finance send an email to CFO for approval. Then CFO forwards the email to General Manager – Bangladesh Branch for further approval. After getting approval from General Bangladesh investment is made on the selected bank.</w:t>
      </w:r>
    </w:p>
    <w:p w14:paraId="0562CB0E" w14:textId="77777777" w:rsidR="00B73170" w:rsidRPr="007E3D9B" w:rsidRDefault="00B73170" w:rsidP="00976399">
      <w:pPr>
        <w:spacing w:after="0" w:line="240" w:lineRule="auto"/>
        <w:ind w:left="360"/>
        <w:jc w:val="both"/>
        <w:rPr>
          <w:rFonts w:ascii="Verdana" w:hAnsi="Verdana"/>
        </w:rPr>
      </w:pPr>
    </w:p>
    <w:p w14:paraId="34CE0A41" w14:textId="77777777" w:rsidR="00E25F70" w:rsidRPr="007E3D9B" w:rsidRDefault="00E25F70" w:rsidP="00976399">
      <w:pPr>
        <w:spacing w:after="0" w:line="240" w:lineRule="auto"/>
        <w:ind w:left="360"/>
        <w:jc w:val="both"/>
        <w:rPr>
          <w:rFonts w:ascii="Verdana" w:hAnsi="Verdana"/>
        </w:rPr>
      </w:pPr>
    </w:p>
    <w:p w14:paraId="62EBF3C5" w14:textId="77777777" w:rsidR="00E25F70" w:rsidRPr="007E3D9B" w:rsidRDefault="00E25F70" w:rsidP="00976399">
      <w:pPr>
        <w:spacing w:after="0" w:line="240" w:lineRule="auto"/>
        <w:ind w:left="360"/>
        <w:jc w:val="both"/>
        <w:rPr>
          <w:rFonts w:ascii="Verdana" w:hAnsi="Verdana"/>
        </w:rPr>
      </w:pPr>
    </w:p>
    <w:p w14:paraId="6D98A12B" w14:textId="77777777" w:rsidR="00E25F70" w:rsidRPr="007E3D9B" w:rsidRDefault="00E25F70" w:rsidP="00976399">
      <w:pPr>
        <w:spacing w:after="0" w:line="240" w:lineRule="auto"/>
        <w:ind w:left="360"/>
        <w:jc w:val="both"/>
        <w:rPr>
          <w:rFonts w:ascii="Verdana" w:hAnsi="Verdana"/>
        </w:rPr>
      </w:pPr>
    </w:p>
    <w:p w14:paraId="2946DB82" w14:textId="77777777" w:rsidR="00E25F70" w:rsidRPr="007E3D9B" w:rsidRDefault="00E25F70" w:rsidP="00976399">
      <w:pPr>
        <w:spacing w:after="0" w:line="240" w:lineRule="auto"/>
        <w:ind w:left="360"/>
        <w:jc w:val="both"/>
        <w:rPr>
          <w:rFonts w:ascii="Verdana" w:hAnsi="Verdana"/>
        </w:rPr>
      </w:pPr>
    </w:p>
    <w:p w14:paraId="5997CC1D" w14:textId="77777777" w:rsidR="005A0A66" w:rsidRPr="007E3D9B" w:rsidRDefault="005A0A66" w:rsidP="00976399">
      <w:pPr>
        <w:spacing w:after="0" w:line="240" w:lineRule="auto"/>
        <w:ind w:left="360"/>
        <w:jc w:val="both"/>
        <w:rPr>
          <w:rFonts w:ascii="Verdana" w:hAnsi="Verdana"/>
        </w:rPr>
      </w:pPr>
    </w:p>
    <w:p w14:paraId="48203C45" w14:textId="77777777" w:rsidR="00E25F70" w:rsidRPr="007E3D9B" w:rsidRDefault="74846B25" w:rsidP="74846B25">
      <w:pPr>
        <w:spacing w:line="240" w:lineRule="auto"/>
        <w:ind w:left="90"/>
        <w:jc w:val="both"/>
        <w:rPr>
          <w:rFonts w:ascii="Verdana" w:hAnsi="Verdana"/>
          <w:b/>
          <w:bCs/>
        </w:rPr>
      </w:pPr>
      <w:r w:rsidRPr="74846B25">
        <w:rPr>
          <w:rFonts w:ascii="Verdana" w:hAnsi="Verdana"/>
          <w:b/>
          <w:bCs/>
        </w:rPr>
        <w:t>Accounting process:</w:t>
      </w:r>
    </w:p>
    <w:p w14:paraId="202672F0" w14:textId="77777777" w:rsidR="00884769" w:rsidRPr="007E3D9B" w:rsidRDefault="74846B25" w:rsidP="74846B25">
      <w:pPr>
        <w:spacing w:after="0" w:line="240" w:lineRule="auto"/>
        <w:ind w:left="90"/>
        <w:jc w:val="both"/>
        <w:rPr>
          <w:rFonts w:ascii="Verdana" w:hAnsi="Verdana"/>
        </w:rPr>
      </w:pPr>
      <w:r w:rsidRPr="74846B25">
        <w:rPr>
          <w:rFonts w:ascii="Verdana" w:hAnsi="Verdana"/>
        </w:rPr>
        <w:t>MetLife has one module for recording initial trading transaction of investment named Blackrock-Aladdin and a sub system named PAM for asset management which is connected with Blackrock-Aladdin. PAM is also linked with accounting software People Soft.</w:t>
      </w:r>
    </w:p>
    <w:p w14:paraId="110FFD37" w14:textId="77777777" w:rsidR="00884769" w:rsidRPr="007E3D9B" w:rsidRDefault="00884769" w:rsidP="00B73170">
      <w:pPr>
        <w:spacing w:after="0" w:line="240" w:lineRule="auto"/>
        <w:jc w:val="both"/>
        <w:rPr>
          <w:rFonts w:ascii="Verdana" w:hAnsi="Verdana"/>
        </w:rPr>
      </w:pPr>
    </w:p>
    <w:p w14:paraId="5F2C6F23" w14:textId="77777777" w:rsidR="00B73170" w:rsidRPr="007E3D9B" w:rsidRDefault="74846B25" w:rsidP="74846B25">
      <w:pPr>
        <w:spacing w:after="0" w:line="240" w:lineRule="auto"/>
        <w:ind w:left="90"/>
        <w:jc w:val="both"/>
        <w:rPr>
          <w:rFonts w:ascii="Verdana" w:hAnsi="Verdana"/>
        </w:rPr>
      </w:pPr>
      <w:r w:rsidRPr="74846B25">
        <w:rPr>
          <w:rFonts w:ascii="Verdana" w:hAnsi="Verdana"/>
        </w:rPr>
        <w:t>When investment is made on bank deposit (FDR or Takaful) an initial entry is recoded in the Blackrock-Aladdin by the local Investment Team. If the entry is made before 3.00 PM of the day, the entry is automatically transfer to another module PAM. If the entry is made after 3.00 PM of the day, the entry will automatically transfer to PAM on the next day. After getting transferred to PAM, the entry is automatically transfer to investment ledger of People Soft (Accounting Software).</w:t>
      </w:r>
    </w:p>
    <w:p w14:paraId="6B699379" w14:textId="77777777" w:rsidR="001D2227" w:rsidRPr="007E3D9B" w:rsidRDefault="001D2227" w:rsidP="00976399">
      <w:pPr>
        <w:spacing w:after="0" w:line="240" w:lineRule="auto"/>
        <w:ind w:left="360"/>
        <w:jc w:val="both"/>
        <w:rPr>
          <w:rFonts w:ascii="Verdana" w:hAnsi="Verdana"/>
        </w:rPr>
      </w:pPr>
    </w:p>
    <w:p w14:paraId="0B0E7AB1" w14:textId="77777777" w:rsidR="00884769" w:rsidRPr="007E3D9B" w:rsidRDefault="74846B25" w:rsidP="74846B25">
      <w:pPr>
        <w:spacing w:after="0" w:line="240" w:lineRule="auto"/>
        <w:ind w:left="360"/>
        <w:jc w:val="both"/>
        <w:rPr>
          <w:rFonts w:ascii="Verdana" w:hAnsi="Verdana"/>
        </w:rPr>
      </w:pPr>
      <w:r w:rsidRPr="74846B25">
        <w:rPr>
          <w:rFonts w:ascii="Verdana" w:hAnsi="Verdana"/>
        </w:rPr>
        <w:t>The initial trading entry recorded in Blackrock-Aladdin is:</w:t>
      </w:r>
    </w:p>
    <w:p w14:paraId="3FE9F23F" w14:textId="77777777" w:rsidR="00884769" w:rsidRPr="007E3D9B" w:rsidRDefault="00884769" w:rsidP="00976399">
      <w:pPr>
        <w:spacing w:after="0" w:line="240" w:lineRule="auto"/>
        <w:ind w:left="360"/>
        <w:jc w:val="both"/>
        <w:rPr>
          <w:rFonts w:ascii="Verdana" w:hAnsi="Verdana"/>
        </w:rPr>
      </w:pPr>
      <w:r w:rsidRPr="007E3D9B">
        <w:rPr>
          <w:rFonts w:ascii="Verdana" w:hAnsi="Verdana"/>
        </w:rPr>
        <w:tab/>
      </w:r>
    </w:p>
    <w:p w14:paraId="3E5E1483" w14:textId="77777777" w:rsidR="00884769" w:rsidRPr="007E3D9B" w:rsidRDefault="00241658" w:rsidP="74846B25">
      <w:pPr>
        <w:spacing w:after="0" w:line="240" w:lineRule="auto"/>
        <w:ind w:left="720"/>
        <w:jc w:val="both"/>
        <w:rPr>
          <w:rFonts w:ascii="Verdana" w:hAnsi="Verdana"/>
        </w:rPr>
      </w:pPr>
      <w:r>
        <w:rPr>
          <w:rFonts w:ascii="Verdana" w:hAnsi="Verdana"/>
        </w:rPr>
        <w:tab/>
        <w:t>Investment…………………………………..</w:t>
      </w:r>
      <w:r w:rsidR="00884769" w:rsidRPr="007E3D9B">
        <w:rPr>
          <w:rFonts w:ascii="Verdana" w:hAnsi="Verdana"/>
        </w:rPr>
        <w:t>……………………………………Dr.</w:t>
      </w:r>
    </w:p>
    <w:p w14:paraId="260D3C87" w14:textId="77777777" w:rsidR="00884769" w:rsidRPr="007E3D9B" w:rsidRDefault="00884769" w:rsidP="74846B25">
      <w:pPr>
        <w:spacing w:after="0" w:line="240" w:lineRule="auto"/>
        <w:ind w:left="720"/>
        <w:jc w:val="both"/>
        <w:rPr>
          <w:rFonts w:ascii="Verdana" w:hAnsi="Verdana"/>
        </w:rPr>
      </w:pPr>
      <w:r w:rsidRPr="007E3D9B">
        <w:rPr>
          <w:rFonts w:ascii="Verdana" w:hAnsi="Verdana"/>
        </w:rPr>
        <w:tab/>
        <w:t>Investment Suspense ……………………………………………………….Cr.</w:t>
      </w:r>
    </w:p>
    <w:p w14:paraId="1F72F646" w14:textId="77777777" w:rsidR="00400F12" w:rsidRPr="007E3D9B" w:rsidRDefault="00400F12" w:rsidP="00976399">
      <w:pPr>
        <w:spacing w:after="0" w:line="240" w:lineRule="auto"/>
        <w:ind w:left="360"/>
        <w:jc w:val="both"/>
        <w:rPr>
          <w:rFonts w:ascii="Verdana" w:hAnsi="Verdana"/>
          <w:b/>
        </w:rPr>
      </w:pPr>
    </w:p>
    <w:p w14:paraId="10875C84" w14:textId="77777777" w:rsidR="00400F12" w:rsidRPr="007E3D9B" w:rsidRDefault="74846B25" w:rsidP="74846B25">
      <w:pPr>
        <w:spacing w:after="0" w:line="240" w:lineRule="auto"/>
        <w:ind w:left="360"/>
        <w:jc w:val="both"/>
        <w:rPr>
          <w:rFonts w:ascii="Verdana" w:hAnsi="Verdana"/>
        </w:rPr>
      </w:pPr>
      <w:r w:rsidRPr="74846B25">
        <w:rPr>
          <w:rFonts w:ascii="Verdana" w:hAnsi="Verdana"/>
          <w:b/>
          <w:bCs/>
        </w:rPr>
        <w:t>Cash match entry</w:t>
      </w:r>
      <w:r w:rsidRPr="74846B25">
        <w:rPr>
          <w:rFonts w:ascii="Verdana" w:hAnsi="Verdana"/>
        </w:rPr>
        <w:t>: The following entry is manually posted to People Soft by US Securities Team after getting the Bank Statements from Bangladesh by every 10 days interval.</w:t>
      </w:r>
    </w:p>
    <w:p w14:paraId="08CE6F91" w14:textId="77777777" w:rsidR="001D2227" w:rsidRPr="007E3D9B" w:rsidRDefault="001D2227" w:rsidP="00395AA3">
      <w:pPr>
        <w:spacing w:after="0" w:line="240" w:lineRule="auto"/>
        <w:jc w:val="both"/>
        <w:rPr>
          <w:rFonts w:ascii="Verdana" w:hAnsi="Verdana"/>
          <w:b/>
        </w:rPr>
      </w:pPr>
    </w:p>
    <w:p w14:paraId="279B9000" w14:textId="77777777" w:rsidR="00400F12" w:rsidRDefault="74846B25" w:rsidP="74846B25">
      <w:pPr>
        <w:spacing w:after="0" w:line="240" w:lineRule="auto"/>
        <w:ind w:left="360" w:firstLine="720"/>
        <w:jc w:val="both"/>
        <w:rPr>
          <w:rFonts w:ascii="Verdana" w:hAnsi="Verdana"/>
        </w:rPr>
      </w:pPr>
      <w:r w:rsidRPr="74846B25">
        <w:rPr>
          <w:rFonts w:ascii="Verdana" w:hAnsi="Verdana"/>
        </w:rPr>
        <w:t>Investment Suspense……………………………………..Dr.</w:t>
      </w:r>
    </w:p>
    <w:p w14:paraId="0C1F46A5" w14:textId="77777777" w:rsidR="00FE4A7B" w:rsidRDefault="74846B25" w:rsidP="74846B25">
      <w:pPr>
        <w:spacing w:after="0" w:line="240" w:lineRule="auto"/>
        <w:ind w:left="360" w:firstLine="720"/>
        <w:jc w:val="both"/>
        <w:rPr>
          <w:rFonts w:ascii="Verdana" w:hAnsi="Verdana"/>
        </w:rPr>
      </w:pPr>
      <w:r w:rsidRPr="74846B25">
        <w:rPr>
          <w:rFonts w:ascii="Verdana" w:hAnsi="Verdana"/>
        </w:rPr>
        <w:t>Investment (Cash match suspense)……………….Cr.</w:t>
      </w:r>
    </w:p>
    <w:p w14:paraId="61CDCEAD" w14:textId="77777777" w:rsidR="00FE4A7B" w:rsidRDefault="00FE4A7B" w:rsidP="00976399">
      <w:pPr>
        <w:spacing w:after="0" w:line="240" w:lineRule="auto"/>
        <w:ind w:left="360" w:firstLine="720"/>
        <w:jc w:val="both"/>
        <w:rPr>
          <w:rFonts w:ascii="Verdana" w:hAnsi="Verdana"/>
        </w:rPr>
      </w:pPr>
    </w:p>
    <w:p w14:paraId="539EAB76" w14:textId="77777777" w:rsidR="009332AA" w:rsidRPr="007E3D9B" w:rsidRDefault="74846B25" w:rsidP="74846B25">
      <w:pPr>
        <w:spacing w:after="0" w:line="240" w:lineRule="auto"/>
        <w:ind w:left="360" w:firstLine="720"/>
        <w:jc w:val="both"/>
        <w:rPr>
          <w:rFonts w:ascii="Verdana" w:hAnsi="Verdana"/>
        </w:rPr>
      </w:pPr>
      <w:r w:rsidRPr="74846B25">
        <w:rPr>
          <w:rFonts w:ascii="Verdana" w:hAnsi="Verdana"/>
        </w:rPr>
        <w:t>Investment (Cash match suspense)……………….Dr.</w:t>
      </w:r>
    </w:p>
    <w:p w14:paraId="06A27EB5" w14:textId="77777777" w:rsidR="001D2227" w:rsidRPr="007E3D9B" w:rsidRDefault="74846B25" w:rsidP="74846B25">
      <w:pPr>
        <w:spacing w:after="0" w:line="240" w:lineRule="auto"/>
        <w:ind w:left="360" w:firstLine="720"/>
        <w:jc w:val="both"/>
        <w:rPr>
          <w:rFonts w:ascii="Verdana" w:hAnsi="Verdana"/>
          <w:b/>
          <w:bCs/>
        </w:rPr>
      </w:pPr>
      <w:r w:rsidRPr="74846B25">
        <w:rPr>
          <w:rFonts w:ascii="Verdana" w:hAnsi="Verdana"/>
        </w:rPr>
        <w:t>Bank …………………………………………………………………Cr.</w:t>
      </w:r>
    </w:p>
    <w:p w14:paraId="6BB9E253" w14:textId="77777777" w:rsidR="00400F12" w:rsidRPr="007E3D9B" w:rsidRDefault="00400F12" w:rsidP="00395AA3">
      <w:pPr>
        <w:spacing w:after="0" w:line="240" w:lineRule="auto"/>
        <w:jc w:val="both"/>
        <w:rPr>
          <w:rFonts w:ascii="Verdana" w:hAnsi="Verdana"/>
          <w:b/>
        </w:rPr>
      </w:pPr>
    </w:p>
    <w:p w14:paraId="23DE523C" w14:textId="77777777" w:rsidR="009703F6" w:rsidRPr="007E3D9B" w:rsidRDefault="009703F6" w:rsidP="00EE7947">
      <w:pPr>
        <w:spacing w:after="0" w:line="240" w:lineRule="auto"/>
        <w:ind w:left="90"/>
        <w:jc w:val="both"/>
        <w:rPr>
          <w:rFonts w:ascii="Verdana" w:hAnsi="Verdana"/>
        </w:rPr>
      </w:pPr>
    </w:p>
    <w:p w14:paraId="52E56223" w14:textId="77777777" w:rsidR="00867022" w:rsidRPr="007E3D9B" w:rsidRDefault="00867022" w:rsidP="00976399">
      <w:pPr>
        <w:spacing w:after="0" w:line="240" w:lineRule="auto"/>
        <w:ind w:left="720"/>
        <w:jc w:val="both"/>
        <w:rPr>
          <w:rFonts w:ascii="Verdana" w:hAnsi="Verdana"/>
        </w:rPr>
      </w:pPr>
    </w:p>
    <w:p w14:paraId="545F1C11" w14:textId="77777777" w:rsidR="00F81BA6" w:rsidRPr="007E3D9B" w:rsidRDefault="74846B25" w:rsidP="74846B25">
      <w:pPr>
        <w:spacing w:after="0" w:line="240" w:lineRule="auto"/>
        <w:ind w:left="90"/>
        <w:jc w:val="both"/>
        <w:rPr>
          <w:rFonts w:ascii="Verdana" w:hAnsi="Verdana"/>
        </w:rPr>
      </w:pPr>
      <w:r w:rsidRPr="74846B25">
        <w:rPr>
          <w:rFonts w:ascii="Verdana" w:hAnsi="Verdana"/>
          <w:b/>
          <w:bCs/>
        </w:rPr>
        <w:t>Maturity</w:t>
      </w:r>
      <w:r w:rsidRPr="74846B25">
        <w:rPr>
          <w:rFonts w:ascii="Verdana" w:hAnsi="Verdana"/>
        </w:rPr>
        <w:t>: When the fixed deposit being matured. The deposit is cashed from the bank. The following entry is made:</w:t>
      </w:r>
    </w:p>
    <w:p w14:paraId="07547A01" w14:textId="77777777" w:rsidR="00F81BA6" w:rsidRPr="007E3D9B" w:rsidRDefault="00F81BA6" w:rsidP="00976399">
      <w:pPr>
        <w:spacing w:after="0" w:line="240" w:lineRule="auto"/>
        <w:ind w:left="720"/>
        <w:jc w:val="both"/>
        <w:rPr>
          <w:rFonts w:ascii="Verdana" w:hAnsi="Verdana"/>
        </w:rPr>
      </w:pPr>
    </w:p>
    <w:p w14:paraId="71B8D99E" w14:textId="77777777" w:rsidR="00F81BA6" w:rsidRPr="007E3D9B" w:rsidRDefault="00F81BA6" w:rsidP="74846B25">
      <w:pPr>
        <w:spacing w:after="0" w:line="240" w:lineRule="auto"/>
        <w:ind w:left="720"/>
        <w:jc w:val="both"/>
        <w:rPr>
          <w:rFonts w:ascii="Verdana" w:hAnsi="Verdana"/>
        </w:rPr>
      </w:pPr>
      <w:r w:rsidRPr="007E3D9B">
        <w:rPr>
          <w:rFonts w:ascii="Verdana" w:hAnsi="Verdana"/>
        </w:rPr>
        <w:tab/>
      </w:r>
      <w:r w:rsidR="00EE7947" w:rsidRPr="007E3D9B">
        <w:rPr>
          <w:rFonts w:ascii="Verdana" w:hAnsi="Verdana"/>
        </w:rPr>
        <w:t xml:space="preserve">Investment </w:t>
      </w:r>
      <w:r w:rsidRPr="007E3D9B">
        <w:rPr>
          <w:rFonts w:ascii="Verdana" w:hAnsi="Verdana"/>
        </w:rPr>
        <w:t>Suspense …………………………………………………….Dr.</w:t>
      </w:r>
    </w:p>
    <w:p w14:paraId="03DEC79C" w14:textId="77777777" w:rsidR="00F81BA6" w:rsidRPr="007E3D9B" w:rsidRDefault="00F81BA6" w:rsidP="74846B25">
      <w:pPr>
        <w:spacing w:after="0" w:line="240" w:lineRule="auto"/>
        <w:ind w:left="720"/>
        <w:jc w:val="both"/>
        <w:rPr>
          <w:rFonts w:ascii="Verdana" w:hAnsi="Verdana"/>
        </w:rPr>
      </w:pPr>
      <w:r w:rsidRPr="007E3D9B">
        <w:rPr>
          <w:rFonts w:ascii="Verdana" w:hAnsi="Verdana"/>
        </w:rPr>
        <w:tab/>
        <w:t>Bank deposit/bonds……………………………………..Cr.</w:t>
      </w:r>
    </w:p>
    <w:p w14:paraId="29D6B04F" w14:textId="77777777" w:rsidR="00867022" w:rsidRPr="007E3D9B" w:rsidRDefault="00867022" w:rsidP="00976399">
      <w:pPr>
        <w:spacing w:after="0" w:line="240" w:lineRule="auto"/>
        <w:ind w:left="720"/>
        <w:jc w:val="both"/>
        <w:rPr>
          <w:rFonts w:ascii="Verdana" w:hAnsi="Verdana"/>
        </w:rPr>
      </w:pPr>
      <w:r w:rsidRPr="007E3D9B">
        <w:rPr>
          <w:rFonts w:ascii="Verdana" w:hAnsi="Verdana"/>
        </w:rPr>
        <w:t xml:space="preserve"> </w:t>
      </w:r>
    </w:p>
    <w:p w14:paraId="18E93426" w14:textId="77777777" w:rsidR="00F81BA6" w:rsidRPr="007E3D9B" w:rsidRDefault="74846B25" w:rsidP="74846B25">
      <w:pPr>
        <w:spacing w:after="0" w:line="240" w:lineRule="auto"/>
        <w:ind w:left="720"/>
        <w:jc w:val="both"/>
        <w:rPr>
          <w:rFonts w:ascii="Verdana" w:hAnsi="Verdana"/>
        </w:rPr>
      </w:pPr>
      <w:r w:rsidRPr="74846B25">
        <w:rPr>
          <w:rFonts w:ascii="Verdana" w:hAnsi="Verdana"/>
          <w:b/>
          <w:bCs/>
        </w:rPr>
        <w:t>Cash match entry:</w:t>
      </w:r>
      <w:r w:rsidRPr="74846B25">
        <w:rPr>
          <w:rFonts w:ascii="Verdana" w:hAnsi="Verdana"/>
        </w:rPr>
        <w:t xml:space="preserve"> The entry is manually posted to People Soft by US Securities Team after getting the Bank Statements sent from Bangladesh by every 10 days interval.</w:t>
      </w:r>
    </w:p>
    <w:p w14:paraId="5043CB0F" w14:textId="77777777" w:rsidR="00F81BA6" w:rsidRPr="007E3D9B" w:rsidRDefault="00F81BA6" w:rsidP="00976399">
      <w:pPr>
        <w:spacing w:after="0" w:line="240" w:lineRule="auto"/>
        <w:ind w:left="720"/>
        <w:jc w:val="both"/>
        <w:rPr>
          <w:rFonts w:ascii="Verdana" w:hAnsi="Verdana"/>
          <w:b/>
        </w:rPr>
      </w:pPr>
    </w:p>
    <w:p w14:paraId="0F09DF25" w14:textId="77777777" w:rsidR="00F81BA6" w:rsidRPr="007E3D9B" w:rsidRDefault="74846B25" w:rsidP="74846B25">
      <w:pPr>
        <w:spacing w:after="0" w:line="240" w:lineRule="auto"/>
        <w:ind w:left="720" w:firstLine="720"/>
        <w:jc w:val="both"/>
        <w:rPr>
          <w:rFonts w:ascii="Verdana" w:hAnsi="Verdana"/>
        </w:rPr>
      </w:pPr>
      <w:r w:rsidRPr="74846B25">
        <w:rPr>
          <w:rFonts w:ascii="Verdana" w:hAnsi="Verdana"/>
        </w:rPr>
        <w:t>Bank……………………………………………………………Dr.</w:t>
      </w:r>
    </w:p>
    <w:p w14:paraId="586EA8E0" w14:textId="77777777" w:rsidR="00F81BA6" w:rsidRPr="007E3D9B" w:rsidRDefault="74846B25" w:rsidP="74846B25">
      <w:pPr>
        <w:spacing w:after="0" w:line="240" w:lineRule="auto"/>
        <w:ind w:left="720" w:firstLine="720"/>
        <w:jc w:val="both"/>
        <w:rPr>
          <w:rFonts w:ascii="Verdana" w:hAnsi="Verdana"/>
          <w:b/>
          <w:bCs/>
        </w:rPr>
      </w:pPr>
      <w:r w:rsidRPr="74846B25">
        <w:rPr>
          <w:rFonts w:ascii="Verdana" w:hAnsi="Verdana"/>
        </w:rPr>
        <w:t>Investment Suspense…………………………………Cr.</w:t>
      </w:r>
    </w:p>
    <w:p w14:paraId="07459315" w14:textId="77777777" w:rsidR="00F25083" w:rsidRPr="007E3D9B" w:rsidRDefault="00F25083" w:rsidP="00867022">
      <w:pPr>
        <w:tabs>
          <w:tab w:val="left" w:pos="7620"/>
        </w:tabs>
        <w:rPr>
          <w:rFonts w:ascii="Verdana" w:hAnsi="Verdana"/>
        </w:rPr>
      </w:pPr>
    </w:p>
    <w:p w14:paraId="3D89D418" w14:textId="77777777" w:rsidR="00807318" w:rsidRPr="007E3D9B" w:rsidRDefault="74846B25" w:rsidP="74846B25">
      <w:pPr>
        <w:tabs>
          <w:tab w:val="left" w:pos="7620"/>
        </w:tabs>
        <w:ind w:left="720"/>
        <w:jc w:val="both"/>
        <w:rPr>
          <w:rFonts w:ascii="Verdana" w:hAnsi="Verdana"/>
        </w:rPr>
      </w:pPr>
      <w:r w:rsidRPr="74846B25">
        <w:rPr>
          <w:rFonts w:ascii="Verdana" w:hAnsi="Verdana"/>
          <w:b/>
          <w:bCs/>
        </w:rPr>
        <w:t>Renewal of bank deposit:</w:t>
      </w:r>
      <w:r w:rsidRPr="74846B25">
        <w:rPr>
          <w:rFonts w:ascii="Verdana" w:hAnsi="Verdana"/>
        </w:rPr>
        <w:t xml:space="preserve"> No direct renewal of fixed deposit is made by MetLife. At first bank deposit is encashed and a fresh investment is made to the bank. </w:t>
      </w:r>
    </w:p>
    <w:p w14:paraId="0BE32CFC" w14:textId="77777777" w:rsidR="009A626D" w:rsidRPr="007E3D9B" w:rsidRDefault="74846B25" w:rsidP="74846B25">
      <w:pPr>
        <w:tabs>
          <w:tab w:val="left" w:pos="7620"/>
        </w:tabs>
        <w:ind w:left="720"/>
        <w:jc w:val="both"/>
        <w:rPr>
          <w:rFonts w:ascii="Verdana" w:hAnsi="Verdana"/>
        </w:rPr>
      </w:pPr>
      <w:r w:rsidRPr="74846B25">
        <w:rPr>
          <w:rFonts w:ascii="Verdana" w:hAnsi="Verdana"/>
          <w:b/>
          <w:bCs/>
        </w:rPr>
        <w:t>Government Treasury Bonds:</w:t>
      </w:r>
      <w:r w:rsidRPr="74846B25">
        <w:rPr>
          <w:rFonts w:ascii="Verdana" w:hAnsi="Verdana"/>
        </w:rPr>
        <w:t xml:space="preserve"> Treasury bonds consist of different categories of Government Treasury Bond for different tenure varied from 02 years to 20 years. </w:t>
      </w:r>
    </w:p>
    <w:p w14:paraId="2FC10D2A" w14:textId="77777777" w:rsidR="009A626D" w:rsidRPr="007E3D9B" w:rsidRDefault="74846B25" w:rsidP="74846B25">
      <w:pPr>
        <w:tabs>
          <w:tab w:val="left" w:pos="7620"/>
        </w:tabs>
        <w:ind w:left="720"/>
        <w:jc w:val="both"/>
        <w:rPr>
          <w:rFonts w:ascii="Verdana" w:hAnsi="Verdana"/>
        </w:rPr>
      </w:pPr>
      <w:r w:rsidRPr="74846B25">
        <w:rPr>
          <w:rFonts w:ascii="Verdana" w:hAnsi="Verdana"/>
        </w:rPr>
        <w:t>Investment in Government Treasury Bond is analyzed by the local investment Team. The decision of investment on bonds are prepared and approved by Regional Investment Team (Hong Kong) based on ALM Investment Guidelines shared by Regional Investment Team yearly. Then the decision is approved by CFO and General Manager – Bangladesh Branch subsequently.</w:t>
      </w:r>
    </w:p>
    <w:p w14:paraId="62123EDD" w14:textId="77777777" w:rsidR="00D42CDA" w:rsidRPr="007E3D9B" w:rsidRDefault="74846B25" w:rsidP="74846B25">
      <w:pPr>
        <w:spacing w:after="0" w:line="240" w:lineRule="auto"/>
        <w:ind w:left="720"/>
        <w:jc w:val="both"/>
        <w:rPr>
          <w:rFonts w:ascii="Verdana" w:hAnsi="Verdana"/>
        </w:rPr>
      </w:pPr>
      <w:r w:rsidRPr="74846B25">
        <w:rPr>
          <w:rFonts w:ascii="Verdana" w:hAnsi="Verdana"/>
        </w:rPr>
        <w:t>When investment in bond is made, an initial entry is recoded in the Blackrock-Aladdin by the Regional Investment Team (Hong Kong). If the entry is made before 3.00 PM, the entry is automatically transfer to another module PAM. If the entry is made after 3.00 PM the entry will automatically transfer to PAM on the next day. After transferring the entry to PAM, the entry is automatically transfer to People Soft (Accounting Software).</w:t>
      </w:r>
    </w:p>
    <w:p w14:paraId="6537F28F" w14:textId="77777777" w:rsidR="00D42CDA" w:rsidRPr="007E3D9B" w:rsidRDefault="00D42CDA" w:rsidP="00976399">
      <w:pPr>
        <w:spacing w:after="0" w:line="240" w:lineRule="auto"/>
        <w:ind w:left="720"/>
        <w:jc w:val="both"/>
        <w:rPr>
          <w:rFonts w:ascii="Verdana" w:hAnsi="Verdana"/>
        </w:rPr>
      </w:pPr>
    </w:p>
    <w:p w14:paraId="722D79BA" w14:textId="77777777" w:rsidR="00D42CDA" w:rsidRPr="007E3D9B" w:rsidRDefault="74846B25" w:rsidP="74846B25">
      <w:pPr>
        <w:spacing w:after="0" w:line="240" w:lineRule="auto"/>
        <w:ind w:left="720"/>
        <w:jc w:val="both"/>
        <w:rPr>
          <w:rFonts w:ascii="Verdana" w:hAnsi="Verdana"/>
        </w:rPr>
      </w:pPr>
      <w:r w:rsidRPr="74846B25">
        <w:rPr>
          <w:rFonts w:ascii="Verdana" w:hAnsi="Verdana"/>
        </w:rPr>
        <w:t>The initial trading entry recorded in Blackrock-Aladdin is:</w:t>
      </w:r>
    </w:p>
    <w:p w14:paraId="6DFB9E20" w14:textId="77777777" w:rsidR="00D42CDA" w:rsidRPr="007E3D9B" w:rsidRDefault="00D42CDA" w:rsidP="00976399">
      <w:pPr>
        <w:spacing w:after="0" w:line="240" w:lineRule="auto"/>
        <w:ind w:left="720"/>
        <w:jc w:val="both"/>
        <w:rPr>
          <w:rFonts w:ascii="Verdana" w:hAnsi="Verdana"/>
        </w:rPr>
      </w:pPr>
      <w:r w:rsidRPr="007E3D9B">
        <w:rPr>
          <w:rFonts w:ascii="Verdana" w:hAnsi="Verdana"/>
        </w:rPr>
        <w:tab/>
      </w:r>
    </w:p>
    <w:p w14:paraId="6AD4FD3B" w14:textId="77777777" w:rsidR="00F41AE2" w:rsidRPr="00CD71AE" w:rsidRDefault="74846B25" w:rsidP="74846B25">
      <w:pPr>
        <w:spacing w:after="0" w:line="240" w:lineRule="auto"/>
        <w:ind w:left="720"/>
        <w:jc w:val="both"/>
        <w:rPr>
          <w:rFonts w:ascii="Verdana" w:hAnsi="Verdana"/>
        </w:rPr>
      </w:pPr>
      <w:r w:rsidRPr="74846B25">
        <w:rPr>
          <w:rFonts w:ascii="Verdana" w:hAnsi="Verdana"/>
        </w:rPr>
        <w:t>Interest income (Accrued interest from issue date to purchase date) ……...Dr.</w:t>
      </w:r>
    </w:p>
    <w:p w14:paraId="2D743349" w14:textId="77777777" w:rsidR="00D42CDA" w:rsidRPr="007E3D9B" w:rsidRDefault="74846B25" w:rsidP="74846B25">
      <w:pPr>
        <w:spacing w:after="0" w:line="240" w:lineRule="auto"/>
        <w:ind w:firstLine="720"/>
        <w:jc w:val="both"/>
        <w:rPr>
          <w:rFonts w:ascii="Verdana" w:hAnsi="Verdana"/>
        </w:rPr>
      </w:pPr>
      <w:r w:rsidRPr="74846B25">
        <w:rPr>
          <w:rFonts w:ascii="Verdana" w:hAnsi="Verdana"/>
        </w:rPr>
        <w:t>Treasury bond (Investment) ……………………………………Dr.</w:t>
      </w:r>
    </w:p>
    <w:p w14:paraId="49300FA2" w14:textId="77777777" w:rsidR="00D42CDA" w:rsidRPr="007E3D9B" w:rsidRDefault="74846B25" w:rsidP="74846B25">
      <w:pPr>
        <w:spacing w:after="0" w:line="240" w:lineRule="auto"/>
        <w:ind w:left="720"/>
        <w:jc w:val="both"/>
        <w:rPr>
          <w:rFonts w:ascii="Verdana" w:hAnsi="Verdana"/>
        </w:rPr>
      </w:pPr>
      <w:r w:rsidRPr="74846B25">
        <w:rPr>
          <w:rFonts w:ascii="Verdana" w:hAnsi="Verdana"/>
        </w:rPr>
        <w:t>Investment Suspense ………………………………………………. Cr.</w:t>
      </w:r>
    </w:p>
    <w:p w14:paraId="70DF9E56" w14:textId="77777777" w:rsidR="00D42CDA" w:rsidRPr="007E3D9B" w:rsidRDefault="00D42CDA" w:rsidP="00976399">
      <w:pPr>
        <w:spacing w:after="0" w:line="240" w:lineRule="auto"/>
        <w:ind w:left="720"/>
        <w:jc w:val="both"/>
        <w:rPr>
          <w:rFonts w:ascii="Verdana" w:hAnsi="Verdana"/>
          <w:b/>
        </w:rPr>
      </w:pPr>
    </w:p>
    <w:p w14:paraId="50609E54" w14:textId="77777777" w:rsidR="00D42CDA" w:rsidRPr="007E3D9B" w:rsidRDefault="74846B25" w:rsidP="74846B25">
      <w:pPr>
        <w:spacing w:after="0" w:line="240" w:lineRule="auto"/>
        <w:ind w:left="720"/>
        <w:jc w:val="both"/>
        <w:rPr>
          <w:rFonts w:ascii="Verdana" w:hAnsi="Verdana"/>
        </w:rPr>
      </w:pPr>
      <w:r w:rsidRPr="74846B25">
        <w:rPr>
          <w:rFonts w:ascii="Verdana" w:hAnsi="Verdana"/>
          <w:b/>
          <w:bCs/>
        </w:rPr>
        <w:t>Cash match entry:</w:t>
      </w:r>
      <w:r w:rsidRPr="74846B25">
        <w:rPr>
          <w:rFonts w:ascii="Verdana" w:hAnsi="Verdana"/>
        </w:rPr>
        <w:t xml:space="preserve"> The entry is manually posted to People Soft by US Securities Team after getting the Bank Statements sent from Bangladesh by every 10 days interval.</w:t>
      </w:r>
    </w:p>
    <w:p w14:paraId="44E871BC" w14:textId="77777777" w:rsidR="00D42CDA" w:rsidRPr="007E3D9B" w:rsidRDefault="00D42CDA" w:rsidP="00976399">
      <w:pPr>
        <w:spacing w:after="0" w:line="240" w:lineRule="auto"/>
        <w:ind w:left="720"/>
        <w:jc w:val="both"/>
        <w:rPr>
          <w:rFonts w:ascii="Verdana" w:hAnsi="Verdana"/>
          <w:b/>
        </w:rPr>
      </w:pPr>
    </w:p>
    <w:p w14:paraId="007B701E" w14:textId="77777777" w:rsidR="00D42CDA" w:rsidRPr="007E3D9B" w:rsidRDefault="74846B25" w:rsidP="74846B25">
      <w:pPr>
        <w:spacing w:after="0" w:line="240" w:lineRule="auto"/>
        <w:ind w:left="720" w:firstLine="720"/>
        <w:jc w:val="both"/>
        <w:rPr>
          <w:rFonts w:ascii="Verdana" w:hAnsi="Verdana"/>
        </w:rPr>
      </w:pPr>
      <w:r w:rsidRPr="74846B25">
        <w:rPr>
          <w:rFonts w:ascii="Verdana" w:hAnsi="Verdana"/>
        </w:rPr>
        <w:t>Investment Suspense……………………………………. Dr.</w:t>
      </w:r>
    </w:p>
    <w:p w14:paraId="68DB8392" w14:textId="77777777" w:rsidR="006820C3" w:rsidRPr="007E3D9B" w:rsidRDefault="74846B25" w:rsidP="74846B25">
      <w:pPr>
        <w:spacing w:after="0" w:line="240" w:lineRule="auto"/>
        <w:ind w:left="720" w:firstLine="720"/>
        <w:jc w:val="both"/>
        <w:rPr>
          <w:rFonts w:ascii="Verdana" w:hAnsi="Verdana"/>
        </w:rPr>
      </w:pPr>
      <w:r w:rsidRPr="74846B25">
        <w:rPr>
          <w:rFonts w:ascii="Verdana" w:hAnsi="Verdana"/>
        </w:rPr>
        <w:t>Bank…………………………………………………………………Cr.</w:t>
      </w:r>
    </w:p>
    <w:p w14:paraId="144A5D23" w14:textId="77777777" w:rsidR="00E153F9" w:rsidRPr="007E3D9B" w:rsidRDefault="00E153F9" w:rsidP="00976399">
      <w:pPr>
        <w:tabs>
          <w:tab w:val="left" w:pos="7620"/>
        </w:tabs>
        <w:ind w:left="720"/>
        <w:rPr>
          <w:rFonts w:ascii="Verdana" w:hAnsi="Verdana"/>
        </w:rPr>
      </w:pPr>
    </w:p>
    <w:p w14:paraId="51518767" w14:textId="77777777" w:rsidR="00E153F9" w:rsidRPr="007E3D9B" w:rsidRDefault="74846B25" w:rsidP="74846B25">
      <w:pPr>
        <w:spacing w:after="0" w:line="240" w:lineRule="auto"/>
        <w:ind w:left="720"/>
        <w:jc w:val="both"/>
        <w:rPr>
          <w:rFonts w:ascii="Verdana" w:hAnsi="Verdana"/>
        </w:rPr>
      </w:pPr>
      <w:r w:rsidRPr="74846B25">
        <w:rPr>
          <w:rFonts w:ascii="Verdana" w:hAnsi="Verdana"/>
          <w:b/>
          <w:bCs/>
        </w:rPr>
        <w:t>Maturity of Govt. Treasury Bonds</w:t>
      </w:r>
      <w:r w:rsidRPr="74846B25">
        <w:rPr>
          <w:rFonts w:ascii="Verdana" w:hAnsi="Verdana"/>
        </w:rPr>
        <w:t>: When the treasury bonds being matured. The deposit is cashed from the bank. The following entry is made for encashment of treasury bond:</w:t>
      </w:r>
    </w:p>
    <w:p w14:paraId="738610EB" w14:textId="77777777" w:rsidR="00E153F9" w:rsidRPr="007E3D9B" w:rsidRDefault="00E153F9" w:rsidP="00976399">
      <w:pPr>
        <w:spacing w:after="0" w:line="240" w:lineRule="auto"/>
        <w:ind w:left="720"/>
        <w:jc w:val="both"/>
        <w:rPr>
          <w:rFonts w:ascii="Verdana" w:hAnsi="Verdana"/>
        </w:rPr>
      </w:pPr>
    </w:p>
    <w:p w14:paraId="41F226FC" w14:textId="77777777" w:rsidR="00E153F9" w:rsidRPr="007E3D9B" w:rsidRDefault="00E153F9" w:rsidP="74846B25">
      <w:pPr>
        <w:spacing w:after="0" w:line="240" w:lineRule="auto"/>
        <w:ind w:left="720"/>
        <w:jc w:val="both"/>
        <w:rPr>
          <w:rFonts w:ascii="Verdana" w:hAnsi="Verdana"/>
        </w:rPr>
      </w:pPr>
      <w:r w:rsidRPr="007E3D9B">
        <w:rPr>
          <w:rFonts w:ascii="Verdana" w:hAnsi="Verdana"/>
        </w:rPr>
        <w:tab/>
      </w:r>
      <w:r w:rsidR="00FF6D69" w:rsidRPr="007E3D9B">
        <w:rPr>
          <w:rFonts w:ascii="Verdana" w:hAnsi="Verdana"/>
        </w:rPr>
        <w:t xml:space="preserve">Investment </w:t>
      </w:r>
      <w:r w:rsidRPr="007E3D9B">
        <w:rPr>
          <w:rFonts w:ascii="Verdana" w:hAnsi="Verdana"/>
        </w:rPr>
        <w:t>Suspense …………………………………………………</w:t>
      </w:r>
      <w:r w:rsidR="004E15C4" w:rsidRPr="007E3D9B">
        <w:rPr>
          <w:rFonts w:ascii="Verdana" w:hAnsi="Verdana"/>
        </w:rPr>
        <w:t>…. Dr.</w:t>
      </w:r>
    </w:p>
    <w:p w14:paraId="11E6BB10" w14:textId="77777777" w:rsidR="00E153F9" w:rsidRPr="007E3D9B" w:rsidRDefault="00FF6D69" w:rsidP="74846B25">
      <w:pPr>
        <w:spacing w:after="0" w:line="240" w:lineRule="auto"/>
        <w:ind w:left="720"/>
        <w:jc w:val="both"/>
        <w:rPr>
          <w:rFonts w:ascii="Verdana" w:hAnsi="Verdana"/>
        </w:rPr>
      </w:pPr>
      <w:r w:rsidRPr="007E3D9B">
        <w:rPr>
          <w:rFonts w:ascii="Verdana" w:hAnsi="Verdana"/>
        </w:rPr>
        <w:tab/>
      </w:r>
      <w:r w:rsidR="00E153F9" w:rsidRPr="007E3D9B">
        <w:rPr>
          <w:rFonts w:ascii="Verdana" w:hAnsi="Verdana"/>
        </w:rPr>
        <w:t>Treasury Bonds</w:t>
      </w:r>
      <w:r w:rsidR="00F97599">
        <w:rPr>
          <w:rFonts w:ascii="Verdana" w:hAnsi="Verdana"/>
        </w:rPr>
        <w:t xml:space="preserve"> (Investment)</w:t>
      </w:r>
      <w:r w:rsidR="00E153F9" w:rsidRPr="007E3D9B">
        <w:rPr>
          <w:rFonts w:ascii="Verdana" w:hAnsi="Verdana"/>
        </w:rPr>
        <w:t>……………………………………..Cr.</w:t>
      </w:r>
    </w:p>
    <w:p w14:paraId="0A6959E7" w14:textId="77777777" w:rsidR="00E153F9" w:rsidRPr="007E3D9B" w:rsidRDefault="00E153F9" w:rsidP="00976399">
      <w:pPr>
        <w:spacing w:after="0" w:line="240" w:lineRule="auto"/>
        <w:ind w:left="720"/>
        <w:jc w:val="both"/>
        <w:rPr>
          <w:rFonts w:ascii="Verdana" w:hAnsi="Verdana"/>
        </w:rPr>
      </w:pPr>
      <w:r w:rsidRPr="007E3D9B">
        <w:rPr>
          <w:rFonts w:ascii="Verdana" w:hAnsi="Verdana"/>
        </w:rPr>
        <w:t xml:space="preserve"> </w:t>
      </w:r>
    </w:p>
    <w:p w14:paraId="39C81F50" w14:textId="77777777" w:rsidR="00E153F9" w:rsidRPr="007E3D9B" w:rsidRDefault="74846B25" w:rsidP="74846B25">
      <w:pPr>
        <w:spacing w:after="0" w:line="240" w:lineRule="auto"/>
        <w:ind w:left="720"/>
        <w:jc w:val="both"/>
        <w:rPr>
          <w:rFonts w:ascii="Verdana" w:hAnsi="Verdana"/>
        </w:rPr>
      </w:pPr>
      <w:r w:rsidRPr="74846B25">
        <w:rPr>
          <w:rFonts w:ascii="Verdana" w:hAnsi="Verdana"/>
          <w:b/>
          <w:bCs/>
        </w:rPr>
        <w:lastRenderedPageBreak/>
        <w:t>Cash match entry:</w:t>
      </w:r>
      <w:r w:rsidRPr="74846B25">
        <w:rPr>
          <w:rFonts w:ascii="Verdana" w:hAnsi="Verdana"/>
        </w:rPr>
        <w:t xml:space="preserve"> The entry is manually posted to People Soft by US Securities Team after getting the Bank Statements sent from Bangladesh by every 10 days interval.</w:t>
      </w:r>
    </w:p>
    <w:p w14:paraId="637805D2" w14:textId="77777777" w:rsidR="00E153F9" w:rsidRPr="007E3D9B" w:rsidRDefault="00E153F9" w:rsidP="00976399">
      <w:pPr>
        <w:spacing w:after="0" w:line="240" w:lineRule="auto"/>
        <w:ind w:left="720"/>
        <w:jc w:val="both"/>
        <w:rPr>
          <w:rFonts w:ascii="Verdana" w:hAnsi="Verdana"/>
          <w:b/>
        </w:rPr>
      </w:pPr>
    </w:p>
    <w:p w14:paraId="7C2DE52C" w14:textId="77777777" w:rsidR="00E153F9" w:rsidRPr="007E3D9B" w:rsidRDefault="74846B25" w:rsidP="74846B25">
      <w:pPr>
        <w:spacing w:after="0" w:line="240" w:lineRule="auto"/>
        <w:ind w:left="720" w:firstLine="720"/>
        <w:jc w:val="both"/>
        <w:rPr>
          <w:rFonts w:ascii="Verdana" w:hAnsi="Verdana"/>
        </w:rPr>
      </w:pPr>
      <w:r w:rsidRPr="74846B25">
        <w:rPr>
          <w:rFonts w:ascii="Verdana" w:hAnsi="Verdana"/>
        </w:rPr>
        <w:t>Bank……………………………………………………………Dr.</w:t>
      </w:r>
    </w:p>
    <w:p w14:paraId="1FD44215" w14:textId="77777777" w:rsidR="00867022" w:rsidRDefault="00E153F9" w:rsidP="74846B25">
      <w:pPr>
        <w:spacing w:after="0" w:line="240" w:lineRule="auto"/>
        <w:ind w:left="720" w:firstLine="720"/>
        <w:jc w:val="both"/>
        <w:rPr>
          <w:rFonts w:ascii="Verdana" w:hAnsi="Verdana"/>
          <w:b/>
          <w:bCs/>
        </w:rPr>
      </w:pPr>
      <w:r w:rsidRPr="007E3D9B">
        <w:rPr>
          <w:rFonts w:ascii="Verdana" w:hAnsi="Verdana"/>
        </w:rPr>
        <w:t>Investment Suspense…………………………………Cr.</w:t>
      </w:r>
      <w:r w:rsidR="00867022" w:rsidRPr="007E3D9B">
        <w:rPr>
          <w:rFonts w:ascii="Verdana" w:hAnsi="Verdana"/>
          <w:b/>
        </w:rPr>
        <w:tab/>
      </w:r>
    </w:p>
    <w:p w14:paraId="463F29E8" w14:textId="77777777" w:rsidR="00087AE0" w:rsidRDefault="00087AE0" w:rsidP="00D42CDA">
      <w:pPr>
        <w:tabs>
          <w:tab w:val="left" w:pos="7620"/>
        </w:tabs>
        <w:rPr>
          <w:rFonts w:ascii="Verdana" w:hAnsi="Verdana"/>
          <w:b/>
        </w:rPr>
      </w:pPr>
    </w:p>
    <w:p w14:paraId="46668984" w14:textId="77777777" w:rsidR="00B34DA8" w:rsidRPr="00B34DA8" w:rsidRDefault="74846B25" w:rsidP="74846B25">
      <w:pPr>
        <w:tabs>
          <w:tab w:val="left" w:pos="7620"/>
        </w:tabs>
        <w:rPr>
          <w:rFonts w:ascii="Verdana" w:hAnsi="Verdana"/>
          <w:b/>
          <w:bCs/>
        </w:rPr>
      </w:pPr>
      <w:r w:rsidRPr="74846B25">
        <w:rPr>
          <w:rFonts w:ascii="Verdana" w:hAnsi="Verdana"/>
          <w:b/>
          <w:bCs/>
        </w:rPr>
        <w:t>What could go wrong:</w:t>
      </w:r>
    </w:p>
    <w:p w14:paraId="2C153706" w14:textId="77777777" w:rsidR="00410D55" w:rsidRPr="00410D55" w:rsidRDefault="74846B25" w:rsidP="74846B25">
      <w:pPr>
        <w:pStyle w:val="ListParagraph"/>
        <w:numPr>
          <w:ilvl w:val="0"/>
          <w:numId w:val="42"/>
        </w:numPr>
        <w:tabs>
          <w:tab w:val="left" w:pos="7620"/>
        </w:tabs>
        <w:rPr>
          <w:rFonts w:ascii="Verdana" w:hAnsi="Verdana"/>
        </w:rPr>
      </w:pPr>
      <w:r w:rsidRPr="74846B25">
        <w:rPr>
          <w:rFonts w:ascii="Verdana" w:hAnsi="Verdana"/>
        </w:rPr>
        <w:t>New investments in Treasury Bonds may be recorded for:</w:t>
      </w:r>
    </w:p>
    <w:p w14:paraId="734CE7E7" w14:textId="77777777" w:rsidR="00410D55" w:rsidRPr="00410D55" w:rsidRDefault="74846B25" w:rsidP="74846B25">
      <w:pPr>
        <w:pStyle w:val="ListParagraph"/>
        <w:tabs>
          <w:tab w:val="left" w:pos="7620"/>
        </w:tabs>
        <w:rPr>
          <w:rFonts w:ascii="Verdana" w:hAnsi="Verdana"/>
        </w:rPr>
      </w:pPr>
      <w:r w:rsidRPr="74846B25">
        <w:rPr>
          <w:rFonts w:ascii="Verdana" w:hAnsi="Verdana"/>
        </w:rPr>
        <w:t>a) transactions that did not occur or pending</w:t>
      </w:r>
    </w:p>
    <w:p w14:paraId="3E192D7C" w14:textId="77777777" w:rsidR="00410D55" w:rsidRPr="00410D55" w:rsidRDefault="74846B25" w:rsidP="74846B25">
      <w:pPr>
        <w:pStyle w:val="ListParagraph"/>
        <w:tabs>
          <w:tab w:val="left" w:pos="7620"/>
        </w:tabs>
        <w:rPr>
          <w:rFonts w:ascii="Verdana" w:hAnsi="Verdana"/>
        </w:rPr>
      </w:pPr>
      <w:r w:rsidRPr="74846B25">
        <w:rPr>
          <w:rFonts w:ascii="Verdana" w:hAnsi="Verdana"/>
        </w:rPr>
        <w:t>b) at incorrect amount</w:t>
      </w:r>
    </w:p>
    <w:p w14:paraId="1F48D2B9" w14:textId="77777777" w:rsidR="00410D55" w:rsidRDefault="74846B25" w:rsidP="74846B25">
      <w:pPr>
        <w:pStyle w:val="ListParagraph"/>
        <w:tabs>
          <w:tab w:val="left" w:pos="7620"/>
        </w:tabs>
        <w:rPr>
          <w:rFonts w:ascii="Verdana" w:hAnsi="Verdana"/>
        </w:rPr>
      </w:pPr>
      <w:r w:rsidRPr="74846B25">
        <w:rPr>
          <w:rFonts w:ascii="Verdana" w:hAnsi="Verdana"/>
        </w:rPr>
        <w:t xml:space="preserve">c) transactions for which the entity does not have legal title to investments     </w:t>
      </w:r>
    </w:p>
    <w:p w14:paraId="59518DAA" w14:textId="77777777" w:rsidR="00FF44A3" w:rsidRPr="00FF44A3" w:rsidRDefault="74846B25" w:rsidP="74846B25">
      <w:pPr>
        <w:pStyle w:val="ListParagraph"/>
        <w:numPr>
          <w:ilvl w:val="0"/>
          <w:numId w:val="42"/>
        </w:numPr>
        <w:tabs>
          <w:tab w:val="left" w:pos="7620"/>
        </w:tabs>
        <w:rPr>
          <w:rFonts w:ascii="Verdana" w:hAnsi="Verdana"/>
        </w:rPr>
      </w:pPr>
      <w:r w:rsidRPr="74846B25">
        <w:rPr>
          <w:rFonts w:ascii="Verdana" w:hAnsi="Verdana"/>
        </w:rPr>
        <w:t>Treasury Bonds recorded and carried in the books as at the end of reporting period may not exist.</w:t>
      </w:r>
    </w:p>
    <w:p w14:paraId="009DEDEB" w14:textId="77777777" w:rsidR="00FF44A3" w:rsidRPr="000A34AD" w:rsidRDefault="74846B25" w:rsidP="74846B25">
      <w:pPr>
        <w:pStyle w:val="ListParagraph"/>
        <w:numPr>
          <w:ilvl w:val="0"/>
          <w:numId w:val="42"/>
        </w:numPr>
        <w:tabs>
          <w:tab w:val="left" w:pos="7620"/>
        </w:tabs>
        <w:rPr>
          <w:rFonts w:ascii="Verdana" w:hAnsi="Verdana"/>
        </w:rPr>
      </w:pPr>
      <w:r w:rsidRPr="74846B25">
        <w:rPr>
          <w:rFonts w:ascii="Verdana" w:hAnsi="Verdana"/>
        </w:rPr>
        <w:t>Bonds that have been encashed during the year are:</w:t>
      </w:r>
    </w:p>
    <w:p w14:paraId="77694BF8" w14:textId="77777777" w:rsidR="00FF44A3" w:rsidRPr="000A34AD" w:rsidRDefault="74846B25" w:rsidP="74846B25">
      <w:pPr>
        <w:pStyle w:val="ListParagraph"/>
        <w:tabs>
          <w:tab w:val="left" w:pos="7620"/>
        </w:tabs>
        <w:rPr>
          <w:rFonts w:ascii="Verdana" w:hAnsi="Verdana"/>
        </w:rPr>
      </w:pPr>
      <w:r w:rsidRPr="74846B25">
        <w:rPr>
          <w:rFonts w:ascii="Verdana" w:hAnsi="Verdana"/>
        </w:rPr>
        <w:t>a) not removed from GL</w:t>
      </w:r>
    </w:p>
    <w:p w14:paraId="645BB726" w14:textId="77777777" w:rsidR="00FF44A3" w:rsidRPr="00FF44A3" w:rsidRDefault="74846B25" w:rsidP="74846B25">
      <w:pPr>
        <w:pStyle w:val="ListParagraph"/>
        <w:tabs>
          <w:tab w:val="left" w:pos="7620"/>
        </w:tabs>
        <w:rPr>
          <w:rFonts w:ascii="Verdana" w:hAnsi="Verdana"/>
        </w:rPr>
      </w:pPr>
      <w:r w:rsidRPr="74846B25">
        <w:rPr>
          <w:rFonts w:ascii="Verdana" w:hAnsi="Verdana"/>
        </w:rPr>
        <w:t>b) removed at incorrect amount</w:t>
      </w:r>
    </w:p>
    <w:p w14:paraId="79DE3882" w14:textId="77777777" w:rsidR="00AE2182" w:rsidRDefault="74846B25" w:rsidP="74846B25">
      <w:pPr>
        <w:pStyle w:val="ListParagraph"/>
        <w:numPr>
          <w:ilvl w:val="0"/>
          <w:numId w:val="42"/>
        </w:numPr>
        <w:tabs>
          <w:tab w:val="left" w:pos="7620"/>
        </w:tabs>
        <w:rPr>
          <w:rFonts w:ascii="Verdana" w:hAnsi="Verdana"/>
        </w:rPr>
      </w:pPr>
      <w:r w:rsidRPr="74846B25">
        <w:rPr>
          <w:rFonts w:ascii="Verdana" w:hAnsi="Verdana"/>
        </w:rPr>
        <w:t>Investments in bonds classified as held-to-maturity are not recorded at amortized cost properly.</w:t>
      </w:r>
    </w:p>
    <w:p w14:paraId="0F4F5EE2" w14:textId="77777777" w:rsidR="00FF44A3" w:rsidRPr="00FF44A3" w:rsidRDefault="74846B25" w:rsidP="74846B25">
      <w:pPr>
        <w:pStyle w:val="ListParagraph"/>
        <w:numPr>
          <w:ilvl w:val="0"/>
          <w:numId w:val="42"/>
        </w:numPr>
        <w:tabs>
          <w:tab w:val="left" w:pos="7620"/>
        </w:tabs>
        <w:rPr>
          <w:rFonts w:ascii="Verdana" w:hAnsi="Verdana"/>
        </w:rPr>
      </w:pPr>
      <w:r w:rsidRPr="74846B25">
        <w:rPr>
          <w:rFonts w:ascii="Verdana" w:hAnsi="Verdana"/>
        </w:rPr>
        <w:t xml:space="preserve">FDRs recorded and carried in the books at the end of reporting period  </w:t>
      </w:r>
    </w:p>
    <w:p w14:paraId="1EECD110" w14:textId="77777777" w:rsidR="00FF44A3" w:rsidRPr="00FF44A3" w:rsidRDefault="74846B25" w:rsidP="74846B25">
      <w:pPr>
        <w:pStyle w:val="ListParagraph"/>
        <w:tabs>
          <w:tab w:val="left" w:pos="7620"/>
        </w:tabs>
        <w:rPr>
          <w:rFonts w:ascii="Verdana" w:hAnsi="Verdana"/>
        </w:rPr>
      </w:pPr>
      <w:r w:rsidRPr="74846B25">
        <w:rPr>
          <w:rFonts w:ascii="Verdana" w:hAnsi="Verdana"/>
        </w:rPr>
        <w:t>a) may not exist</w:t>
      </w:r>
    </w:p>
    <w:p w14:paraId="205F3F16" w14:textId="77777777" w:rsidR="00FF44A3" w:rsidRDefault="74846B25" w:rsidP="74846B25">
      <w:pPr>
        <w:pStyle w:val="ListParagraph"/>
        <w:tabs>
          <w:tab w:val="left" w:pos="7620"/>
        </w:tabs>
        <w:rPr>
          <w:rFonts w:ascii="Verdana" w:hAnsi="Verdana"/>
        </w:rPr>
      </w:pPr>
      <w:r w:rsidRPr="74846B25">
        <w:rPr>
          <w:rFonts w:ascii="Verdana" w:hAnsi="Verdana"/>
        </w:rPr>
        <w:t>b) do not reconcile to the FDR receipts and custodian confirmation resulting in FDR being misstated</w:t>
      </w:r>
    </w:p>
    <w:p w14:paraId="5C449F9F" w14:textId="77777777" w:rsidR="00FF44A3" w:rsidRDefault="74846B25" w:rsidP="74846B25">
      <w:pPr>
        <w:pStyle w:val="ListParagraph"/>
        <w:numPr>
          <w:ilvl w:val="0"/>
          <w:numId w:val="42"/>
        </w:numPr>
        <w:tabs>
          <w:tab w:val="left" w:pos="7620"/>
        </w:tabs>
        <w:rPr>
          <w:rFonts w:ascii="Verdana" w:hAnsi="Verdana"/>
        </w:rPr>
      </w:pPr>
      <w:r w:rsidRPr="74846B25">
        <w:rPr>
          <w:rFonts w:ascii="Verdana" w:hAnsi="Verdana"/>
        </w:rPr>
        <w:t>FDR encashment may not be accounted for properly in the books of accounts.</w:t>
      </w:r>
    </w:p>
    <w:p w14:paraId="100C5B58" w14:textId="77777777" w:rsidR="000A34AD" w:rsidRPr="00FF44A3" w:rsidRDefault="00FF44A3" w:rsidP="00FF44A3">
      <w:pPr>
        <w:tabs>
          <w:tab w:val="left" w:pos="7620"/>
        </w:tabs>
        <w:rPr>
          <w:rFonts w:ascii="Verdana" w:hAnsi="Verdana"/>
        </w:rPr>
      </w:pPr>
      <w:r w:rsidRPr="00FF44A3">
        <w:rPr>
          <w:rFonts w:ascii="Verdana" w:hAnsi="Verdana"/>
        </w:rPr>
        <w:t xml:space="preserve"> </w:t>
      </w:r>
    </w:p>
    <w:p w14:paraId="4F13465C" w14:textId="77777777" w:rsidR="00C57D67" w:rsidRPr="000A34AD" w:rsidRDefault="74846B25" w:rsidP="74846B25">
      <w:pPr>
        <w:pStyle w:val="ListParagraph"/>
        <w:tabs>
          <w:tab w:val="left" w:pos="7620"/>
        </w:tabs>
        <w:rPr>
          <w:rFonts w:ascii="Verdana" w:hAnsi="Verdana"/>
          <w:b/>
          <w:bCs/>
        </w:rPr>
      </w:pPr>
      <w:r w:rsidRPr="74846B25">
        <w:rPr>
          <w:rFonts w:ascii="Verdana" w:hAnsi="Verdana"/>
          <w:b/>
          <w:bCs/>
        </w:rPr>
        <w:t>Control points:</w:t>
      </w:r>
    </w:p>
    <w:p w14:paraId="6CA4AFD8" w14:textId="77777777" w:rsidR="003D3C69" w:rsidRDefault="74846B25" w:rsidP="74846B25">
      <w:pPr>
        <w:pStyle w:val="ListParagraph"/>
        <w:numPr>
          <w:ilvl w:val="0"/>
          <w:numId w:val="43"/>
        </w:numPr>
        <w:tabs>
          <w:tab w:val="left" w:pos="7620"/>
        </w:tabs>
        <w:rPr>
          <w:rFonts w:ascii="Verdana" w:hAnsi="Verdana"/>
        </w:rPr>
      </w:pPr>
      <w:r w:rsidRPr="74846B25">
        <w:rPr>
          <w:rFonts w:ascii="Verdana" w:hAnsi="Verdana"/>
        </w:rPr>
        <w:t>When investment in bond is made, an initial entry is recoded in the Blackrock-Aladdin (Another investment module) by the Regional Investment Team (Hong Kong) which is finalized by US securities team  in PAM and PeopleSoft upon receiving bank statements and bond allotment papers which confirms the occurrence, accuracy and legal title.</w:t>
      </w:r>
    </w:p>
    <w:p w14:paraId="157744A1" w14:textId="77777777" w:rsidR="00907DE9" w:rsidRPr="00907DE9" w:rsidRDefault="74846B25" w:rsidP="74846B25">
      <w:pPr>
        <w:pStyle w:val="ListParagraph"/>
        <w:numPr>
          <w:ilvl w:val="0"/>
          <w:numId w:val="43"/>
        </w:numPr>
        <w:tabs>
          <w:tab w:val="left" w:pos="7620"/>
        </w:tabs>
        <w:rPr>
          <w:rFonts w:ascii="Verdana" w:hAnsi="Verdana"/>
        </w:rPr>
      </w:pPr>
      <w:r w:rsidRPr="74846B25">
        <w:rPr>
          <w:rFonts w:ascii="Verdana" w:hAnsi="Verdana"/>
        </w:rPr>
        <w:t>A statement is obtained from Bangladesh Bank containing all the investments in Treasury Bonds as on cut-off date (Tenor wise Instrument Balance Report).</w:t>
      </w:r>
    </w:p>
    <w:p w14:paraId="3A60D36E" w14:textId="77777777" w:rsidR="0000062A" w:rsidRDefault="74846B25" w:rsidP="74846B25">
      <w:pPr>
        <w:pStyle w:val="ListParagraph"/>
        <w:numPr>
          <w:ilvl w:val="0"/>
          <w:numId w:val="43"/>
        </w:numPr>
        <w:tabs>
          <w:tab w:val="left" w:pos="7620"/>
        </w:tabs>
        <w:rPr>
          <w:rFonts w:ascii="Verdana" w:hAnsi="Verdana"/>
        </w:rPr>
      </w:pPr>
      <w:r w:rsidRPr="74846B25">
        <w:rPr>
          <w:rFonts w:ascii="Verdana" w:hAnsi="Verdana"/>
        </w:rPr>
        <w:t>Global Operation Support Centre (GOSC) team checks the bank statement of SCB before posting cash match entry to People Soft.</w:t>
      </w:r>
    </w:p>
    <w:p w14:paraId="2756A778" w14:textId="77777777" w:rsidR="0089511F" w:rsidRDefault="74846B25" w:rsidP="74846B25">
      <w:pPr>
        <w:pStyle w:val="ListParagraph"/>
        <w:numPr>
          <w:ilvl w:val="0"/>
          <w:numId w:val="43"/>
        </w:numPr>
        <w:tabs>
          <w:tab w:val="left" w:pos="7620"/>
        </w:tabs>
        <w:rPr>
          <w:rFonts w:ascii="Verdana" w:hAnsi="Verdana"/>
        </w:rPr>
      </w:pPr>
      <w:r w:rsidRPr="74846B25">
        <w:rPr>
          <w:rFonts w:ascii="Verdana" w:hAnsi="Verdana"/>
        </w:rPr>
        <w:t>PAM system automatically calculates the BV of Bonds without any manual intervention.</w:t>
      </w:r>
    </w:p>
    <w:p w14:paraId="6C6FC552" w14:textId="77777777" w:rsidR="00C56623" w:rsidRPr="00C56623" w:rsidRDefault="74846B25" w:rsidP="74846B25">
      <w:pPr>
        <w:pStyle w:val="ListParagraph"/>
        <w:numPr>
          <w:ilvl w:val="0"/>
          <w:numId w:val="43"/>
        </w:numPr>
        <w:tabs>
          <w:tab w:val="left" w:pos="7620"/>
        </w:tabs>
        <w:rPr>
          <w:rFonts w:ascii="Verdana" w:hAnsi="Verdana"/>
        </w:rPr>
      </w:pPr>
      <w:r w:rsidRPr="74846B25">
        <w:rPr>
          <w:rFonts w:ascii="Verdana" w:hAnsi="Verdana"/>
        </w:rPr>
        <w:lastRenderedPageBreak/>
        <w:t>ALM Investment Guideline is prepared every year by local investment team which is reviewed by CFO and MetLife Asia Working Group and then approved by MetLife Asia ALM Committee (regional office - Hong Kong).</w:t>
      </w:r>
    </w:p>
    <w:p w14:paraId="78315A38" w14:textId="77777777" w:rsidR="00C56623" w:rsidRPr="00C56623" w:rsidRDefault="74846B25" w:rsidP="74846B25">
      <w:pPr>
        <w:pStyle w:val="ListParagraph"/>
        <w:numPr>
          <w:ilvl w:val="0"/>
          <w:numId w:val="43"/>
        </w:numPr>
        <w:tabs>
          <w:tab w:val="left" w:pos="7620"/>
        </w:tabs>
        <w:rPr>
          <w:rFonts w:ascii="Verdana" w:hAnsi="Verdana"/>
        </w:rPr>
      </w:pPr>
      <w:r w:rsidRPr="74846B25">
        <w:rPr>
          <w:rFonts w:ascii="Verdana" w:hAnsi="Verdana"/>
        </w:rPr>
        <w:t>Investment Compliance Department produces a compliance report every month to raise flags/alerts if the approved ALM Investment Guideline is violated in any way.</w:t>
      </w:r>
    </w:p>
    <w:p w14:paraId="3F0353DE" w14:textId="77777777" w:rsidR="00272342" w:rsidRDefault="74846B25" w:rsidP="74846B25">
      <w:pPr>
        <w:pStyle w:val="ListParagraph"/>
        <w:numPr>
          <w:ilvl w:val="0"/>
          <w:numId w:val="43"/>
        </w:numPr>
        <w:tabs>
          <w:tab w:val="left" w:pos="7620"/>
        </w:tabs>
        <w:rPr>
          <w:rFonts w:ascii="Verdana" w:hAnsi="Verdana"/>
        </w:rPr>
      </w:pPr>
      <w:r w:rsidRPr="74846B25">
        <w:rPr>
          <w:rFonts w:ascii="Verdana" w:hAnsi="Verdana"/>
        </w:rPr>
        <w:t>Investible cash amount is determined by the Investment Team. All the investments in FDRs are checked by CFO and approved by GM.</w:t>
      </w:r>
    </w:p>
    <w:p w14:paraId="1C652956" w14:textId="77777777" w:rsidR="000239F1" w:rsidRDefault="74846B25" w:rsidP="74846B25">
      <w:pPr>
        <w:pStyle w:val="ListParagraph"/>
        <w:numPr>
          <w:ilvl w:val="0"/>
          <w:numId w:val="43"/>
        </w:numPr>
        <w:tabs>
          <w:tab w:val="left" w:pos="7620"/>
        </w:tabs>
        <w:rPr>
          <w:rFonts w:ascii="Verdana" w:hAnsi="Verdana"/>
        </w:rPr>
      </w:pPr>
      <w:r w:rsidRPr="74846B25">
        <w:rPr>
          <w:rFonts w:ascii="Verdana" w:hAnsi="Verdana"/>
        </w:rPr>
        <w:t>Original FDR instrument copies are obtained from concerned banks.</w:t>
      </w:r>
    </w:p>
    <w:p w14:paraId="785638AF" w14:textId="77777777" w:rsidR="00751DF9" w:rsidRDefault="74846B25" w:rsidP="74846B25">
      <w:pPr>
        <w:pStyle w:val="ListParagraph"/>
        <w:numPr>
          <w:ilvl w:val="0"/>
          <w:numId w:val="43"/>
        </w:numPr>
        <w:tabs>
          <w:tab w:val="left" w:pos="7620"/>
        </w:tabs>
        <w:rPr>
          <w:rFonts w:ascii="Verdana" w:hAnsi="Verdana"/>
        </w:rPr>
      </w:pPr>
      <w:r w:rsidRPr="74846B25">
        <w:rPr>
          <w:rFonts w:ascii="Verdana" w:hAnsi="Verdana"/>
        </w:rPr>
        <w:t>All the new investments in Treasury Bonds are primarily approved by regional office (Hong Kong) after checking the compliance with ALM Guideline. Then those are sent to General Manager, Bangladesh through CFO for final approval.</w:t>
      </w:r>
    </w:p>
    <w:p w14:paraId="3BA4BEEE" w14:textId="77777777" w:rsidR="00C965B7" w:rsidRPr="00751DF9" w:rsidRDefault="74846B25" w:rsidP="74846B25">
      <w:pPr>
        <w:pStyle w:val="ListParagraph"/>
        <w:numPr>
          <w:ilvl w:val="0"/>
          <w:numId w:val="43"/>
        </w:numPr>
        <w:tabs>
          <w:tab w:val="left" w:pos="7620"/>
        </w:tabs>
        <w:rPr>
          <w:rFonts w:ascii="Verdana" w:hAnsi="Verdana"/>
        </w:rPr>
      </w:pPr>
      <w:r w:rsidRPr="74846B25">
        <w:rPr>
          <w:rFonts w:ascii="Verdana" w:hAnsi="Verdana"/>
        </w:rPr>
        <w:t>A forwarding letter is sent to respective bank regarding encashment of FDRs which is authorized by CFO and Financial Controller.</w:t>
      </w:r>
    </w:p>
    <w:p w14:paraId="3CE12008" w14:textId="77777777" w:rsidR="00AE4F73" w:rsidRPr="006629DC" w:rsidRDefault="74846B25" w:rsidP="74846B25">
      <w:pPr>
        <w:pStyle w:val="ListParagraph"/>
        <w:numPr>
          <w:ilvl w:val="0"/>
          <w:numId w:val="43"/>
        </w:numPr>
        <w:tabs>
          <w:tab w:val="left" w:pos="7620"/>
        </w:tabs>
        <w:rPr>
          <w:rFonts w:ascii="Verdana" w:hAnsi="Verdana"/>
        </w:rPr>
      </w:pPr>
      <w:r w:rsidRPr="74846B25">
        <w:rPr>
          <w:rFonts w:ascii="Verdana" w:hAnsi="Verdana"/>
        </w:rPr>
        <w:t>A reconciliation is prepared between PAM and GL on monthly basis by local investment team which is checked by Mr. Md. Imran Shikder – Manager, Finance.</w:t>
      </w:r>
    </w:p>
    <w:sectPr w:rsidR="00AE4F73" w:rsidRPr="006629DC" w:rsidSect="004D3061">
      <w:headerReference w:type="default" r:id="rId11"/>
      <w:pgSz w:w="12240" w:h="15840"/>
      <w:pgMar w:top="1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FF5F2" w14:textId="77777777" w:rsidR="009B1AAE" w:rsidRDefault="009B1AAE" w:rsidP="007F6FF6">
      <w:pPr>
        <w:spacing w:after="0" w:line="240" w:lineRule="auto"/>
      </w:pPr>
      <w:r>
        <w:separator/>
      </w:r>
    </w:p>
  </w:endnote>
  <w:endnote w:type="continuationSeparator" w:id="0">
    <w:p w14:paraId="5630AD66" w14:textId="77777777" w:rsidR="009B1AAE" w:rsidRDefault="009B1AAE" w:rsidP="007F6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29076" w14:textId="77777777" w:rsidR="009B1AAE" w:rsidRDefault="009B1AAE" w:rsidP="007F6FF6">
      <w:pPr>
        <w:spacing w:after="0" w:line="240" w:lineRule="auto"/>
      </w:pPr>
      <w:r>
        <w:separator/>
      </w:r>
    </w:p>
  </w:footnote>
  <w:footnote w:type="continuationSeparator" w:id="0">
    <w:p w14:paraId="2BA226A1" w14:textId="77777777" w:rsidR="009B1AAE" w:rsidRDefault="009B1AAE" w:rsidP="007F6F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F6925" w14:textId="77777777" w:rsidR="007F6FF6" w:rsidRPr="00C47F49" w:rsidRDefault="00F0081D" w:rsidP="00611086">
    <w:pPr>
      <w:spacing w:after="0"/>
      <w:ind w:left="7200"/>
      <w:rPr>
        <w:rFonts w:ascii="Trebuchet MS" w:hAnsi="Trebuchet MS"/>
        <w:sz w:val="20"/>
      </w:rPr>
    </w:pPr>
    <w:r>
      <w:rPr>
        <w:rFonts w:ascii="Trebuchet MS" w:hAnsi="Trebuchet MS"/>
        <w:sz w:val="20"/>
      </w:rPr>
      <w:t>Nurul</w:t>
    </w:r>
    <w:r w:rsidR="0078746F">
      <w:rPr>
        <w:rFonts w:ascii="Trebuchet MS" w:hAnsi="Trebuchet MS"/>
        <w:sz w:val="20"/>
      </w:rPr>
      <w:t xml:space="preserve"> </w:t>
    </w:r>
    <w:r>
      <w:rPr>
        <w:rFonts w:ascii="Trebuchet MS" w:hAnsi="Trebuchet MS"/>
        <w:sz w:val="20"/>
      </w:rPr>
      <w:t>Faruk</w:t>
    </w:r>
    <w:r w:rsidR="0078746F">
      <w:rPr>
        <w:rFonts w:ascii="Trebuchet MS" w:hAnsi="Trebuchet MS"/>
        <w:sz w:val="20"/>
      </w:rPr>
      <w:t xml:space="preserve"> </w:t>
    </w:r>
    <w:r>
      <w:rPr>
        <w:rFonts w:ascii="Trebuchet MS" w:hAnsi="Trebuchet MS"/>
        <w:sz w:val="20"/>
      </w:rPr>
      <w:t>Hasan</w:t>
    </w:r>
    <w:r w:rsidR="0078746F">
      <w:rPr>
        <w:rFonts w:ascii="Trebuchet MS" w:hAnsi="Trebuchet MS"/>
        <w:sz w:val="20"/>
      </w:rPr>
      <w:t xml:space="preserve"> </w:t>
    </w:r>
    <w:r>
      <w:rPr>
        <w:rFonts w:ascii="Trebuchet MS" w:hAnsi="Trebuchet MS"/>
        <w:sz w:val="20"/>
      </w:rPr>
      <w:t>&amp; Co</w:t>
    </w:r>
  </w:p>
  <w:p w14:paraId="586BC045" w14:textId="77777777" w:rsidR="007F6FF6" w:rsidRPr="00923CC5" w:rsidRDefault="007F6FF6" w:rsidP="007F6FF6">
    <w:pPr>
      <w:spacing w:after="0"/>
      <w:jc w:val="right"/>
      <w:rPr>
        <w:rFonts w:ascii="Trebuchet MS" w:hAnsi="Trebuchet MS"/>
        <w:sz w:val="20"/>
      </w:rPr>
    </w:pPr>
    <w:r w:rsidRPr="00C47F49">
      <w:rPr>
        <w:rFonts w:ascii="Trebuchet MS" w:hAnsi="Trebuchet MS"/>
        <w:sz w:val="20"/>
      </w:rPr>
      <w:t xml:space="preserve">                    </w:t>
    </w:r>
    <w:r w:rsidR="001D514F">
      <w:rPr>
        <w:rFonts w:ascii="Trebuchet MS" w:hAnsi="Trebuchet MS"/>
        <w:sz w:val="20"/>
      </w:rPr>
      <w:t xml:space="preserve">                        </w:t>
    </w:r>
    <w:r w:rsidRPr="00C47F49">
      <w:rPr>
        <w:rFonts w:ascii="Trebuchet MS" w:hAnsi="Trebuchet MS"/>
        <w:sz w:val="20"/>
      </w:rPr>
      <w:t>Chartered Accountants</w:t>
    </w:r>
  </w:p>
  <w:p w14:paraId="3B7B4B86" w14:textId="77777777" w:rsidR="007F6FF6" w:rsidRDefault="007F6F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0D24"/>
    <w:multiLevelType w:val="hybridMultilevel"/>
    <w:tmpl w:val="292CDCFA"/>
    <w:lvl w:ilvl="0" w:tplc="2CFAE46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4A0A31"/>
    <w:multiLevelType w:val="hybridMultilevel"/>
    <w:tmpl w:val="48E4E83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9E6B30"/>
    <w:multiLevelType w:val="hybridMultilevel"/>
    <w:tmpl w:val="BE8A5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11032"/>
    <w:multiLevelType w:val="hybridMultilevel"/>
    <w:tmpl w:val="48E4E83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85195C"/>
    <w:multiLevelType w:val="hybridMultilevel"/>
    <w:tmpl w:val="57B66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640E9"/>
    <w:multiLevelType w:val="hybridMultilevel"/>
    <w:tmpl w:val="CBCA779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3F71EAE"/>
    <w:multiLevelType w:val="hybridMultilevel"/>
    <w:tmpl w:val="19CAAFCC"/>
    <w:lvl w:ilvl="0" w:tplc="A9408DE0">
      <w:start w:val="1"/>
      <w:numFmt w:val="bullet"/>
      <w:lvlText w:val=""/>
      <w:lvlJc w:val="left"/>
      <w:pPr>
        <w:ind w:left="720" w:hanging="360"/>
      </w:pPr>
      <w:rPr>
        <w:rFonts w:ascii="Wingdings" w:hAnsi="Wingdings"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BF51EA"/>
    <w:multiLevelType w:val="hybridMultilevel"/>
    <w:tmpl w:val="25DE2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980F7F"/>
    <w:multiLevelType w:val="hybridMultilevel"/>
    <w:tmpl w:val="EAAC4DE8"/>
    <w:lvl w:ilvl="0" w:tplc="365A869C">
      <w:start w:val="1"/>
      <w:numFmt w:val="decimal"/>
      <w:lvlText w:val="%1."/>
      <w:lvlJc w:val="left"/>
      <w:pPr>
        <w:ind w:left="1440" w:hanging="36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D3D5FDA"/>
    <w:multiLevelType w:val="hybridMultilevel"/>
    <w:tmpl w:val="F3441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4B0856"/>
    <w:multiLevelType w:val="hybridMultilevel"/>
    <w:tmpl w:val="1D9AFEA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F3A3E56"/>
    <w:multiLevelType w:val="hybridMultilevel"/>
    <w:tmpl w:val="3FEC9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1B0B26"/>
    <w:multiLevelType w:val="hybridMultilevel"/>
    <w:tmpl w:val="067AF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E25F0"/>
    <w:multiLevelType w:val="hybridMultilevel"/>
    <w:tmpl w:val="26A4E4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058B7"/>
    <w:multiLevelType w:val="hybridMultilevel"/>
    <w:tmpl w:val="E116AED6"/>
    <w:lvl w:ilvl="0" w:tplc="E03C194A">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6F6B5F"/>
    <w:multiLevelType w:val="hybridMultilevel"/>
    <w:tmpl w:val="D9BCB6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BBB5592"/>
    <w:multiLevelType w:val="hybridMultilevel"/>
    <w:tmpl w:val="3F68E432"/>
    <w:lvl w:ilvl="0" w:tplc="008A07EC">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D1B0F93"/>
    <w:multiLevelType w:val="hybridMultilevel"/>
    <w:tmpl w:val="4CD863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D99022C"/>
    <w:multiLevelType w:val="hybridMultilevel"/>
    <w:tmpl w:val="50C869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F447331"/>
    <w:multiLevelType w:val="hybridMultilevel"/>
    <w:tmpl w:val="0FB85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D2C6F3A"/>
    <w:multiLevelType w:val="hybridMultilevel"/>
    <w:tmpl w:val="9F8A22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1E3A57"/>
    <w:multiLevelType w:val="hybridMultilevel"/>
    <w:tmpl w:val="6D1410B2"/>
    <w:lvl w:ilvl="0" w:tplc="D9067E3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6F27779"/>
    <w:multiLevelType w:val="hybridMultilevel"/>
    <w:tmpl w:val="42A04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C31AC3"/>
    <w:multiLevelType w:val="hybridMultilevel"/>
    <w:tmpl w:val="16F88A5C"/>
    <w:lvl w:ilvl="0" w:tplc="63E0FD46">
      <w:start w:val="1"/>
      <w:numFmt w:val="decimal"/>
      <w:lvlText w:val="%1."/>
      <w:lvlJc w:val="left"/>
      <w:pPr>
        <w:ind w:left="1440" w:hanging="360"/>
      </w:pPr>
      <w:rPr>
        <w:rFonts w:ascii="Trebuchet MS" w:eastAsia="Times New Roman" w:hAnsi="Trebuchet MS" w:cs="Arial"/>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A84433"/>
    <w:multiLevelType w:val="hybridMultilevel"/>
    <w:tmpl w:val="DE08963C"/>
    <w:lvl w:ilvl="0" w:tplc="4594CC8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3E66EDF"/>
    <w:multiLevelType w:val="hybridMultilevel"/>
    <w:tmpl w:val="26EA4D44"/>
    <w:lvl w:ilvl="0" w:tplc="3B0498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51552EF"/>
    <w:multiLevelType w:val="hybridMultilevel"/>
    <w:tmpl w:val="1EF05F28"/>
    <w:lvl w:ilvl="0" w:tplc="5A6402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5A601FE"/>
    <w:multiLevelType w:val="hybridMultilevel"/>
    <w:tmpl w:val="EAAC4DE8"/>
    <w:lvl w:ilvl="0" w:tplc="365A869C">
      <w:start w:val="1"/>
      <w:numFmt w:val="decimal"/>
      <w:lvlText w:val="%1."/>
      <w:lvlJc w:val="left"/>
      <w:pPr>
        <w:ind w:left="1440" w:hanging="36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5B2D1611"/>
    <w:multiLevelType w:val="hybridMultilevel"/>
    <w:tmpl w:val="0FB85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3685E68"/>
    <w:multiLevelType w:val="hybridMultilevel"/>
    <w:tmpl w:val="1D968D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6767EF7"/>
    <w:multiLevelType w:val="hybridMultilevel"/>
    <w:tmpl w:val="16F88A5C"/>
    <w:lvl w:ilvl="0" w:tplc="63E0FD46">
      <w:start w:val="1"/>
      <w:numFmt w:val="decimal"/>
      <w:lvlText w:val="%1."/>
      <w:lvlJc w:val="left"/>
      <w:pPr>
        <w:ind w:left="1440" w:hanging="360"/>
      </w:pPr>
      <w:rPr>
        <w:rFonts w:ascii="Trebuchet MS" w:eastAsia="Times New Roman" w:hAnsi="Trebuchet MS" w:cs="Arial"/>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3B0511"/>
    <w:multiLevelType w:val="hybridMultilevel"/>
    <w:tmpl w:val="F20C6A0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85C55BA"/>
    <w:multiLevelType w:val="hybridMultilevel"/>
    <w:tmpl w:val="EAAC4DE8"/>
    <w:lvl w:ilvl="0" w:tplc="365A869C">
      <w:start w:val="1"/>
      <w:numFmt w:val="decimal"/>
      <w:lvlText w:val="%1."/>
      <w:lvlJc w:val="left"/>
      <w:pPr>
        <w:ind w:left="1440" w:hanging="36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6A2C5C83"/>
    <w:multiLevelType w:val="hybridMultilevel"/>
    <w:tmpl w:val="C6D8FA3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F171EE"/>
    <w:multiLevelType w:val="hybridMultilevel"/>
    <w:tmpl w:val="1F44E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F573425"/>
    <w:multiLevelType w:val="hybridMultilevel"/>
    <w:tmpl w:val="E40C6072"/>
    <w:lvl w:ilvl="0" w:tplc="0809000F">
      <w:start w:val="1"/>
      <w:numFmt w:val="decimal"/>
      <w:lvlText w:val="%1."/>
      <w:lvlJc w:val="left"/>
      <w:pPr>
        <w:ind w:left="720" w:hanging="360"/>
      </w:pPr>
    </w:lvl>
    <w:lvl w:ilvl="1" w:tplc="656AE8CE">
      <w:start w:val="1"/>
      <w:numFmt w:val="decimal"/>
      <w:lvlText w:val="%2."/>
      <w:lvlJc w:val="left"/>
      <w:pPr>
        <w:ind w:left="1440" w:hanging="360"/>
      </w:pPr>
      <w:rPr>
        <w:rFonts w:ascii="Trebuchet MS" w:eastAsia="Times New Roman" w:hAnsi="Trebuchet MS" w:cs="Arial"/>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CF33D8"/>
    <w:multiLevelType w:val="hybridMultilevel"/>
    <w:tmpl w:val="7562B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0CC11D6"/>
    <w:multiLevelType w:val="hybridMultilevel"/>
    <w:tmpl w:val="015A281C"/>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255888"/>
    <w:multiLevelType w:val="hybridMultilevel"/>
    <w:tmpl w:val="27D0C6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4616EE"/>
    <w:multiLevelType w:val="hybridMultilevel"/>
    <w:tmpl w:val="7AAA6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D16296"/>
    <w:multiLevelType w:val="hybridMultilevel"/>
    <w:tmpl w:val="D16257E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8"/>
  </w:num>
  <w:num w:numId="2">
    <w:abstractNumId w:val="6"/>
  </w:num>
  <w:num w:numId="3">
    <w:abstractNumId w:val="12"/>
  </w:num>
  <w:num w:numId="4">
    <w:abstractNumId w:val="13"/>
  </w:num>
  <w:num w:numId="5">
    <w:abstractNumId w:val="39"/>
  </w:num>
  <w:num w:numId="6">
    <w:abstractNumId w:val="4"/>
  </w:num>
  <w:num w:numId="7">
    <w:abstractNumId w:val="10"/>
  </w:num>
  <w:num w:numId="8">
    <w:abstractNumId w:val="37"/>
  </w:num>
  <w:num w:numId="9">
    <w:abstractNumId w:val="29"/>
  </w:num>
  <w:num w:numId="10">
    <w:abstractNumId w:val="35"/>
  </w:num>
  <w:num w:numId="11">
    <w:abstractNumId w:val="20"/>
  </w:num>
  <w:num w:numId="12">
    <w:abstractNumId w:val="26"/>
  </w:num>
  <w:num w:numId="13">
    <w:abstractNumId w:val="6"/>
  </w:num>
  <w:num w:numId="1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num>
  <w:num w:numId="16">
    <w:abstractNumId w:val="31"/>
  </w:num>
  <w:num w:numId="17">
    <w:abstractNumId w:val="11"/>
  </w:num>
  <w:num w:numId="18">
    <w:abstractNumId w:val="30"/>
  </w:num>
  <w:num w:numId="19">
    <w:abstractNumId w:val="23"/>
  </w:num>
  <w:num w:numId="20">
    <w:abstractNumId w:val="14"/>
  </w:num>
  <w:num w:numId="21">
    <w:abstractNumId w:val="5"/>
  </w:num>
  <w:num w:numId="22">
    <w:abstractNumId w:val="22"/>
  </w:num>
  <w:num w:numId="23">
    <w:abstractNumId w:val="2"/>
  </w:num>
  <w:num w:numId="24">
    <w:abstractNumId w:val="17"/>
  </w:num>
  <w:num w:numId="25">
    <w:abstractNumId w:val="7"/>
  </w:num>
  <w:num w:numId="26">
    <w:abstractNumId w:val="18"/>
  </w:num>
  <w:num w:numId="27">
    <w:abstractNumId w:val="25"/>
  </w:num>
  <w:num w:numId="28">
    <w:abstractNumId w:val="21"/>
  </w:num>
  <w:num w:numId="29">
    <w:abstractNumId w:val="32"/>
  </w:num>
  <w:num w:numId="30">
    <w:abstractNumId w:val="27"/>
  </w:num>
  <w:num w:numId="31">
    <w:abstractNumId w:val="8"/>
  </w:num>
  <w:num w:numId="32">
    <w:abstractNumId w:val="36"/>
  </w:num>
  <w:num w:numId="33">
    <w:abstractNumId w:val="19"/>
  </w:num>
  <w:num w:numId="34">
    <w:abstractNumId w:val="9"/>
  </w:num>
  <w:num w:numId="35">
    <w:abstractNumId w:val="34"/>
  </w:num>
  <w:num w:numId="36">
    <w:abstractNumId w:val="1"/>
  </w:num>
  <w:num w:numId="37">
    <w:abstractNumId w:val="3"/>
  </w:num>
  <w:num w:numId="38">
    <w:abstractNumId w:val="28"/>
  </w:num>
  <w:num w:numId="39">
    <w:abstractNumId w:val="40"/>
  </w:num>
  <w:num w:numId="40">
    <w:abstractNumId w:val="0"/>
  </w:num>
  <w:num w:numId="41">
    <w:abstractNumId w:val="24"/>
  </w:num>
  <w:num w:numId="42">
    <w:abstractNumId w:val="16"/>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A99"/>
    <w:rsid w:val="00000028"/>
    <w:rsid w:val="0000062A"/>
    <w:rsid w:val="00001856"/>
    <w:rsid w:val="00006C8A"/>
    <w:rsid w:val="00007612"/>
    <w:rsid w:val="00012FD5"/>
    <w:rsid w:val="00021F00"/>
    <w:rsid w:val="0002250F"/>
    <w:rsid w:val="000239F1"/>
    <w:rsid w:val="00027710"/>
    <w:rsid w:val="000310C2"/>
    <w:rsid w:val="0003184B"/>
    <w:rsid w:val="00033B79"/>
    <w:rsid w:val="00034ECB"/>
    <w:rsid w:val="00035A2E"/>
    <w:rsid w:val="00036EAE"/>
    <w:rsid w:val="0004124D"/>
    <w:rsid w:val="0004210C"/>
    <w:rsid w:val="00050141"/>
    <w:rsid w:val="000536A1"/>
    <w:rsid w:val="00072085"/>
    <w:rsid w:val="0007447E"/>
    <w:rsid w:val="00083445"/>
    <w:rsid w:val="000853FA"/>
    <w:rsid w:val="000863BB"/>
    <w:rsid w:val="00087AE0"/>
    <w:rsid w:val="000917B1"/>
    <w:rsid w:val="00097E04"/>
    <w:rsid w:val="000A05B2"/>
    <w:rsid w:val="000A26E6"/>
    <w:rsid w:val="000A3406"/>
    <w:rsid w:val="000A34AD"/>
    <w:rsid w:val="000A35A3"/>
    <w:rsid w:val="000A3D32"/>
    <w:rsid w:val="000A4C1A"/>
    <w:rsid w:val="000A5172"/>
    <w:rsid w:val="000A5968"/>
    <w:rsid w:val="000B2EF6"/>
    <w:rsid w:val="000B3681"/>
    <w:rsid w:val="000B44E5"/>
    <w:rsid w:val="000B5578"/>
    <w:rsid w:val="000B6B7E"/>
    <w:rsid w:val="000C3D2D"/>
    <w:rsid w:val="000C4E61"/>
    <w:rsid w:val="000C770F"/>
    <w:rsid w:val="000E0572"/>
    <w:rsid w:val="000E0F69"/>
    <w:rsid w:val="000E1DD6"/>
    <w:rsid w:val="000E3413"/>
    <w:rsid w:val="000E57FA"/>
    <w:rsid w:val="000E5F5F"/>
    <w:rsid w:val="000F4BE2"/>
    <w:rsid w:val="001009A5"/>
    <w:rsid w:val="00101D74"/>
    <w:rsid w:val="00105256"/>
    <w:rsid w:val="00106225"/>
    <w:rsid w:val="00106F44"/>
    <w:rsid w:val="001114F2"/>
    <w:rsid w:val="00112650"/>
    <w:rsid w:val="00114F25"/>
    <w:rsid w:val="001163BF"/>
    <w:rsid w:val="001427F2"/>
    <w:rsid w:val="001522EC"/>
    <w:rsid w:val="001537B2"/>
    <w:rsid w:val="00154CB4"/>
    <w:rsid w:val="0015707C"/>
    <w:rsid w:val="00161189"/>
    <w:rsid w:val="00163FC5"/>
    <w:rsid w:val="00164D7F"/>
    <w:rsid w:val="00164E22"/>
    <w:rsid w:val="00164F8D"/>
    <w:rsid w:val="00171A39"/>
    <w:rsid w:val="00177562"/>
    <w:rsid w:val="001800BC"/>
    <w:rsid w:val="00184182"/>
    <w:rsid w:val="001845DE"/>
    <w:rsid w:val="00184FA8"/>
    <w:rsid w:val="00196634"/>
    <w:rsid w:val="001A12CB"/>
    <w:rsid w:val="001A58F5"/>
    <w:rsid w:val="001A67E6"/>
    <w:rsid w:val="001B15DB"/>
    <w:rsid w:val="001B4971"/>
    <w:rsid w:val="001B6950"/>
    <w:rsid w:val="001B7944"/>
    <w:rsid w:val="001C097B"/>
    <w:rsid w:val="001C1FA7"/>
    <w:rsid w:val="001C4B0B"/>
    <w:rsid w:val="001C78E7"/>
    <w:rsid w:val="001D0080"/>
    <w:rsid w:val="001D2227"/>
    <w:rsid w:val="001D514F"/>
    <w:rsid w:val="001E1972"/>
    <w:rsid w:val="001E24F6"/>
    <w:rsid w:val="001E2A95"/>
    <w:rsid w:val="001E3B26"/>
    <w:rsid w:val="001E5249"/>
    <w:rsid w:val="001E54A1"/>
    <w:rsid w:val="001F04DF"/>
    <w:rsid w:val="001F57F6"/>
    <w:rsid w:val="001F59B9"/>
    <w:rsid w:val="001F63CA"/>
    <w:rsid w:val="001F666D"/>
    <w:rsid w:val="001F6B55"/>
    <w:rsid w:val="00204709"/>
    <w:rsid w:val="002048BA"/>
    <w:rsid w:val="002056D0"/>
    <w:rsid w:val="00206F3A"/>
    <w:rsid w:val="00212A1B"/>
    <w:rsid w:val="00214160"/>
    <w:rsid w:val="00215D58"/>
    <w:rsid w:val="002166B4"/>
    <w:rsid w:val="00220A3E"/>
    <w:rsid w:val="00230DDF"/>
    <w:rsid w:val="00233460"/>
    <w:rsid w:val="00236886"/>
    <w:rsid w:val="00237BA8"/>
    <w:rsid w:val="00241658"/>
    <w:rsid w:val="002416C4"/>
    <w:rsid w:val="0024174A"/>
    <w:rsid w:val="00241EBB"/>
    <w:rsid w:val="00245A19"/>
    <w:rsid w:val="0025130A"/>
    <w:rsid w:val="0025151B"/>
    <w:rsid w:val="002522B8"/>
    <w:rsid w:val="00253034"/>
    <w:rsid w:val="00256D57"/>
    <w:rsid w:val="00260AF2"/>
    <w:rsid w:val="0026249E"/>
    <w:rsid w:val="00266C24"/>
    <w:rsid w:val="00271ED8"/>
    <w:rsid w:val="002722E8"/>
    <w:rsid w:val="00272342"/>
    <w:rsid w:val="00274100"/>
    <w:rsid w:val="002809E1"/>
    <w:rsid w:val="00282AA3"/>
    <w:rsid w:val="00284AD6"/>
    <w:rsid w:val="00286BE6"/>
    <w:rsid w:val="00286E3E"/>
    <w:rsid w:val="002912EC"/>
    <w:rsid w:val="002914BA"/>
    <w:rsid w:val="0029352D"/>
    <w:rsid w:val="00294F6D"/>
    <w:rsid w:val="0029550B"/>
    <w:rsid w:val="002A5130"/>
    <w:rsid w:val="002B2F0B"/>
    <w:rsid w:val="002B34E8"/>
    <w:rsid w:val="002B3665"/>
    <w:rsid w:val="002B4AEB"/>
    <w:rsid w:val="002C0283"/>
    <w:rsid w:val="002C0C51"/>
    <w:rsid w:val="002C4832"/>
    <w:rsid w:val="002C5D97"/>
    <w:rsid w:val="002C69D3"/>
    <w:rsid w:val="002C7E6C"/>
    <w:rsid w:val="002D1ECC"/>
    <w:rsid w:val="002D40DC"/>
    <w:rsid w:val="002D5DD2"/>
    <w:rsid w:val="002D7F9B"/>
    <w:rsid w:val="002E2E8C"/>
    <w:rsid w:val="002E7FA9"/>
    <w:rsid w:val="002F04FA"/>
    <w:rsid w:val="002F34E2"/>
    <w:rsid w:val="002F37D6"/>
    <w:rsid w:val="002F62F4"/>
    <w:rsid w:val="002F775B"/>
    <w:rsid w:val="003019F0"/>
    <w:rsid w:val="00302371"/>
    <w:rsid w:val="00307566"/>
    <w:rsid w:val="00313565"/>
    <w:rsid w:val="003136F5"/>
    <w:rsid w:val="00315801"/>
    <w:rsid w:val="003304F8"/>
    <w:rsid w:val="003308E5"/>
    <w:rsid w:val="0033568C"/>
    <w:rsid w:val="0034114B"/>
    <w:rsid w:val="00344519"/>
    <w:rsid w:val="00347C2B"/>
    <w:rsid w:val="00351952"/>
    <w:rsid w:val="003540D4"/>
    <w:rsid w:val="00355112"/>
    <w:rsid w:val="0035580A"/>
    <w:rsid w:val="00356C97"/>
    <w:rsid w:val="0036091F"/>
    <w:rsid w:val="00361CC3"/>
    <w:rsid w:val="00363136"/>
    <w:rsid w:val="00363B7B"/>
    <w:rsid w:val="00365984"/>
    <w:rsid w:val="00366EE0"/>
    <w:rsid w:val="00367D8A"/>
    <w:rsid w:val="003866EE"/>
    <w:rsid w:val="00386717"/>
    <w:rsid w:val="003929E8"/>
    <w:rsid w:val="003937C1"/>
    <w:rsid w:val="00395AA3"/>
    <w:rsid w:val="0039621F"/>
    <w:rsid w:val="003A1735"/>
    <w:rsid w:val="003A3113"/>
    <w:rsid w:val="003A316C"/>
    <w:rsid w:val="003A68BE"/>
    <w:rsid w:val="003B108A"/>
    <w:rsid w:val="003B288A"/>
    <w:rsid w:val="003C424F"/>
    <w:rsid w:val="003C43CD"/>
    <w:rsid w:val="003D0661"/>
    <w:rsid w:val="003D2154"/>
    <w:rsid w:val="003D3C69"/>
    <w:rsid w:val="003D502E"/>
    <w:rsid w:val="003E0226"/>
    <w:rsid w:val="003E3D30"/>
    <w:rsid w:val="003E49CB"/>
    <w:rsid w:val="003E7B3C"/>
    <w:rsid w:val="00400DC3"/>
    <w:rsid w:val="00400F12"/>
    <w:rsid w:val="00401F56"/>
    <w:rsid w:val="00402CEB"/>
    <w:rsid w:val="00405163"/>
    <w:rsid w:val="00405BD1"/>
    <w:rsid w:val="004105A0"/>
    <w:rsid w:val="00410602"/>
    <w:rsid w:val="00410D55"/>
    <w:rsid w:val="0041152C"/>
    <w:rsid w:val="00416AE7"/>
    <w:rsid w:val="004204A5"/>
    <w:rsid w:val="00420783"/>
    <w:rsid w:val="00421293"/>
    <w:rsid w:val="00422039"/>
    <w:rsid w:val="00427580"/>
    <w:rsid w:val="0043236A"/>
    <w:rsid w:val="00440754"/>
    <w:rsid w:val="00440BC5"/>
    <w:rsid w:val="00441CC6"/>
    <w:rsid w:val="00444117"/>
    <w:rsid w:val="00450B94"/>
    <w:rsid w:val="00452804"/>
    <w:rsid w:val="00453E6A"/>
    <w:rsid w:val="00455CB8"/>
    <w:rsid w:val="0045681E"/>
    <w:rsid w:val="00460279"/>
    <w:rsid w:val="00461407"/>
    <w:rsid w:val="004627C9"/>
    <w:rsid w:val="00470445"/>
    <w:rsid w:val="00470E50"/>
    <w:rsid w:val="004715D9"/>
    <w:rsid w:val="00473C65"/>
    <w:rsid w:val="0047641B"/>
    <w:rsid w:val="0048076B"/>
    <w:rsid w:val="0048199A"/>
    <w:rsid w:val="00481AE6"/>
    <w:rsid w:val="0048290F"/>
    <w:rsid w:val="0048567A"/>
    <w:rsid w:val="004863DA"/>
    <w:rsid w:val="00486A6F"/>
    <w:rsid w:val="004937A2"/>
    <w:rsid w:val="00497479"/>
    <w:rsid w:val="004A054E"/>
    <w:rsid w:val="004A1F81"/>
    <w:rsid w:val="004A5FA8"/>
    <w:rsid w:val="004B1FD1"/>
    <w:rsid w:val="004B259F"/>
    <w:rsid w:val="004C1F80"/>
    <w:rsid w:val="004C38C2"/>
    <w:rsid w:val="004C4537"/>
    <w:rsid w:val="004C6B74"/>
    <w:rsid w:val="004D15CC"/>
    <w:rsid w:val="004D2506"/>
    <w:rsid w:val="004D3061"/>
    <w:rsid w:val="004D39FD"/>
    <w:rsid w:val="004E15C4"/>
    <w:rsid w:val="004E1A83"/>
    <w:rsid w:val="004E7750"/>
    <w:rsid w:val="004F06E2"/>
    <w:rsid w:val="004F2858"/>
    <w:rsid w:val="004F3FAF"/>
    <w:rsid w:val="004F5AA5"/>
    <w:rsid w:val="004F5E28"/>
    <w:rsid w:val="00505257"/>
    <w:rsid w:val="00512A0D"/>
    <w:rsid w:val="0051643D"/>
    <w:rsid w:val="00521D19"/>
    <w:rsid w:val="00522858"/>
    <w:rsid w:val="00534070"/>
    <w:rsid w:val="005414EA"/>
    <w:rsid w:val="00547948"/>
    <w:rsid w:val="00547A2F"/>
    <w:rsid w:val="00550D77"/>
    <w:rsid w:val="00556FA5"/>
    <w:rsid w:val="005578A5"/>
    <w:rsid w:val="005618F9"/>
    <w:rsid w:val="005620B9"/>
    <w:rsid w:val="0056429A"/>
    <w:rsid w:val="00565A50"/>
    <w:rsid w:val="00567C2E"/>
    <w:rsid w:val="00570AE1"/>
    <w:rsid w:val="005718D1"/>
    <w:rsid w:val="0057377A"/>
    <w:rsid w:val="005779A7"/>
    <w:rsid w:val="00585BE9"/>
    <w:rsid w:val="0058740D"/>
    <w:rsid w:val="00587E8D"/>
    <w:rsid w:val="00590FB6"/>
    <w:rsid w:val="00594600"/>
    <w:rsid w:val="005A0A66"/>
    <w:rsid w:val="005A2314"/>
    <w:rsid w:val="005A2E77"/>
    <w:rsid w:val="005A5FD4"/>
    <w:rsid w:val="005B2563"/>
    <w:rsid w:val="005B2A64"/>
    <w:rsid w:val="005B3657"/>
    <w:rsid w:val="005C0B16"/>
    <w:rsid w:val="005E030B"/>
    <w:rsid w:val="005E5627"/>
    <w:rsid w:val="005E5C50"/>
    <w:rsid w:val="005E6E59"/>
    <w:rsid w:val="005E77F1"/>
    <w:rsid w:val="005F2B77"/>
    <w:rsid w:val="006007E7"/>
    <w:rsid w:val="00603B8E"/>
    <w:rsid w:val="0060530B"/>
    <w:rsid w:val="006060EF"/>
    <w:rsid w:val="00611086"/>
    <w:rsid w:val="00612152"/>
    <w:rsid w:val="00615A09"/>
    <w:rsid w:val="00615C72"/>
    <w:rsid w:val="00624DAB"/>
    <w:rsid w:val="00633F80"/>
    <w:rsid w:val="00635850"/>
    <w:rsid w:val="0063762D"/>
    <w:rsid w:val="00643C4A"/>
    <w:rsid w:val="006478A6"/>
    <w:rsid w:val="00653B31"/>
    <w:rsid w:val="00654CA5"/>
    <w:rsid w:val="00654F56"/>
    <w:rsid w:val="00661391"/>
    <w:rsid w:val="006629DC"/>
    <w:rsid w:val="006637BC"/>
    <w:rsid w:val="006663F3"/>
    <w:rsid w:val="0066798D"/>
    <w:rsid w:val="006703FB"/>
    <w:rsid w:val="006765DC"/>
    <w:rsid w:val="006820C3"/>
    <w:rsid w:val="0068448F"/>
    <w:rsid w:val="00685C65"/>
    <w:rsid w:val="00686E9D"/>
    <w:rsid w:val="00690399"/>
    <w:rsid w:val="0069057A"/>
    <w:rsid w:val="00690A65"/>
    <w:rsid w:val="006923E4"/>
    <w:rsid w:val="00692FCE"/>
    <w:rsid w:val="006969A6"/>
    <w:rsid w:val="006A1E43"/>
    <w:rsid w:val="006A32B3"/>
    <w:rsid w:val="006A6951"/>
    <w:rsid w:val="006A7DC9"/>
    <w:rsid w:val="006B133A"/>
    <w:rsid w:val="006C3809"/>
    <w:rsid w:val="006C38BD"/>
    <w:rsid w:val="006C3EFD"/>
    <w:rsid w:val="006C4222"/>
    <w:rsid w:val="006C5CD7"/>
    <w:rsid w:val="006D6208"/>
    <w:rsid w:val="006D6D0F"/>
    <w:rsid w:val="006D74CB"/>
    <w:rsid w:val="006E37EF"/>
    <w:rsid w:val="006E486F"/>
    <w:rsid w:val="006E6A21"/>
    <w:rsid w:val="006E7A4D"/>
    <w:rsid w:val="006F0D0E"/>
    <w:rsid w:val="006F111E"/>
    <w:rsid w:val="006F2B1A"/>
    <w:rsid w:val="006F2E61"/>
    <w:rsid w:val="006F447E"/>
    <w:rsid w:val="00700F54"/>
    <w:rsid w:val="007055CB"/>
    <w:rsid w:val="00705F3D"/>
    <w:rsid w:val="00706B90"/>
    <w:rsid w:val="00707BF8"/>
    <w:rsid w:val="00711D6A"/>
    <w:rsid w:val="007138E5"/>
    <w:rsid w:val="0071477B"/>
    <w:rsid w:val="00716222"/>
    <w:rsid w:val="007225A6"/>
    <w:rsid w:val="007230A2"/>
    <w:rsid w:val="00723510"/>
    <w:rsid w:val="00727368"/>
    <w:rsid w:val="007336C4"/>
    <w:rsid w:val="00737AAC"/>
    <w:rsid w:val="00737ABC"/>
    <w:rsid w:val="00740158"/>
    <w:rsid w:val="00747CA0"/>
    <w:rsid w:val="00751119"/>
    <w:rsid w:val="00751DF9"/>
    <w:rsid w:val="00753074"/>
    <w:rsid w:val="00753190"/>
    <w:rsid w:val="00753EA4"/>
    <w:rsid w:val="00754E30"/>
    <w:rsid w:val="00755D26"/>
    <w:rsid w:val="00765E35"/>
    <w:rsid w:val="007665CE"/>
    <w:rsid w:val="007747FB"/>
    <w:rsid w:val="00782653"/>
    <w:rsid w:val="00782DCA"/>
    <w:rsid w:val="00785747"/>
    <w:rsid w:val="0078746F"/>
    <w:rsid w:val="007958D2"/>
    <w:rsid w:val="00795E69"/>
    <w:rsid w:val="00797830"/>
    <w:rsid w:val="007A43C1"/>
    <w:rsid w:val="007A577A"/>
    <w:rsid w:val="007B0B6F"/>
    <w:rsid w:val="007B0E13"/>
    <w:rsid w:val="007B1815"/>
    <w:rsid w:val="007B18A1"/>
    <w:rsid w:val="007B55C2"/>
    <w:rsid w:val="007B7802"/>
    <w:rsid w:val="007C0163"/>
    <w:rsid w:val="007C45F0"/>
    <w:rsid w:val="007C58BF"/>
    <w:rsid w:val="007C6987"/>
    <w:rsid w:val="007D0896"/>
    <w:rsid w:val="007D2AAF"/>
    <w:rsid w:val="007D6656"/>
    <w:rsid w:val="007D759D"/>
    <w:rsid w:val="007E0615"/>
    <w:rsid w:val="007E1DC5"/>
    <w:rsid w:val="007E315D"/>
    <w:rsid w:val="007E3D9B"/>
    <w:rsid w:val="007F0987"/>
    <w:rsid w:val="007F1A37"/>
    <w:rsid w:val="007F1C20"/>
    <w:rsid w:val="007F2DF6"/>
    <w:rsid w:val="007F6BC2"/>
    <w:rsid w:val="007F6FF6"/>
    <w:rsid w:val="00807004"/>
    <w:rsid w:val="00807318"/>
    <w:rsid w:val="00816776"/>
    <w:rsid w:val="00816998"/>
    <w:rsid w:val="008224F2"/>
    <w:rsid w:val="00823D09"/>
    <w:rsid w:val="00825E3C"/>
    <w:rsid w:val="00827972"/>
    <w:rsid w:val="0083325C"/>
    <w:rsid w:val="00835B89"/>
    <w:rsid w:val="00837AF2"/>
    <w:rsid w:val="00837E3C"/>
    <w:rsid w:val="0084452E"/>
    <w:rsid w:val="00850631"/>
    <w:rsid w:val="00851208"/>
    <w:rsid w:val="00854737"/>
    <w:rsid w:val="00862565"/>
    <w:rsid w:val="0086388B"/>
    <w:rsid w:val="00867022"/>
    <w:rsid w:val="00874BC4"/>
    <w:rsid w:val="00884769"/>
    <w:rsid w:val="008850B8"/>
    <w:rsid w:val="008851EF"/>
    <w:rsid w:val="008873AA"/>
    <w:rsid w:val="008919B7"/>
    <w:rsid w:val="0089511F"/>
    <w:rsid w:val="00896063"/>
    <w:rsid w:val="008966D8"/>
    <w:rsid w:val="008A0517"/>
    <w:rsid w:val="008A1951"/>
    <w:rsid w:val="008A3679"/>
    <w:rsid w:val="008A5A52"/>
    <w:rsid w:val="008A6A11"/>
    <w:rsid w:val="008C12A6"/>
    <w:rsid w:val="008C3E8D"/>
    <w:rsid w:val="008C4FEF"/>
    <w:rsid w:val="008C7204"/>
    <w:rsid w:val="008C7666"/>
    <w:rsid w:val="008D0010"/>
    <w:rsid w:val="008D07BE"/>
    <w:rsid w:val="008D44D8"/>
    <w:rsid w:val="008E46FB"/>
    <w:rsid w:val="008E4E71"/>
    <w:rsid w:val="008E4E78"/>
    <w:rsid w:val="008E5BF2"/>
    <w:rsid w:val="008E7403"/>
    <w:rsid w:val="008F3575"/>
    <w:rsid w:val="008F650F"/>
    <w:rsid w:val="008F7C6B"/>
    <w:rsid w:val="009004EF"/>
    <w:rsid w:val="009006B7"/>
    <w:rsid w:val="00900E18"/>
    <w:rsid w:val="00902E75"/>
    <w:rsid w:val="0090380B"/>
    <w:rsid w:val="00907DE9"/>
    <w:rsid w:val="00907EA4"/>
    <w:rsid w:val="009100D4"/>
    <w:rsid w:val="00910E2F"/>
    <w:rsid w:val="00914337"/>
    <w:rsid w:val="00915145"/>
    <w:rsid w:val="00920DCE"/>
    <w:rsid w:val="009311B5"/>
    <w:rsid w:val="009332AA"/>
    <w:rsid w:val="009379D2"/>
    <w:rsid w:val="00944FE4"/>
    <w:rsid w:val="009466FA"/>
    <w:rsid w:val="00950000"/>
    <w:rsid w:val="00952D33"/>
    <w:rsid w:val="00953FCF"/>
    <w:rsid w:val="00954F64"/>
    <w:rsid w:val="00957B4C"/>
    <w:rsid w:val="00961519"/>
    <w:rsid w:val="00961881"/>
    <w:rsid w:val="00961C20"/>
    <w:rsid w:val="009703F6"/>
    <w:rsid w:val="009711FB"/>
    <w:rsid w:val="00976399"/>
    <w:rsid w:val="00980D79"/>
    <w:rsid w:val="00981F71"/>
    <w:rsid w:val="00982B57"/>
    <w:rsid w:val="00984E42"/>
    <w:rsid w:val="00985764"/>
    <w:rsid w:val="00986C48"/>
    <w:rsid w:val="00991840"/>
    <w:rsid w:val="0099701C"/>
    <w:rsid w:val="009A0DE3"/>
    <w:rsid w:val="009A357F"/>
    <w:rsid w:val="009A539E"/>
    <w:rsid w:val="009A583E"/>
    <w:rsid w:val="009A626D"/>
    <w:rsid w:val="009B1AAE"/>
    <w:rsid w:val="009C0DD3"/>
    <w:rsid w:val="009C53AD"/>
    <w:rsid w:val="009C779C"/>
    <w:rsid w:val="009D08D5"/>
    <w:rsid w:val="009D08EA"/>
    <w:rsid w:val="009D780E"/>
    <w:rsid w:val="009E02B4"/>
    <w:rsid w:val="009E76FB"/>
    <w:rsid w:val="009F0F8E"/>
    <w:rsid w:val="009F213A"/>
    <w:rsid w:val="009F5DDC"/>
    <w:rsid w:val="009F6E66"/>
    <w:rsid w:val="00A008D1"/>
    <w:rsid w:val="00A00A3F"/>
    <w:rsid w:val="00A00B2F"/>
    <w:rsid w:val="00A1304F"/>
    <w:rsid w:val="00A13610"/>
    <w:rsid w:val="00A2010B"/>
    <w:rsid w:val="00A23FF9"/>
    <w:rsid w:val="00A255D2"/>
    <w:rsid w:val="00A2731D"/>
    <w:rsid w:val="00A35472"/>
    <w:rsid w:val="00A3673C"/>
    <w:rsid w:val="00A44E28"/>
    <w:rsid w:val="00A509CD"/>
    <w:rsid w:val="00A609A2"/>
    <w:rsid w:val="00A61056"/>
    <w:rsid w:val="00A6391E"/>
    <w:rsid w:val="00A64057"/>
    <w:rsid w:val="00A6408C"/>
    <w:rsid w:val="00A64D50"/>
    <w:rsid w:val="00A722E4"/>
    <w:rsid w:val="00A726A9"/>
    <w:rsid w:val="00A73D77"/>
    <w:rsid w:val="00A753E5"/>
    <w:rsid w:val="00A83DAA"/>
    <w:rsid w:val="00A84683"/>
    <w:rsid w:val="00A8640A"/>
    <w:rsid w:val="00A86F36"/>
    <w:rsid w:val="00A8778C"/>
    <w:rsid w:val="00A90A0A"/>
    <w:rsid w:val="00A91FD3"/>
    <w:rsid w:val="00A95212"/>
    <w:rsid w:val="00A96EDB"/>
    <w:rsid w:val="00AA2B56"/>
    <w:rsid w:val="00AA3CA0"/>
    <w:rsid w:val="00AB0225"/>
    <w:rsid w:val="00AB3828"/>
    <w:rsid w:val="00AB3BD7"/>
    <w:rsid w:val="00AB641A"/>
    <w:rsid w:val="00AB6700"/>
    <w:rsid w:val="00AB6D97"/>
    <w:rsid w:val="00AC2131"/>
    <w:rsid w:val="00AC5639"/>
    <w:rsid w:val="00AC7D4D"/>
    <w:rsid w:val="00AD1B4D"/>
    <w:rsid w:val="00AD43F2"/>
    <w:rsid w:val="00AD78A4"/>
    <w:rsid w:val="00AE2182"/>
    <w:rsid w:val="00AE4553"/>
    <w:rsid w:val="00AE4F73"/>
    <w:rsid w:val="00AE7B06"/>
    <w:rsid w:val="00AF143F"/>
    <w:rsid w:val="00AF6A06"/>
    <w:rsid w:val="00AF6E47"/>
    <w:rsid w:val="00AF74DC"/>
    <w:rsid w:val="00B0328D"/>
    <w:rsid w:val="00B03861"/>
    <w:rsid w:val="00B0639B"/>
    <w:rsid w:val="00B066BC"/>
    <w:rsid w:val="00B06B8A"/>
    <w:rsid w:val="00B1351D"/>
    <w:rsid w:val="00B1390C"/>
    <w:rsid w:val="00B1393E"/>
    <w:rsid w:val="00B16B5E"/>
    <w:rsid w:val="00B16F61"/>
    <w:rsid w:val="00B20ACA"/>
    <w:rsid w:val="00B32A5E"/>
    <w:rsid w:val="00B335E2"/>
    <w:rsid w:val="00B34455"/>
    <w:rsid w:val="00B34DA8"/>
    <w:rsid w:val="00B35535"/>
    <w:rsid w:val="00B35AFD"/>
    <w:rsid w:val="00B470A4"/>
    <w:rsid w:val="00B54D1B"/>
    <w:rsid w:val="00B5526D"/>
    <w:rsid w:val="00B555CD"/>
    <w:rsid w:val="00B564FD"/>
    <w:rsid w:val="00B63233"/>
    <w:rsid w:val="00B64AA1"/>
    <w:rsid w:val="00B64C49"/>
    <w:rsid w:val="00B6564A"/>
    <w:rsid w:val="00B661C1"/>
    <w:rsid w:val="00B66269"/>
    <w:rsid w:val="00B678F1"/>
    <w:rsid w:val="00B73170"/>
    <w:rsid w:val="00B751FD"/>
    <w:rsid w:val="00B77FB3"/>
    <w:rsid w:val="00B81265"/>
    <w:rsid w:val="00B815D8"/>
    <w:rsid w:val="00B82579"/>
    <w:rsid w:val="00B86DC8"/>
    <w:rsid w:val="00B873B5"/>
    <w:rsid w:val="00B877E7"/>
    <w:rsid w:val="00B93816"/>
    <w:rsid w:val="00B97342"/>
    <w:rsid w:val="00BA0622"/>
    <w:rsid w:val="00BA475E"/>
    <w:rsid w:val="00BB16B7"/>
    <w:rsid w:val="00BB23E3"/>
    <w:rsid w:val="00BB4E29"/>
    <w:rsid w:val="00BB7624"/>
    <w:rsid w:val="00BC1C68"/>
    <w:rsid w:val="00BC2D89"/>
    <w:rsid w:val="00BC31CF"/>
    <w:rsid w:val="00BC6755"/>
    <w:rsid w:val="00BD0CBC"/>
    <w:rsid w:val="00BD4638"/>
    <w:rsid w:val="00BD4FAC"/>
    <w:rsid w:val="00BD5AD6"/>
    <w:rsid w:val="00BE100C"/>
    <w:rsid w:val="00BE24B7"/>
    <w:rsid w:val="00BE3DB3"/>
    <w:rsid w:val="00BE5C54"/>
    <w:rsid w:val="00BE6462"/>
    <w:rsid w:val="00BF167D"/>
    <w:rsid w:val="00BF3A99"/>
    <w:rsid w:val="00C018E6"/>
    <w:rsid w:val="00C0456E"/>
    <w:rsid w:val="00C0575B"/>
    <w:rsid w:val="00C06F6C"/>
    <w:rsid w:val="00C118DA"/>
    <w:rsid w:val="00C12081"/>
    <w:rsid w:val="00C123FB"/>
    <w:rsid w:val="00C12472"/>
    <w:rsid w:val="00C1553E"/>
    <w:rsid w:val="00C15A95"/>
    <w:rsid w:val="00C201E6"/>
    <w:rsid w:val="00C205A8"/>
    <w:rsid w:val="00C25F6F"/>
    <w:rsid w:val="00C3091E"/>
    <w:rsid w:val="00C3173C"/>
    <w:rsid w:val="00C368AF"/>
    <w:rsid w:val="00C402AE"/>
    <w:rsid w:val="00C41CDC"/>
    <w:rsid w:val="00C474A8"/>
    <w:rsid w:val="00C51BFC"/>
    <w:rsid w:val="00C52F95"/>
    <w:rsid w:val="00C54C20"/>
    <w:rsid w:val="00C5524A"/>
    <w:rsid w:val="00C56202"/>
    <w:rsid w:val="00C56623"/>
    <w:rsid w:val="00C57ACD"/>
    <w:rsid w:val="00C57BDE"/>
    <w:rsid w:val="00C57D67"/>
    <w:rsid w:val="00C6089B"/>
    <w:rsid w:val="00C610E0"/>
    <w:rsid w:val="00C63559"/>
    <w:rsid w:val="00C646E1"/>
    <w:rsid w:val="00C67CD7"/>
    <w:rsid w:val="00C7309D"/>
    <w:rsid w:val="00C74D3F"/>
    <w:rsid w:val="00C74F5D"/>
    <w:rsid w:val="00C90F09"/>
    <w:rsid w:val="00C91918"/>
    <w:rsid w:val="00C961DC"/>
    <w:rsid w:val="00C965B7"/>
    <w:rsid w:val="00C97432"/>
    <w:rsid w:val="00CA07FA"/>
    <w:rsid w:val="00CA3CEE"/>
    <w:rsid w:val="00CA63DD"/>
    <w:rsid w:val="00CA7853"/>
    <w:rsid w:val="00CB012C"/>
    <w:rsid w:val="00CB1BCC"/>
    <w:rsid w:val="00CB779E"/>
    <w:rsid w:val="00CB78BF"/>
    <w:rsid w:val="00CC0718"/>
    <w:rsid w:val="00CC1C4A"/>
    <w:rsid w:val="00CC2DE1"/>
    <w:rsid w:val="00CC45AB"/>
    <w:rsid w:val="00CD330E"/>
    <w:rsid w:val="00CD3DC2"/>
    <w:rsid w:val="00CD57D0"/>
    <w:rsid w:val="00CD5A60"/>
    <w:rsid w:val="00CD6DB0"/>
    <w:rsid w:val="00CD7849"/>
    <w:rsid w:val="00CD7E28"/>
    <w:rsid w:val="00CE1E11"/>
    <w:rsid w:val="00CE2E77"/>
    <w:rsid w:val="00CE4529"/>
    <w:rsid w:val="00CE574B"/>
    <w:rsid w:val="00CE579D"/>
    <w:rsid w:val="00CE612E"/>
    <w:rsid w:val="00CE64A0"/>
    <w:rsid w:val="00CF278E"/>
    <w:rsid w:val="00CF337B"/>
    <w:rsid w:val="00CF5A9F"/>
    <w:rsid w:val="00CF6BE5"/>
    <w:rsid w:val="00D00338"/>
    <w:rsid w:val="00D0188A"/>
    <w:rsid w:val="00D1281E"/>
    <w:rsid w:val="00D21FF0"/>
    <w:rsid w:val="00D221F4"/>
    <w:rsid w:val="00D23177"/>
    <w:rsid w:val="00D24FE1"/>
    <w:rsid w:val="00D26D3B"/>
    <w:rsid w:val="00D342E3"/>
    <w:rsid w:val="00D36439"/>
    <w:rsid w:val="00D40E92"/>
    <w:rsid w:val="00D41D51"/>
    <w:rsid w:val="00D42ACC"/>
    <w:rsid w:val="00D42C65"/>
    <w:rsid w:val="00D42CDA"/>
    <w:rsid w:val="00D442DD"/>
    <w:rsid w:val="00D4506E"/>
    <w:rsid w:val="00D46D11"/>
    <w:rsid w:val="00D51243"/>
    <w:rsid w:val="00D558A5"/>
    <w:rsid w:val="00D56D3D"/>
    <w:rsid w:val="00D56E16"/>
    <w:rsid w:val="00D60BC0"/>
    <w:rsid w:val="00D63F8A"/>
    <w:rsid w:val="00D66A82"/>
    <w:rsid w:val="00D66AFB"/>
    <w:rsid w:val="00D671EF"/>
    <w:rsid w:val="00D67488"/>
    <w:rsid w:val="00D70126"/>
    <w:rsid w:val="00D71BA5"/>
    <w:rsid w:val="00D774F8"/>
    <w:rsid w:val="00D83A5E"/>
    <w:rsid w:val="00D908D9"/>
    <w:rsid w:val="00D937C4"/>
    <w:rsid w:val="00D94E17"/>
    <w:rsid w:val="00D965D4"/>
    <w:rsid w:val="00D972E5"/>
    <w:rsid w:val="00D972F3"/>
    <w:rsid w:val="00DA1630"/>
    <w:rsid w:val="00DA4CC1"/>
    <w:rsid w:val="00DA5369"/>
    <w:rsid w:val="00DA5648"/>
    <w:rsid w:val="00DB09BA"/>
    <w:rsid w:val="00DB42B9"/>
    <w:rsid w:val="00DB5417"/>
    <w:rsid w:val="00DB5F33"/>
    <w:rsid w:val="00DC076D"/>
    <w:rsid w:val="00DC0BCA"/>
    <w:rsid w:val="00DD04EA"/>
    <w:rsid w:val="00DD12CB"/>
    <w:rsid w:val="00DD1B3D"/>
    <w:rsid w:val="00DD3116"/>
    <w:rsid w:val="00DD430E"/>
    <w:rsid w:val="00DD4D40"/>
    <w:rsid w:val="00DD68BE"/>
    <w:rsid w:val="00DD7BA9"/>
    <w:rsid w:val="00DE34E6"/>
    <w:rsid w:val="00DE41C0"/>
    <w:rsid w:val="00DE4CBF"/>
    <w:rsid w:val="00DE73A0"/>
    <w:rsid w:val="00DF1066"/>
    <w:rsid w:val="00DF221C"/>
    <w:rsid w:val="00E015C2"/>
    <w:rsid w:val="00E05452"/>
    <w:rsid w:val="00E1163B"/>
    <w:rsid w:val="00E14618"/>
    <w:rsid w:val="00E153F9"/>
    <w:rsid w:val="00E17C98"/>
    <w:rsid w:val="00E20D69"/>
    <w:rsid w:val="00E20EA1"/>
    <w:rsid w:val="00E218A8"/>
    <w:rsid w:val="00E23794"/>
    <w:rsid w:val="00E25031"/>
    <w:rsid w:val="00E25F70"/>
    <w:rsid w:val="00E2688A"/>
    <w:rsid w:val="00E26A5A"/>
    <w:rsid w:val="00E36E19"/>
    <w:rsid w:val="00E36F6F"/>
    <w:rsid w:val="00E40C1E"/>
    <w:rsid w:val="00E40EC6"/>
    <w:rsid w:val="00E46D91"/>
    <w:rsid w:val="00E52654"/>
    <w:rsid w:val="00E55076"/>
    <w:rsid w:val="00E5623F"/>
    <w:rsid w:val="00E57B1D"/>
    <w:rsid w:val="00E6372B"/>
    <w:rsid w:val="00E67730"/>
    <w:rsid w:val="00E70054"/>
    <w:rsid w:val="00E709C2"/>
    <w:rsid w:val="00E73554"/>
    <w:rsid w:val="00E768CC"/>
    <w:rsid w:val="00E770B1"/>
    <w:rsid w:val="00E77EB6"/>
    <w:rsid w:val="00E8475B"/>
    <w:rsid w:val="00E90AD8"/>
    <w:rsid w:val="00E92B9B"/>
    <w:rsid w:val="00E9404A"/>
    <w:rsid w:val="00E966E0"/>
    <w:rsid w:val="00EA0F73"/>
    <w:rsid w:val="00EA1EB5"/>
    <w:rsid w:val="00EA2C3E"/>
    <w:rsid w:val="00EA2CDF"/>
    <w:rsid w:val="00EA402B"/>
    <w:rsid w:val="00EA5D49"/>
    <w:rsid w:val="00EA6A6C"/>
    <w:rsid w:val="00EB376D"/>
    <w:rsid w:val="00EC011E"/>
    <w:rsid w:val="00EC1B7A"/>
    <w:rsid w:val="00EC2472"/>
    <w:rsid w:val="00EC2ABE"/>
    <w:rsid w:val="00EC4FC9"/>
    <w:rsid w:val="00EC501E"/>
    <w:rsid w:val="00EC5A41"/>
    <w:rsid w:val="00EC6FB9"/>
    <w:rsid w:val="00EC78C9"/>
    <w:rsid w:val="00ED331A"/>
    <w:rsid w:val="00ED5AE8"/>
    <w:rsid w:val="00EE3241"/>
    <w:rsid w:val="00EE7947"/>
    <w:rsid w:val="00EF47F2"/>
    <w:rsid w:val="00EF5A67"/>
    <w:rsid w:val="00F0081D"/>
    <w:rsid w:val="00F02D1B"/>
    <w:rsid w:val="00F03B5C"/>
    <w:rsid w:val="00F07F70"/>
    <w:rsid w:val="00F1047F"/>
    <w:rsid w:val="00F141B4"/>
    <w:rsid w:val="00F161B8"/>
    <w:rsid w:val="00F16F22"/>
    <w:rsid w:val="00F179F5"/>
    <w:rsid w:val="00F24B59"/>
    <w:rsid w:val="00F25083"/>
    <w:rsid w:val="00F2644E"/>
    <w:rsid w:val="00F27523"/>
    <w:rsid w:val="00F30B60"/>
    <w:rsid w:val="00F31B45"/>
    <w:rsid w:val="00F32F03"/>
    <w:rsid w:val="00F36692"/>
    <w:rsid w:val="00F4179D"/>
    <w:rsid w:val="00F41AE2"/>
    <w:rsid w:val="00F44853"/>
    <w:rsid w:val="00F450A1"/>
    <w:rsid w:val="00F469B1"/>
    <w:rsid w:val="00F51EA0"/>
    <w:rsid w:val="00F54E87"/>
    <w:rsid w:val="00F56361"/>
    <w:rsid w:val="00F640CA"/>
    <w:rsid w:val="00F659FD"/>
    <w:rsid w:val="00F664A6"/>
    <w:rsid w:val="00F70768"/>
    <w:rsid w:val="00F70C96"/>
    <w:rsid w:val="00F72232"/>
    <w:rsid w:val="00F72D2A"/>
    <w:rsid w:val="00F744D1"/>
    <w:rsid w:val="00F75B6E"/>
    <w:rsid w:val="00F81BA6"/>
    <w:rsid w:val="00F86841"/>
    <w:rsid w:val="00F9216E"/>
    <w:rsid w:val="00F93D00"/>
    <w:rsid w:val="00F96B1F"/>
    <w:rsid w:val="00F97599"/>
    <w:rsid w:val="00FA0B31"/>
    <w:rsid w:val="00FA0B99"/>
    <w:rsid w:val="00FA21C8"/>
    <w:rsid w:val="00FA2A88"/>
    <w:rsid w:val="00FA4658"/>
    <w:rsid w:val="00FA7BFA"/>
    <w:rsid w:val="00FB542B"/>
    <w:rsid w:val="00FB661E"/>
    <w:rsid w:val="00FB683D"/>
    <w:rsid w:val="00FC21D7"/>
    <w:rsid w:val="00FC38D6"/>
    <w:rsid w:val="00FC7C20"/>
    <w:rsid w:val="00FD0E5E"/>
    <w:rsid w:val="00FD2E57"/>
    <w:rsid w:val="00FD4478"/>
    <w:rsid w:val="00FE1C6D"/>
    <w:rsid w:val="00FE40AE"/>
    <w:rsid w:val="00FE4A7B"/>
    <w:rsid w:val="00FE504E"/>
    <w:rsid w:val="00FE6837"/>
    <w:rsid w:val="00FF062C"/>
    <w:rsid w:val="00FF118E"/>
    <w:rsid w:val="00FF44A3"/>
    <w:rsid w:val="00FF6C48"/>
    <w:rsid w:val="00FF6D69"/>
    <w:rsid w:val="74846B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71821B"/>
  <w15:docId w15:val="{899450DC-9885-483C-8AFA-8F7A39CA6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850"/>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850"/>
    <w:pPr>
      <w:ind w:left="720"/>
      <w:contextualSpacing/>
    </w:pPr>
  </w:style>
  <w:style w:type="paragraph" w:customStyle="1" w:styleId="Default">
    <w:name w:val="Default"/>
    <w:rsid w:val="00635850"/>
    <w:pPr>
      <w:autoSpaceDE w:val="0"/>
      <w:autoSpaceDN w:val="0"/>
      <w:adjustRightInd w:val="0"/>
      <w:spacing w:after="0" w:line="240" w:lineRule="auto"/>
    </w:pPr>
    <w:rPr>
      <w:rFonts w:ascii="Georgia" w:hAnsi="Georgia" w:cs="Georgia"/>
      <w:color w:val="000000"/>
      <w:sz w:val="24"/>
      <w:szCs w:val="24"/>
      <w:lang w:val="en-GB"/>
    </w:rPr>
  </w:style>
  <w:style w:type="paragraph" w:styleId="NoSpacing">
    <w:name w:val="No Spacing"/>
    <w:uiPriority w:val="1"/>
    <w:qFormat/>
    <w:rsid w:val="00957B4C"/>
    <w:pPr>
      <w:spacing w:after="0" w:line="240" w:lineRule="auto"/>
    </w:pPr>
    <w:rPr>
      <w:rFonts w:eastAsiaTheme="minorEastAsia"/>
    </w:rPr>
  </w:style>
  <w:style w:type="table" w:styleId="TableGrid">
    <w:name w:val="Table Grid"/>
    <w:basedOn w:val="TableNormal"/>
    <w:uiPriority w:val="39"/>
    <w:rsid w:val="00957B4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6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FF6"/>
    <w:rPr>
      <w:rFonts w:eastAsiaTheme="minorEastAsia"/>
    </w:rPr>
  </w:style>
  <w:style w:type="paragraph" w:styleId="Footer">
    <w:name w:val="footer"/>
    <w:basedOn w:val="Normal"/>
    <w:link w:val="FooterChar"/>
    <w:uiPriority w:val="99"/>
    <w:unhideWhenUsed/>
    <w:rsid w:val="007F6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FF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32583">
      <w:bodyDiv w:val="1"/>
      <w:marLeft w:val="0"/>
      <w:marRight w:val="0"/>
      <w:marTop w:val="0"/>
      <w:marBottom w:val="0"/>
      <w:divBdr>
        <w:top w:val="none" w:sz="0" w:space="0" w:color="auto"/>
        <w:left w:val="none" w:sz="0" w:space="0" w:color="auto"/>
        <w:bottom w:val="none" w:sz="0" w:space="0" w:color="auto"/>
        <w:right w:val="none" w:sz="0" w:space="0" w:color="auto"/>
      </w:divBdr>
    </w:div>
    <w:div w:id="634919072">
      <w:bodyDiv w:val="1"/>
      <w:marLeft w:val="0"/>
      <w:marRight w:val="0"/>
      <w:marTop w:val="0"/>
      <w:marBottom w:val="0"/>
      <w:divBdr>
        <w:top w:val="none" w:sz="0" w:space="0" w:color="auto"/>
        <w:left w:val="none" w:sz="0" w:space="0" w:color="auto"/>
        <w:bottom w:val="none" w:sz="0" w:space="0" w:color="auto"/>
        <w:right w:val="none" w:sz="0" w:space="0" w:color="auto"/>
      </w:divBdr>
    </w:div>
    <w:div w:id="784079866">
      <w:bodyDiv w:val="1"/>
      <w:marLeft w:val="0"/>
      <w:marRight w:val="0"/>
      <w:marTop w:val="0"/>
      <w:marBottom w:val="0"/>
      <w:divBdr>
        <w:top w:val="none" w:sz="0" w:space="0" w:color="auto"/>
        <w:left w:val="none" w:sz="0" w:space="0" w:color="auto"/>
        <w:bottom w:val="none" w:sz="0" w:space="0" w:color="auto"/>
        <w:right w:val="none" w:sz="0" w:space="0" w:color="auto"/>
      </w:divBdr>
    </w:div>
    <w:div w:id="945385487">
      <w:bodyDiv w:val="1"/>
      <w:marLeft w:val="0"/>
      <w:marRight w:val="0"/>
      <w:marTop w:val="0"/>
      <w:marBottom w:val="0"/>
      <w:divBdr>
        <w:top w:val="none" w:sz="0" w:space="0" w:color="auto"/>
        <w:left w:val="none" w:sz="0" w:space="0" w:color="auto"/>
        <w:bottom w:val="none" w:sz="0" w:space="0" w:color="auto"/>
        <w:right w:val="none" w:sz="0" w:space="0" w:color="auto"/>
      </w:divBdr>
    </w:div>
    <w:div w:id="1342195229">
      <w:bodyDiv w:val="1"/>
      <w:marLeft w:val="0"/>
      <w:marRight w:val="0"/>
      <w:marTop w:val="0"/>
      <w:marBottom w:val="0"/>
      <w:divBdr>
        <w:top w:val="none" w:sz="0" w:space="0" w:color="auto"/>
        <w:left w:val="none" w:sz="0" w:space="0" w:color="auto"/>
        <w:bottom w:val="none" w:sz="0" w:space="0" w:color="auto"/>
        <w:right w:val="none" w:sz="0" w:space="0" w:color="auto"/>
      </w:divBdr>
    </w:div>
    <w:div w:id="1389187493">
      <w:bodyDiv w:val="1"/>
      <w:marLeft w:val="0"/>
      <w:marRight w:val="0"/>
      <w:marTop w:val="0"/>
      <w:marBottom w:val="0"/>
      <w:divBdr>
        <w:top w:val="none" w:sz="0" w:space="0" w:color="auto"/>
        <w:left w:val="none" w:sz="0" w:space="0" w:color="auto"/>
        <w:bottom w:val="none" w:sz="0" w:space="0" w:color="auto"/>
        <w:right w:val="none" w:sz="0" w:space="0" w:color="auto"/>
      </w:divBdr>
    </w:div>
    <w:div w:id="139076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707E214C565FF469F8822499A580089" ma:contentTypeVersion="1" ma:contentTypeDescription="Create a new document." ma:contentTypeScope="" ma:versionID="e2a728d70fe6f13d287c6ad081cc8356">
  <xsd:schema xmlns:xsd="http://www.w3.org/2001/XMLSchema" xmlns:xs="http://www.w3.org/2001/XMLSchema" xmlns:p="http://schemas.microsoft.com/office/2006/metadata/properties" xmlns:ns2="e46f3890-444c-4674-b4e6-207715c1e17a" targetNamespace="http://schemas.microsoft.com/office/2006/metadata/properties" ma:root="true" ma:fieldsID="583668afe7ef93d2e6d29b9ff31ff8da" ns2:_="">
    <xsd:import namespace="e46f3890-444c-4674-b4e6-207715c1e17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6f3890-444c-4674-b4e6-207715c1e17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DD233-DCE1-4448-BECB-E23E54BC9A71}">
  <ds:schemaRefs>
    <ds:schemaRef ds:uri="http://schemas.microsoft.com/sharepoint/v3/contenttype/forms"/>
  </ds:schemaRefs>
</ds:datastoreItem>
</file>

<file path=customXml/itemProps2.xml><?xml version="1.0" encoding="utf-8"?>
<ds:datastoreItem xmlns:ds="http://schemas.openxmlformats.org/officeDocument/2006/customXml" ds:itemID="{D3CE29CE-5128-4473-89C2-52F73082D0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6f3890-444c-4674-b4e6-207715c1e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011BC4-15ED-46C4-B970-9BAEA160C08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1886DC7-C116-4D91-8BF7-B72DA4C31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1808</Words>
  <Characters>10310</Characters>
  <Application>Microsoft Office Word</Application>
  <DocSecurity>0</DocSecurity>
  <Lines>85</Lines>
  <Paragraphs>24</Paragraphs>
  <ScaleCrop>false</ScaleCrop>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 Usha Roy</dc:creator>
  <cp:keywords/>
  <dc:description/>
  <cp:lastModifiedBy>Rudro, Md. Enamul Haq</cp:lastModifiedBy>
  <cp:revision>80</cp:revision>
  <dcterms:created xsi:type="dcterms:W3CDTF">2020-03-03T09:26:00Z</dcterms:created>
  <dcterms:modified xsi:type="dcterms:W3CDTF">2022-10-03T05:13:00Z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0x010100C707E214C565FF469F8822499A580089</vt:lpwstr>
  </property>
  <property fmtid="{D5CDD505-2E9C-101B-9397-08002B2CF9AE}" pid="3" name="MSIP_Label_ea60d57e-af5b-4752-ac57-3e4f28ca11dc_Enabled">
    <vt:lpwstr>true</vt:lpwstr>
  </property>
  <property fmtid="{D5CDD505-2E9C-101B-9397-08002B2CF9AE}" pid="4" name="MSIP_Label_ea60d57e-af5b-4752-ac57-3e4f28ca11dc_SetDate">
    <vt:lpwstr>2022-10-03T05:12:50Z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1eaf56dc-ba46-4255-9df9-8eff81700fef</vt:lpwstr>
  </property>
  <property fmtid="{D5CDD505-2E9C-101B-9397-08002B2CF9AE}" pid="9" name="MSIP_Label_ea60d57e-af5b-4752-ac57-3e4f28ca11dc_ContentBits">
    <vt:lpwstr>0</vt:lpwstr>
  </property>
</Properties>
</file>