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Bdr>
          <w:bottom w:val="single" w:sz="18" w:space="1" w:color="000000"/>
        </w:pBdr>
      </w:pPr>
    </w:p>
    <w:p>
      <w:pPr>
        <w:keepNext w:val="0"/>
        <w:spacing w:before="160" w:after="40" w:line="276" w:lineRule="auto"/>
        <w:jc w:val="center"/>
      </w:pPr>
      <w:r>
        <w:rPr>
          <w:rFonts w:ascii="Times New Roman" w:hAnsi="Times New Roman" w:cs="Times New Roman" w:eastAsia="Times New Roman"/>
          <w:b/>
          <w:i w:val="0"/>
          <w:color w:val="000000"/>
          <w:sz w:val="38"/>
        </w:rPr>
        <w:t>CASE STUDY REPORT</w:t>
      </w:r>
    </w:p>
    <w:p>
      <w:pPr>
        <w:keepNext w:val="0"/>
        <w:spacing w:before="0" w:after="120" w:line="276" w:lineRule="auto"/>
        <w:jc w:val="center"/>
      </w:pPr>
      <w:r>
        <w:rPr>
          <w:rFonts w:ascii="Times New Roman" w:hAnsi="Times New Roman" w:cs="Times New Roman" w:eastAsia="Times New Roman"/>
          <w:b/>
          <w:i w:val="0"/>
          <w:color w:val="000000"/>
          <w:sz w:val="25"/>
        </w:rPr>
        <w:t>Artificial Intelligence for Investments</w:t>
      </w:r>
    </w:p>
    <w:p>
      <w:pPr>
        <w:spacing w:before="0" w:after="40"/>
        <w:pBdr>
          <w:bottom w:val="single" w:sz="18" w:space="1" w:color="000000"/>
        </w:pBdr>
      </w:pPr>
    </w:p>
    <w:p>
      <w:pPr>
        <w:keepNext w:val="0"/>
        <w:spacing w:before="280" w:after="240" w:line="276" w:lineRule="auto"/>
        <w:jc w:val="center"/>
      </w:pPr>
      <w:r>
        <w:rPr>
          <w:rFonts w:ascii="Times New Roman" w:hAnsi="Times New Roman" w:cs="Times New Roman" w:eastAsia="Times New Roman"/>
          <w:b/>
          <w:i w:val="0"/>
          <w:color w:val="000000"/>
          <w:sz w:val="30"/>
        </w:rPr>
        <w:t>Analysis of Nifty / Sensex Historical Data Using R</w:t>
      </w:r>
    </w:p>
    <w:p>
      <w:pPr>
        <w:tabs>
          <w:tab w:pos="2494" w:val="left"/>
        </w:tabs>
        <w:spacing w:before="0" w:after="40" w:line="276" w:lineRule="auto"/>
        <w:jc w:val="left"/>
      </w:pPr>
      <w:r>
        <w:rPr>
          <w:rFonts w:ascii="Times New Roman" w:hAnsi="Times New Roman" w:cs="Times New Roman" w:eastAsia="Times New Roman"/>
          <w:b/>
          <w:i w:val="0"/>
          <w:color w:val="000000"/>
          <w:sz w:val="22"/>
        </w:rPr>
        <w:t>Student Name:</w:t>
        <w:tab/>
      </w:r>
      <w:r>
        <w:rPr>
          <w:rFonts w:ascii="Times New Roman" w:hAnsi="Times New Roman" w:cs="Times New Roman" w:eastAsia="Times New Roman"/>
          <w:b w:val="0"/>
          <w:i w:val="0"/>
          <w:color w:val="000000"/>
          <w:sz w:val="22"/>
        </w:rPr>
        <w:t>Tanish Jagtap</w:t>
      </w:r>
    </w:p>
    <w:p>
      <w:pPr>
        <w:tabs>
          <w:tab w:pos="2494" w:val="left"/>
        </w:tabs>
        <w:spacing w:before="0" w:after="40" w:line="276" w:lineRule="auto"/>
        <w:jc w:val="left"/>
      </w:pPr>
      <w:r>
        <w:rPr>
          <w:rFonts w:ascii="Times New Roman" w:hAnsi="Times New Roman" w:cs="Times New Roman" w:eastAsia="Times New Roman"/>
          <w:b/>
          <w:i w:val="0"/>
          <w:color w:val="000000"/>
          <w:sz w:val="22"/>
        </w:rPr>
        <w:t>Roll No.:</w:t>
        <w:tab/>
      </w:r>
      <w:r>
        <w:rPr>
          <w:rFonts w:ascii="Times New Roman" w:hAnsi="Times New Roman" w:cs="Times New Roman" w:eastAsia="Times New Roman"/>
          <w:b w:val="0"/>
          <w:i w:val="0"/>
          <w:color w:val="000000"/>
          <w:sz w:val="22"/>
        </w:rPr>
        <w:t>58</w:t>
      </w:r>
    </w:p>
    <w:p>
      <w:pPr>
        <w:tabs>
          <w:tab w:pos="2494" w:val="left"/>
        </w:tabs>
        <w:spacing w:before="0" w:after="40" w:line="276" w:lineRule="auto"/>
        <w:jc w:val="left"/>
      </w:pPr>
      <w:r>
        <w:rPr>
          <w:rFonts w:ascii="Times New Roman" w:hAnsi="Times New Roman" w:cs="Times New Roman" w:eastAsia="Times New Roman"/>
          <w:b/>
          <w:i w:val="0"/>
          <w:color w:val="000000"/>
          <w:sz w:val="22"/>
        </w:rPr>
        <w:t>PRN:</w:t>
        <w:tab/>
      </w:r>
      <w:r>
        <w:rPr>
          <w:rFonts w:ascii="Times New Roman" w:hAnsi="Times New Roman" w:cs="Times New Roman" w:eastAsia="Times New Roman"/>
          <w:b w:val="0"/>
          <w:i w:val="0"/>
          <w:color w:val="000000"/>
          <w:sz w:val="22"/>
        </w:rPr>
        <w:t>23610060</w:t>
      </w:r>
    </w:p>
    <w:p>
      <w:pPr>
        <w:tabs>
          <w:tab w:pos="2494" w:val="left"/>
        </w:tabs>
        <w:spacing w:before="0" w:after="40" w:line="276" w:lineRule="auto"/>
        <w:jc w:val="left"/>
      </w:pPr>
      <w:r>
        <w:rPr>
          <w:rFonts w:ascii="Times New Roman" w:hAnsi="Times New Roman" w:cs="Times New Roman" w:eastAsia="Times New Roman"/>
          <w:b/>
          <w:i w:val="0"/>
          <w:color w:val="000000"/>
          <w:sz w:val="22"/>
        </w:rPr>
        <w:t>Class/Division:</w:t>
        <w:tab/>
      </w:r>
      <w:r>
        <w:rPr>
          <w:rFonts w:ascii="Times New Roman" w:hAnsi="Times New Roman" w:cs="Times New Roman" w:eastAsia="Times New Roman"/>
          <w:b w:val="0"/>
          <w:i w:val="0"/>
          <w:color w:val="000000"/>
          <w:sz w:val="22"/>
        </w:rPr>
        <w:t>B.Tech. — Artificial Intelligence &amp; Data Science</w:t>
      </w:r>
    </w:p>
    <w:p>
      <w:pPr>
        <w:tabs>
          <w:tab w:pos="2494" w:val="left"/>
        </w:tabs>
        <w:spacing w:before="0" w:after="40" w:line="276" w:lineRule="auto"/>
        <w:jc w:val="left"/>
      </w:pPr>
      <w:r>
        <w:rPr>
          <w:rFonts w:ascii="Times New Roman" w:hAnsi="Times New Roman" w:cs="Times New Roman" w:eastAsia="Times New Roman"/>
          <w:b/>
          <w:i w:val="0"/>
          <w:color w:val="000000"/>
          <w:sz w:val="22"/>
        </w:rPr>
        <w:t>Case No.:</w:t>
        <w:tab/>
      </w:r>
      <w:r>
        <w:rPr>
          <w:rFonts w:ascii="Times New Roman" w:hAnsi="Times New Roman" w:cs="Times New Roman" w:eastAsia="Times New Roman"/>
          <w:b w:val="0"/>
          <w:i w:val="0"/>
          <w:color w:val="000000"/>
          <w:sz w:val="22"/>
        </w:rPr>
        <w:t>01</w:t>
      </w:r>
    </w:p>
    <w:p>
      <w:pPr>
        <w:tabs>
          <w:tab w:pos="2494" w:val="left"/>
        </w:tabs>
        <w:spacing w:before="0" w:after="40" w:line="276" w:lineRule="auto"/>
        <w:jc w:val="left"/>
      </w:pPr>
      <w:r>
        <w:rPr>
          <w:rFonts w:ascii="Times New Roman" w:hAnsi="Times New Roman" w:cs="Times New Roman" w:eastAsia="Times New Roman"/>
          <w:b/>
          <w:i w:val="0"/>
          <w:color w:val="000000"/>
          <w:sz w:val="22"/>
        </w:rPr>
        <w:t>Case Study Title:</w:t>
        <w:tab/>
      </w:r>
      <w:r>
        <w:rPr>
          <w:rFonts w:ascii="Times New Roman" w:hAnsi="Times New Roman" w:cs="Times New Roman" w:eastAsia="Times New Roman"/>
          <w:b w:val="0"/>
          <w:i w:val="0"/>
          <w:color w:val="000000"/>
          <w:sz w:val="22"/>
        </w:rPr>
        <w:t>Analysis of Nifty / Sensex Historical Data Using R</w:t>
      </w:r>
    </w:p>
    <w:p>
      <w:pPr>
        <w:tabs>
          <w:tab w:pos="2494" w:val="left"/>
        </w:tabs>
        <w:spacing w:before="0" w:after="40" w:line="276" w:lineRule="auto"/>
        <w:jc w:val="left"/>
      </w:pPr>
      <w:r>
        <w:rPr>
          <w:rFonts w:ascii="Times New Roman" w:hAnsi="Times New Roman" w:cs="Times New Roman" w:eastAsia="Times New Roman"/>
          <w:b/>
          <w:i w:val="0"/>
          <w:color w:val="000000"/>
          <w:sz w:val="22"/>
        </w:rPr>
        <w:t>Subject:</w:t>
        <w:tab/>
      </w:r>
      <w:r>
        <w:rPr>
          <w:rFonts w:ascii="Times New Roman" w:hAnsi="Times New Roman" w:cs="Times New Roman" w:eastAsia="Times New Roman"/>
          <w:b w:val="0"/>
          <w:i w:val="0"/>
          <w:color w:val="000000"/>
          <w:sz w:val="22"/>
        </w:rPr>
        <w:t>Artificial Intelligence for Investments</w:t>
      </w:r>
    </w:p>
    <w:p>
      <w:pPr>
        <w:tabs>
          <w:tab w:pos="2494" w:val="left"/>
        </w:tabs>
        <w:spacing w:before="0" w:after="40" w:line="276" w:lineRule="auto"/>
        <w:jc w:val="left"/>
      </w:pPr>
      <w:r>
        <w:rPr>
          <w:rFonts w:ascii="Times New Roman" w:hAnsi="Times New Roman" w:cs="Times New Roman" w:eastAsia="Times New Roman"/>
          <w:b/>
          <w:i w:val="0"/>
          <w:color w:val="000000"/>
          <w:sz w:val="22"/>
        </w:rPr>
        <w:t>Faculty:</w:t>
        <w:tab/>
      </w:r>
      <w:r>
        <w:rPr>
          <w:rFonts w:ascii="Times New Roman" w:hAnsi="Times New Roman" w:cs="Times New Roman" w:eastAsia="Times New Roman"/>
          <w:b w:val="0"/>
          <w:i w:val="0"/>
          <w:color w:val="000000"/>
          <w:sz w:val="22"/>
        </w:rPr>
        <w:t>Prof. Bhagyashree Gore</w:t>
      </w:r>
    </w:p>
    <w:p>
      <w:pPr>
        <w:tabs>
          <w:tab w:pos="2494" w:val="left"/>
        </w:tabs>
        <w:spacing w:before="0" w:after="40" w:line="276" w:lineRule="auto"/>
        <w:jc w:val="left"/>
      </w:pPr>
      <w:r>
        <w:rPr>
          <w:rFonts w:ascii="Times New Roman" w:hAnsi="Times New Roman" w:cs="Times New Roman" w:eastAsia="Times New Roman"/>
          <w:b/>
          <w:i w:val="0"/>
          <w:color w:val="000000"/>
          <w:sz w:val="22"/>
        </w:rPr>
        <w:t>Date:</w:t>
        <w:tab/>
      </w:r>
      <w:r>
        <w:rPr>
          <w:rFonts w:ascii="Times New Roman" w:hAnsi="Times New Roman" w:cs="Times New Roman" w:eastAsia="Times New Roman"/>
          <w:b w:val="0"/>
          <w:i w:val="0"/>
          <w:color w:val="000000"/>
          <w:sz w:val="22"/>
        </w:rPr>
        <w:t>31 August 2026</w:t>
      </w:r>
    </w:p>
    <w:p>
      <w:pPr>
        <w:keepNext w:val="0"/>
        <w:spacing w:before="160" w:after="120" w:line="276" w:lineRule="auto"/>
        <w:jc w:val="left"/>
      </w:pPr>
      <w:r>
        <w:rPr>
          <w:rFonts w:ascii="Times New Roman" w:hAnsi="Times New Roman" w:cs="Times New Roman" w:eastAsia="Times New Roman"/>
          <w:b w:val="0"/>
          <w:i/>
          <w:color w:val="000000"/>
          <w:sz w:val="19"/>
        </w:rPr>
        <w:t>Data used: Sensex from 3 January 2000 and Nifty 50 from 17 September 2007, both up to 27 August 2026. All numbers given in this report were calculated from this data using R.</w:t>
      </w:r>
    </w:p>
    <w:p>
      <w:pPr>
        <w:keepNext/>
        <w:pageBreakBefore w:val="0"/>
        <w:spacing w:before="320" w:after="140"/>
        <w:pBdr>
          <w:bottom w:val="single" w:sz="8" w:space="3" w:color="000000"/>
        </w:pBdr>
      </w:pPr>
      <w:r>
        <w:rPr>
          <w:rFonts w:ascii="Times New Roman" w:hAnsi="Times New Roman" w:cs="Times New Roman" w:eastAsia="Times New Roman"/>
          <w:b/>
          <w:i w:val="0"/>
          <w:color w:val="000000"/>
          <w:sz w:val="26"/>
        </w:rPr>
        <w:t>1.  Case Background &amp; Problem Statement</w:t>
      </w:r>
    </w:p>
    <w:p>
      <w:pPr>
        <w:keepNext w:val="0"/>
        <w:spacing w:before="0" w:after="120" w:line="276" w:lineRule="auto"/>
        <w:jc w:val="both"/>
      </w:pPr>
      <w:r>
        <w:rPr>
          <w:rFonts w:ascii="Times New Roman" w:hAnsi="Times New Roman" w:cs="Times New Roman" w:eastAsia="Times New Roman"/>
          <w:b w:val="0"/>
          <w:i w:val="0"/>
          <w:color w:val="000000"/>
          <w:sz w:val="22"/>
        </w:rPr>
        <w:t>The Nifty 50 and the Sensex are the two main share market indexes in India. Mutual funds, index funds and many other investment products are based on them. Most of the risk calculations used with these indexes assume two things. First, that daily returns follow a normal curve. Second, that risk stays at one fixed level. The past data does not agree with either idea. The Nifty 50 gained 76 per cent in 2009 and lost 52 per cent in 2008. Its yearly risk level moved between 9 and 45 per cent in different years. This case study checks three simple questions using real data: do returns follow a normal curve, can the direction of the market be predicted, and does the risk stay the same?</w:t>
      </w:r>
    </w:p>
    <w:p>
      <w:pPr>
        <w:keepNext/>
        <w:pageBreakBefore w:val="0"/>
        <w:spacing w:before="320" w:after="140"/>
        <w:pBdr>
          <w:bottom w:val="single" w:sz="8" w:space="3" w:color="000000"/>
        </w:pBdr>
      </w:pPr>
      <w:r>
        <w:rPr>
          <w:rFonts w:ascii="Times New Roman" w:hAnsi="Times New Roman" w:cs="Times New Roman" w:eastAsia="Times New Roman"/>
          <w:b/>
          <w:i w:val="0"/>
          <w:color w:val="000000"/>
          <w:sz w:val="26"/>
        </w:rPr>
        <w:t>2.  Understanding of Case &amp; Technology Selection</w:t>
      </w:r>
    </w:p>
    <w:p>
      <w:pPr>
        <w:keepNext/>
        <w:pageBreakBefore w:val="0"/>
        <w:spacing w:before="200" w:after="80"/>
      </w:pPr>
      <w:r>
        <w:rPr>
          <w:rFonts w:ascii="Times New Roman" w:hAnsi="Times New Roman" w:cs="Times New Roman" w:eastAsia="Times New Roman"/>
          <w:b/>
          <w:i w:val="0"/>
          <w:color w:val="000000"/>
          <w:sz w:val="23"/>
        </w:rPr>
        <w:t>Relevant Concept/Technology:</w:t>
      </w:r>
    </w:p>
    <w:p>
      <w:pPr>
        <w:keepNext w:val="0"/>
        <w:spacing w:before="0" w:after="120" w:line="276" w:lineRule="auto"/>
        <w:jc w:val="both"/>
      </w:pPr>
      <w:r>
        <w:rPr>
          <w:rFonts w:ascii="Times New Roman" w:hAnsi="Times New Roman" w:cs="Times New Roman" w:eastAsia="Times New Roman"/>
          <w:b w:val="0"/>
          <w:i w:val="0"/>
          <w:color w:val="000000"/>
          <w:sz w:val="22"/>
        </w:rPr>
        <w:t>This case study uses time series statistics. Four ideas are needed. Stationary data means the average and the spread do not change with time, and most tests are valid only on such data. Market efficiency means past prices cannot tell us the future direction. Volatility clustering means big moves are followed by more big moves. Changing variance means the risk level itself moves up and down over time, and the ARCH and GARCH models are made to handle this.</w:t>
      </w:r>
    </w:p>
    <w:p>
      <w:pPr>
        <w:keepNext/>
        <w:pageBreakBefore w:val="0"/>
        <w:spacing w:before="200" w:after="80"/>
      </w:pPr>
      <w:r>
        <w:rPr>
          <w:rFonts w:ascii="Times New Roman" w:hAnsi="Times New Roman" w:cs="Times New Roman" w:eastAsia="Times New Roman"/>
          <w:b/>
          <w:i w:val="0"/>
          <w:color w:val="000000"/>
          <w:sz w:val="23"/>
        </w:rPr>
        <w:t>Tools/Technologies Required:</w:t>
      </w:r>
    </w:p>
    <w:p>
      <w:pPr>
        <w:keepNext w:val="0"/>
        <w:spacing w:before="0" w:after="160" w:line="276" w:lineRule="auto"/>
        <w:jc w:val="both"/>
      </w:pPr>
      <w:r>
        <w:rPr>
          <w:rFonts w:ascii="Times New Roman" w:hAnsi="Times New Roman" w:cs="Times New Roman" w:eastAsia="Times New Roman"/>
          <w:b w:val="0"/>
          <w:i w:val="0"/>
          <w:color w:val="000000"/>
          <w:sz w:val="22"/>
        </w:rPr>
        <w:t>R is used for the whole analysis. The packages used are listed below. A second version of the code is also given that uses no packages at all.</w:t>
      </w:r>
    </w:p>
    <w:tbl>
      <w:tblPr>
        <w:tblW w:type="auto" w:w="0"/>
        <w:jc w:val="center"/>
        <w:tblLayout w:type="fixed"/>
        <w:tblLook w:firstColumn="1" w:firstRow="1" w:lastColumn="0" w:lastRow="0" w:noHBand="0" w:noVBand="1" w:val="04A0"/>
      </w:tblPr>
      <w:tblGrid>
        <w:gridCol w:w="4706"/>
        <w:gridCol w:w="4706"/>
      </w:tblGrid>
      <w:tr>
        <w:tc>
          <w:tcPr>
            <w:tcW w:type="dxa" w:w="249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Package</w:t>
            </w:r>
          </w:p>
        </w:tc>
        <w:tc>
          <w:tcPr>
            <w:tcW w:type="dxa" w:w="6917"/>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Use in this case study</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quantmod</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Downloads the Nifty 50 and Sensex price data</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xts / zoo</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Stores the data by date and handles market holidays</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tseries</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ADF test for stationary data, Jarque-Bera test for normal curve</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FinTS</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ARCH test, to check if the risk level changes</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rugarch</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Fits the GARCH(1,1) model</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PerformanceAnalytics</w:t>
            </w:r>
          </w:p>
        </w:tc>
        <w:tc>
          <w:tcPr>
            <w:tcW w:type="dxa" w:w="6917"/>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Risk numbers such as loss limits and fall from peak</w:t>
            </w:r>
          </w:p>
        </w:tc>
      </w:tr>
      <w:tr>
        <w:tc>
          <w:tcPr>
            <w:tcW w:type="dxa" w:w="249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Base R</w:t>
            </w:r>
          </w:p>
        </w:tc>
        <w:tc>
          <w:tcPr>
            <w:tcW w:type="dxa" w:w="6917"/>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Ljung-Box test, correlation, graphs. No package needed</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1  </w:t>
      </w:r>
      <w:r>
        <w:rPr>
          <w:rFonts w:ascii="Times New Roman" w:hAnsi="Times New Roman" w:cs="Times New Roman" w:eastAsia="Times New Roman"/>
          <w:b w:val="0"/>
          <w:i/>
          <w:color w:val="000000"/>
          <w:sz w:val="17"/>
        </w:rPr>
        <w:t>R packages used and the work each one does.</w:t>
      </w:r>
    </w:p>
    <w:p>
      <w:pPr>
        <w:keepNext/>
        <w:pageBreakBefore w:val="0"/>
        <w:spacing w:before="200" w:after="80"/>
      </w:pPr>
      <w:r>
        <w:rPr>
          <w:rFonts w:ascii="Times New Roman" w:hAnsi="Times New Roman" w:cs="Times New Roman" w:eastAsia="Times New Roman"/>
          <w:b/>
          <w:i w:val="0"/>
          <w:color w:val="000000"/>
          <w:sz w:val="23"/>
        </w:rPr>
        <w:t>Justification:</w:t>
      </w:r>
    </w:p>
    <w:p>
      <w:pPr>
        <w:keepNext w:val="0"/>
        <w:spacing w:before="0" w:after="120" w:line="276" w:lineRule="auto"/>
        <w:jc w:val="both"/>
      </w:pPr>
      <w:r>
        <w:rPr>
          <w:rFonts w:ascii="Times New Roman" w:hAnsi="Times New Roman" w:cs="Times New Roman" w:eastAsia="Times New Roman"/>
          <w:b w:val="0"/>
          <w:i w:val="0"/>
          <w:color w:val="000000"/>
          <w:sz w:val="22"/>
        </w:rPr>
        <w:t>R is chosen because all of these tests are already available in it as ready functions, so they do not have to be written again. R also handles market holidays and missing days correctly, which is where normal spreadsheet work usually goes wrong. R is free and open source, so the same work can be repeated by anyone at no cost.</w:t>
      </w:r>
    </w:p>
    <w:p>
      <w:pPr>
        <w:keepNext/>
        <w:pageBreakBefore/>
        <w:spacing w:before="0" w:after="140"/>
        <w:pBdr>
          <w:bottom w:val="single" w:sz="8" w:space="3" w:color="000000"/>
        </w:pBdr>
      </w:pPr>
      <w:r>
        <w:rPr>
          <w:rFonts w:ascii="Times New Roman" w:hAnsi="Times New Roman" w:cs="Times New Roman" w:eastAsia="Times New Roman"/>
          <w:b/>
          <w:i w:val="0"/>
          <w:color w:val="000000"/>
          <w:sz w:val="26"/>
        </w:rPr>
        <w:t>3.  Proposed Analysis Approach</w:t>
      </w:r>
    </w:p>
    <w:p>
      <w:pPr>
        <w:keepNext/>
        <w:pageBreakBefore w:val="0"/>
        <w:spacing w:before="200" w:after="80"/>
      </w:pPr>
      <w:r>
        <w:rPr>
          <w:rFonts w:ascii="Times New Roman" w:hAnsi="Times New Roman" w:cs="Times New Roman" w:eastAsia="Times New Roman"/>
          <w:b/>
          <w:i w:val="0"/>
          <w:color w:val="000000"/>
          <w:sz w:val="23"/>
        </w:rPr>
        <w:t>Architecture/Flow:</w:t>
      </w:r>
    </w:p>
    <w:p>
      <w:pPr>
        <w:keepNext w:val="0"/>
        <w:spacing w:before="0" w:after="80" w:line="276" w:lineRule="auto"/>
        <w:jc w:val="center"/>
      </w:pPr>
      <w:r>
        <w:rPr>
          <w:rFonts w:ascii="Times New Roman" w:hAnsi="Times New Roman" w:cs="Times New Roman" w:eastAsia="Times New Roman"/>
          <w:b/>
          <w:i w:val="0"/>
          <w:color w:val="000000"/>
          <w:sz w:val="22"/>
        </w:rPr>
        <w:t>Data  →  Read data  →  Clean data  →  Find returns  →  Run tests  →  Result</w:t>
      </w:r>
    </w:p>
    <w:p>
      <w:pPr>
        <w:keepNext/>
        <w:spacing w:before="120" w:after="40"/>
        <w:jc w:val="center"/>
      </w:pPr>
      <w:r>
        <w:drawing>
          <wp:inline xmlns:a="http://schemas.openxmlformats.org/drawingml/2006/main" xmlns:pic="http://schemas.openxmlformats.org/drawingml/2006/picture">
            <wp:extent cx="5976000" cy="1912320"/>
            <wp:docPr id="1" name="Picture 1"/>
            <wp:cNvGraphicFramePr>
              <a:graphicFrameLocks noChangeAspect="1"/>
            </wp:cNvGraphicFramePr>
            <a:graphic>
              <a:graphicData uri="http://schemas.openxmlformats.org/drawingml/2006/picture">
                <pic:pic>
                  <pic:nvPicPr>
                    <pic:cNvPr id="0" name="fig7_block.png"/>
                    <pic:cNvPicPr/>
                  </pic:nvPicPr>
                  <pic:blipFill>
                    <a:blip r:embed="rId10"/>
                    <a:stretch>
                      <a:fillRect/>
                    </a:stretch>
                  </pic:blipFill>
                  <pic:spPr>
                    <a:xfrm>
                      <a:off x="0" y="0"/>
                      <a:ext cx="5976000" cy="1912320"/>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1  </w:t>
      </w:r>
      <w:r>
        <w:rPr>
          <w:rFonts w:ascii="Times New Roman" w:hAnsi="Times New Roman" w:cs="Times New Roman" w:eastAsia="Times New Roman"/>
          <w:b w:val="0"/>
          <w:i/>
          <w:color w:val="000000"/>
          <w:sz w:val="17"/>
        </w:rPr>
        <w:t>Block diagram of the work. The dotted line shows that the model is checked again if the test still shows a problem.</w:t>
      </w:r>
    </w:p>
    <w:p>
      <w:pPr>
        <w:keepNext w:val="0"/>
        <w:spacing w:before="0" w:after="120" w:line="276" w:lineRule="auto"/>
        <w:jc w:val="both"/>
      </w:pPr>
      <w:r>
        <w:rPr>
          <w:rFonts w:ascii="Times New Roman" w:hAnsi="Times New Roman" w:cs="Times New Roman" w:eastAsia="Times New Roman"/>
          <w:b w:val="0"/>
          <w:i w:val="0"/>
          <w:color w:val="000000"/>
          <w:sz w:val="22"/>
        </w:rPr>
        <w:t>The daily closing prices of both indexes are read into R. The data is cleaned by removing blank rows and matching the dates of the two indexes. Prices are then changed into daily returns using the formula r = 100 × ln(P today / P yesterday). This log form is used because such returns can be added over days, which is needed for one of the later tests. The tests are then run in a fixed order, because each test decides whether the next one is useful. First the shape of the data is checked with the Jarque-Bera test. Then the ADF test checks if the data is stationary. Then the variance ratio test checks if the direction can be predicted. Then the Ljung-Box and ARCH tests check if big moves come together. Only if the ARCH test shows a problem is the GARCH(1,1) model fitted. After fitting, the model is checked once more, and if the problem is still there the model has to be changed.</w:t>
      </w:r>
    </w:p>
    <w:p>
      <w:pPr>
        <w:keepNext/>
        <w:spacing w:before="120" w:after="40"/>
        <w:jc w:val="center"/>
      </w:pPr>
      <w:r>
        <w:drawing>
          <wp:inline xmlns:a="http://schemas.openxmlformats.org/drawingml/2006/main" xmlns:pic="http://schemas.openxmlformats.org/drawingml/2006/picture">
            <wp:extent cx="3960000" cy="2818588"/>
            <wp:docPr id="2" name="Picture 2"/>
            <wp:cNvGraphicFramePr>
              <a:graphicFrameLocks noChangeAspect="1"/>
            </wp:cNvGraphicFramePr>
            <a:graphic>
              <a:graphicData uri="http://schemas.openxmlformats.org/drawingml/2006/picture">
                <pic:pic>
                  <pic:nvPicPr>
                    <pic:cNvPr id="0" name="fig8_flow.png"/>
                    <pic:cNvPicPr/>
                  </pic:nvPicPr>
                  <pic:blipFill>
                    <a:blip r:embed="rId11"/>
                    <a:stretch>
                      <a:fillRect/>
                    </a:stretch>
                  </pic:blipFill>
                  <pic:spPr>
                    <a:xfrm>
                      <a:off x="0" y="0"/>
                      <a:ext cx="3960000" cy="2818588"/>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2  </w:t>
      </w:r>
      <w:r>
        <w:rPr>
          <w:rFonts w:ascii="Times New Roman" w:hAnsi="Times New Roman" w:cs="Times New Roman" w:eastAsia="Times New Roman"/>
          <w:b w:val="0"/>
          <w:i/>
          <w:color w:val="000000"/>
          <w:sz w:val="17"/>
        </w:rPr>
        <w:t>Steps followed in the study.</w:t>
      </w:r>
    </w:p>
    <w:p>
      <w:pPr>
        <w:keepNext/>
        <w:pageBreakBefore w:val="0"/>
        <w:spacing w:before="200" w:after="80"/>
      </w:pPr>
      <w:r>
        <w:rPr>
          <w:rFonts w:ascii="Times New Roman" w:hAnsi="Times New Roman" w:cs="Times New Roman" w:eastAsia="Times New Roman"/>
          <w:b/>
          <w:i w:val="0"/>
          <w:color w:val="000000"/>
          <w:sz w:val="23"/>
        </w:rPr>
        <w:t>Analysis:</w:t>
      </w:r>
    </w:p>
    <w:p>
      <w:pPr>
        <w:keepNext w:val="0"/>
        <w:spacing w:before="0" w:after="120" w:line="276" w:lineRule="auto"/>
        <w:jc w:val="both"/>
      </w:pPr>
      <w:r>
        <w:rPr>
          <w:rFonts w:ascii="Times New Roman" w:hAnsi="Times New Roman" w:cs="Times New Roman" w:eastAsia="Times New Roman"/>
          <w:b w:val="0"/>
          <w:i w:val="0"/>
          <w:color w:val="000000"/>
          <w:sz w:val="22"/>
        </w:rPr>
        <w:t>The aim is not to predict the price of the index. The aim is to find out what the data is really like, so that any model built later is based on tested facts and not on guesses. Every test result is given in Appendix A with its value.</w:t>
      </w:r>
    </w:p>
    <w:p>
      <w:pPr>
        <w:keepNext/>
        <w:pageBreakBefore/>
        <w:spacing w:before="0" w:after="140"/>
        <w:pBdr>
          <w:bottom w:val="single" w:sz="8" w:space="3" w:color="000000"/>
        </w:pBdr>
      </w:pPr>
      <w:r>
        <w:rPr>
          <w:rFonts w:ascii="Times New Roman" w:hAnsi="Times New Roman" w:cs="Times New Roman" w:eastAsia="Times New Roman"/>
          <w:b/>
          <w:i w:val="0"/>
          <w:color w:val="000000"/>
          <w:sz w:val="26"/>
        </w:rPr>
        <w:t>4.  Expected Findings &amp; Significance</w:t>
      </w:r>
    </w:p>
    <w:p>
      <w:pPr>
        <w:keepNext/>
        <w:pageBreakBefore w:val="0"/>
        <w:spacing w:before="200" w:after="80"/>
      </w:pPr>
      <w:r>
        <w:rPr>
          <w:rFonts w:ascii="Times New Roman" w:hAnsi="Times New Roman" w:cs="Times New Roman" w:eastAsia="Times New Roman"/>
          <w:b/>
          <w:i w:val="0"/>
          <w:color w:val="000000"/>
          <w:sz w:val="23"/>
        </w:rPr>
        <w:t>Expected Findings:</w:t>
      </w:r>
    </w:p>
    <w:p>
      <w:pPr>
        <w:keepNext w:val="0"/>
        <w:spacing w:before="0" w:after="120" w:line="276" w:lineRule="auto"/>
        <w:jc w:val="both"/>
      </w:pPr>
      <w:r>
        <w:rPr>
          <w:rFonts w:ascii="Times New Roman" w:hAnsi="Times New Roman" w:cs="Times New Roman" w:eastAsia="Times New Roman"/>
          <w:b w:val="0"/>
          <w:i w:val="0"/>
          <w:color w:val="000000"/>
          <w:sz w:val="22"/>
        </w:rPr>
        <w:t>Daily returns are expected to not follow a normal curve, with more very large moves than a normal curve allows. Prices are expected to be non stationary while returns are expected to be stationary. The direction of the market is expected to be almost impossible to predict from past prices. Risk, on the other hand, is expected to come in groups, so it should be possible to model it. All of these were found to be true, and the values are given in Appendix A.</w:t>
      </w:r>
    </w:p>
    <w:p>
      <w:pPr>
        <w:keepNext/>
        <w:pageBreakBefore w:val="0"/>
        <w:spacing w:before="200" w:after="80"/>
      </w:pPr>
      <w:r>
        <w:rPr>
          <w:rFonts w:ascii="Times New Roman" w:hAnsi="Times New Roman" w:cs="Times New Roman" w:eastAsia="Times New Roman"/>
          <w:b/>
          <w:i w:val="0"/>
          <w:color w:val="000000"/>
          <w:sz w:val="23"/>
        </w:rPr>
        <w:t>Significance/Benefits:</w:t>
      </w:r>
    </w:p>
    <w:p>
      <w:pPr>
        <w:keepNext w:val="0"/>
        <w:spacing w:before="0" w:after="120" w:line="276" w:lineRule="auto"/>
        <w:jc w:val="both"/>
      </w:pPr>
      <w:r>
        <w:rPr>
          <w:rFonts w:ascii="Times New Roman" w:hAnsi="Times New Roman" w:cs="Times New Roman" w:eastAsia="Times New Roman"/>
          <w:b w:val="0"/>
          <w:i w:val="0"/>
          <w:color w:val="000000"/>
          <w:sz w:val="22"/>
        </w:rPr>
        <w:t>The result is useful because the two things are opposite to what most people expect. The direction of the market, which everyone tries to guess, is almost impossible to guess. The risk level, which most methods treat as one fixed number, is the part that can actually be predicted. A method based on the normal curve puts the worst one per cent daily loss of the Nifty 50 at only 2.98 per cent, while the real data shows 3.62 per cent. So the amount invested and the stop loss should be decided from the current risk level, not from one average value.</w:t>
      </w:r>
    </w:p>
    <w:p>
      <w:pPr>
        <w:keepNext/>
        <w:pageBreakBefore w:val="0"/>
        <w:spacing w:before="320" w:after="140"/>
        <w:pBdr>
          <w:bottom w:val="single" w:sz="8" w:space="3" w:color="000000"/>
        </w:pBdr>
      </w:pPr>
      <w:r>
        <w:rPr>
          <w:rFonts w:ascii="Times New Roman" w:hAnsi="Times New Roman" w:cs="Times New Roman" w:eastAsia="Times New Roman"/>
          <w:b/>
          <w:i w:val="0"/>
          <w:color w:val="000000"/>
          <w:sz w:val="26"/>
        </w:rPr>
        <w:t>5.  Challenges / Limitations</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Dividends are not included. </w:t>
      </w:r>
      <w:r>
        <w:rPr>
          <w:rFonts w:ascii="Times New Roman" w:hAnsi="Times New Roman" w:cs="Times New Roman" w:eastAsia="Times New Roman"/>
          <w:b w:val="0"/>
          <w:i w:val="0"/>
          <w:color w:val="000000"/>
          <w:sz w:val="21"/>
        </w:rPr>
        <w:t>These are price indexes only, so the actual return is about 1 to 1.5 per cent per year higher. The risk results are not affected.</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Only big companies are included. </w:t>
      </w:r>
      <w:r>
        <w:rPr>
          <w:rFonts w:ascii="Times New Roman" w:hAnsi="Times New Roman" w:cs="Times New Roman" w:eastAsia="Times New Roman"/>
          <w:b w:val="0"/>
          <w:i w:val="0"/>
          <w:color w:val="000000"/>
          <w:sz w:val="21"/>
        </w:rPr>
        <w:t>Both indexes drop weak companies and add strong ones from time to time, so the return shown is better than the market as a whole.</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The model treats rises and falls as the same. </w:t>
      </w:r>
      <w:r>
        <w:rPr>
          <w:rFonts w:ascii="Times New Roman" w:hAnsi="Times New Roman" w:cs="Times New Roman" w:eastAsia="Times New Roman"/>
          <w:b w:val="0"/>
          <w:i w:val="0"/>
          <w:color w:val="000000"/>
          <w:sz w:val="21"/>
        </w:rPr>
        <w:t>In real markets a fall increases risk more than a rise of the same size. The GARCH(1,1) model used here cannot show this difference.</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Normal curve is assumed while fitting. </w:t>
      </w:r>
      <w:r>
        <w:rPr>
          <w:rFonts w:ascii="Times New Roman" w:hAnsi="Times New Roman" w:cs="Times New Roman" w:eastAsia="Times New Roman"/>
          <w:b w:val="0"/>
          <w:i w:val="0"/>
          <w:color w:val="000000"/>
          <w:sz w:val="21"/>
        </w:rPr>
        <w:t>The GARCH model is fitted assuming a normal curve, but the real data has more large moves. A Student-t curve would fit better.</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One set of values for the whole period. </w:t>
      </w:r>
      <w:r>
        <w:rPr>
          <w:rFonts w:ascii="Times New Roman" w:hAnsi="Times New Roman" w:cs="Times New Roman" w:eastAsia="Times New Roman"/>
          <w:b w:val="0"/>
          <w:i w:val="0"/>
          <w:color w:val="000000"/>
          <w:sz w:val="21"/>
        </w:rPr>
        <w:t>The same model values are used for 2008, for 2020 and for the calm years. Breaks in the data were not tested.</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Daily data only. </w:t>
      </w:r>
      <w:r>
        <w:rPr>
          <w:rFonts w:ascii="Times New Roman" w:hAnsi="Times New Roman" w:cs="Times New Roman" w:eastAsia="Times New Roman"/>
          <w:b w:val="0"/>
          <w:i w:val="0"/>
          <w:color w:val="000000"/>
          <w:sz w:val="21"/>
        </w:rPr>
        <w:t>Movements inside the trading day and gaps at the opening are not seen in daily closing prices.</w:t>
      </w:r>
    </w:p>
    <w:p>
      <w:pPr>
        <w:keepNext/>
        <w:pageBreakBefore/>
        <w:spacing w:before="0" w:after="140"/>
        <w:pBdr>
          <w:bottom w:val="single" w:sz="8" w:space="3" w:color="000000"/>
        </w:pBdr>
      </w:pPr>
      <w:r>
        <w:rPr>
          <w:rFonts w:ascii="Times New Roman" w:hAnsi="Times New Roman" w:cs="Times New Roman" w:eastAsia="Times New Roman"/>
          <w:b/>
          <w:i w:val="0"/>
          <w:color w:val="000000"/>
          <w:sz w:val="26"/>
        </w:rPr>
        <w:t>6.  References / Literature Survey</w:t>
      </w:r>
    </w:p>
    <w:p>
      <w:pPr>
        <w:keepNext w:val="0"/>
        <w:spacing w:before="0" w:after="120" w:line="276" w:lineRule="auto"/>
        <w:jc w:val="both"/>
      </w:pPr>
      <w:r>
        <w:rPr>
          <w:rFonts w:ascii="Times New Roman" w:hAnsi="Times New Roman" w:cs="Times New Roman" w:eastAsia="Times New Roman"/>
          <w:b w:val="0"/>
          <w:i w:val="0"/>
          <w:color w:val="000000"/>
          <w:sz w:val="22"/>
        </w:rPr>
        <w:t>The papers below are grouped into three types: papers that created the methods, papers on whether markets can be predicted, and papers on the Indian market.</w:t>
      </w:r>
    </w:p>
    <w:p>
      <w:pPr>
        <w:keepNext/>
        <w:pageBreakBefore w:val="0"/>
        <w:spacing w:before="200" w:after="80"/>
      </w:pPr>
      <w:r>
        <w:rPr>
          <w:rFonts w:ascii="Times New Roman" w:hAnsi="Times New Roman" w:cs="Times New Roman" w:eastAsia="Times New Roman"/>
          <w:b/>
          <w:i w:val="0"/>
          <w:color w:val="000000"/>
          <w:sz w:val="23"/>
        </w:rPr>
        <w:t>6.1  Summary of past work</w:t>
      </w:r>
    </w:p>
    <w:p>
      <w:pPr>
        <w:spacing w:before="120" w:after="20" w:line="276" w:lineRule="auto"/>
        <w:jc w:val="left"/>
      </w:pPr>
      <w:r>
        <w:rPr>
          <w:rFonts w:ascii="Times New Roman" w:hAnsi="Times New Roman" w:cs="Times New Roman" w:eastAsia="Times New Roman"/>
          <w:b/>
          <w:i w:val="0"/>
          <w:color w:val="000000"/>
          <w:sz w:val="21"/>
        </w:rPr>
        <w:t xml:space="preserve">[1]  </w:t>
      </w:r>
      <w:r>
        <w:rPr>
          <w:rFonts w:ascii="Times New Roman" w:hAnsi="Times New Roman" w:cs="Times New Roman" w:eastAsia="Times New Roman"/>
          <w:b/>
          <w:i w:val="0"/>
          <w:color w:val="000000"/>
          <w:sz w:val="21"/>
        </w:rPr>
        <w:t>ARCH model</w:t>
      </w:r>
    </w:p>
    <w:p>
      <w:pPr>
        <w:keepNext w:val="0"/>
        <w:spacing w:before="0" w:after="40" w:line="276" w:lineRule="auto"/>
        <w:ind w:left="425"/>
        <w:jc w:val="left"/>
      </w:pPr>
      <w:r>
        <w:rPr>
          <w:rFonts w:ascii="Times New Roman" w:hAnsi="Times New Roman" w:cs="Times New Roman" w:eastAsia="Times New Roman"/>
          <w:b w:val="0"/>
          <w:i/>
          <w:color w:val="000000"/>
          <w:sz w:val="18"/>
        </w:rPr>
        <w:t>R. F. Engle, Econometrica, vol. 50, no. 4, pp. 987-1007, 1982.</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Made a model in which the risk level is allowed to change with time, and gave a test to check for it.</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Risk is not fixed. It changes, and this change can be measured.</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The ARCH test decides whether a GARCH model is needed at all.</w:t>
      </w:r>
    </w:p>
    <w:p>
      <w:pPr>
        <w:spacing w:before="120" w:after="20" w:line="276" w:lineRule="auto"/>
        <w:jc w:val="left"/>
      </w:pPr>
      <w:r>
        <w:rPr>
          <w:rFonts w:ascii="Times New Roman" w:hAnsi="Times New Roman" w:cs="Times New Roman" w:eastAsia="Times New Roman"/>
          <w:b/>
          <w:i w:val="0"/>
          <w:color w:val="000000"/>
          <w:sz w:val="21"/>
        </w:rPr>
        <w:t xml:space="preserve">[2]  </w:t>
      </w:r>
      <w:r>
        <w:rPr>
          <w:rFonts w:ascii="Times New Roman" w:hAnsi="Times New Roman" w:cs="Times New Roman" w:eastAsia="Times New Roman"/>
          <w:b/>
          <w:i w:val="0"/>
          <w:color w:val="000000"/>
          <w:sz w:val="21"/>
        </w:rPr>
        <w:t>GARCH model</w:t>
      </w:r>
    </w:p>
    <w:p>
      <w:pPr>
        <w:keepNext w:val="0"/>
        <w:spacing w:before="0" w:after="40" w:line="276" w:lineRule="auto"/>
        <w:ind w:left="425"/>
        <w:jc w:val="left"/>
      </w:pPr>
      <w:r>
        <w:rPr>
          <w:rFonts w:ascii="Times New Roman" w:hAnsi="Times New Roman" w:cs="Times New Roman" w:eastAsia="Times New Roman"/>
          <w:b w:val="0"/>
          <w:i/>
          <w:color w:val="000000"/>
          <w:sz w:val="18"/>
        </w:rPr>
        <w:t>T. Bollerslev, Journal of Econometrics, vol. 31, no. 3, pp. 307-327, 1986.</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Improved the ARCH model by adding the previous risk level, so fewer values are needed.</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GARCH(1,1) with only three values works as well as a long ARCH model.</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This is the model fitted in this case study.</w:t>
      </w:r>
    </w:p>
    <w:p>
      <w:pPr>
        <w:spacing w:before="120" w:after="20" w:line="276" w:lineRule="auto"/>
        <w:jc w:val="left"/>
      </w:pPr>
      <w:r>
        <w:rPr>
          <w:rFonts w:ascii="Times New Roman" w:hAnsi="Times New Roman" w:cs="Times New Roman" w:eastAsia="Times New Roman"/>
          <w:b/>
          <w:i w:val="0"/>
          <w:color w:val="000000"/>
          <w:sz w:val="21"/>
        </w:rPr>
        <w:t xml:space="preserve">[3]  </w:t>
      </w:r>
      <w:r>
        <w:rPr>
          <w:rFonts w:ascii="Times New Roman" w:hAnsi="Times New Roman" w:cs="Times New Roman" w:eastAsia="Times New Roman"/>
          <w:b/>
          <w:i w:val="0"/>
          <w:color w:val="000000"/>
          <w:sz w:val="21"/>
        </w:rPr>
        <w:t>EGARCH model</w:t>
      </w:r>
    </w:p>
    <w:p>
      <w:pPr>
        <w:keepNext w:val="0"/>
        <w:spacing w:before="0" w:after="40" w:line="276" w:lineRule="auto"/>
        <w:ind w:left="425"/>
        <w:jc w:val="left"/>
      </w:pPr>
      <w:r>
        <w:rPr>
          <w:rFonts w:ascii="Times New Roman" w:hAnsi="Times New Roman" w:cs="Times New Roman" w:eastAsia="Times New Roman"/>
          <w:b w:val="0"/>
          <w:i/>
          <w:color w:val="000000"/>
          <w:sz w:val="18"/>
        </w:rPr>
        <w:t>D. B. Nelson, Econometrica, vol. 59, no. 2, pp. 347-370, 1991.</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Allowed a fall in price to affect risk differently from a rise.</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A fall increases risk more than a rise of the same size.</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Mentioned as a limitation of this study, because the model used here treats both the same.</w:t>
      </w:r>
    </w:p>
    <w:p>
      <w:pPr>
        <w:spacing w:before="120" w:after="20" w:line="276" w:lineRule="auto"/>
        <w:jc w:val="left"/>
      </w:pPr>
      <w:r>
        <w:rPr>
          <w:rFonts w:ascii="Times New Roman" w:hAnsi="Times New Roman" w:cs="Times New Roman" w:eastAsia="Times New Roman"/>
          <w:b/>
          <w:i w:val="0"/>
          <w:color w:val="000000"/>
          <w:sz w:val="21"/>
        </w:rPr>
        <w:t xml:space="preserve">[4]  </w:t>
      </w:r>
      <w:r>
        <w:rPr>
          <w:rFonts w:ascii="Times New Roman" w:hAnsi="Times New Roman" w:cs="Times New Roman" w:eastAsia="Times New Roman"/>
          <w:b/>
          <w:i w:val="0"/>
          <w:color w:val="000000"/>
          <w:sz w:val="21"/>
        </w:rPr>
        <w:t>Unit root test</w:t>
      </w:r>
    </w:p>
    <w:p>
      <w:pPr>
        <w:keepNext w:val="0"/>
        <w:spacing w:before="0" w:after="40" w:line="276" w:lineRule="auto"/>
        <w:ind w:left="425"/>
        <w:jc w:val="left"/>
      </w:pPr>
      <w:r>
        <w:rPr>
          <w:rFonts w:ascii="Times New Roman" w:hAnsi="Times New Roman" w:cs="Times New Roman" w:eastAsia="Times New Roman"/>
          <w:b w:val="0"/>
          <w:i/>
          <w:color w:val="000000"/>
          <w:sz w:val="18"/>
        </w:rPr>
        <w:t>D. A. Dickey and W. A. Fuller, Journal of the American Statistical Association, vol. 74, no. 366, pp. 427-431, 1979.</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Gave the correct table of values for testing whether data is stationary.</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Normal t table values cannot be used for this test.</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The ADF test in this study uses these values.</w:t>
      </w:r>
    </w:p>
    <w:p>
      <w:pPr>
        <w:spacing w:before="120" w:after="20" w:line="276" w:lineRule="auto"/>
        <w:jc w:val="left"/>
      </w:pPr>
      <w:r>
        <w:rPr>
          <w:rFonts w:ascii="Times New Roman" w:hAnsi="Times New Roman" w:cs="Times New Roman" w:eastAsia="Times New Roman"/>
          <w:b/>
          <w:i w:val="0"/>
          <w:color w:val="000000"/>
          <w:sz w:val="21"/>
        </w:rPr>
        <w:t xml:space="preserve">[5]  </w:t>
      </w:r>
      <w:r>
        <w:rPr>
          <w:rFonts w:ascii="Times New Roman" w:hAnsi="Times New Roman" w:cs="Times New Roman" w:eastAsia="Times New Roman"/>
          <w:b/>
          <w:i w:val="0"/>
          <w:color w:val="000000"/>
          <w:sz w:val="21"/>
        </w:rPr>
        <w:t>Efficient market idea</w:t>
      </w:r>
    </w:p>
    <w:p>
      <w:pPr>
        <w:keepNext w:val="0"/>
        <w:spacing w:before="0" w:after="40" w:line="276" w:lineRule="auto"/>
        <w:ind w:left="425"/>
        <w:jc w:val="left"/>
      </w:pPr>
      <w:r>
        <w:rPr>
          <w:rFonts w:ascii="Times New Roman" w:hAnsi="Times New Roman" w:cs="Times New Roman" w:eastAsia="Times New Roman"/>
          <w:b w:val="0"/>
          <w:i/>
          <w:color w:val="000000"/>
          <w:sz w:val="18"/>
        </w:rPr>
        <w:t>E. F. Fama, Journal of Finance, vol. 25, no. 2, pp. 383-417, 1970.</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Collected the work on whether prices already contain all known information.</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If the market is efficient, past prices cannot help predict the future direction.</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This is the idea that the variance ratio test checks in this study.</w:t>
      </w:r>
    </w:p>
    <w:p>
      <w:pPr>
        <w:spacing w:before="120" w:after="20" w:line="276" w:lineRule="auto"/>
        <w:jc w:val="left"/>
      </w:pPr>
      <w:r>
        <w:rPr>
          <w:rFonts w:ascii="Times New Roman" w:hAnsi="Times New Roman" w:cs="Times New Roman" w:eastAsia="Times New Roman"/>
          <w:b/>
          <w:i w:val="0"/>
          <w:color w:val="000000"/>
          <w:sz w:val="21"/>
        </w:rPr>
        <w:t xml:space="preserve">[6]  </w:t>
      </w:r>
      <w:r>
        <w:rPr>
          <w:rFonts w:ascii="Times New Roman" w:hAnsi="Times New Roman" w:cs="Times New Roman" w:eastAsia="Times New Roman"/>
          <w:b/>
          <w:i w:val="0"/>
          <w:color w:val="000000"/>
          <w:sz w:val="21"/>
        </w:rPr>
        <w:t>Variance ratio test</w:t>
      </w:r>
    </w:p>
    <w:p>
      <w:pPr>
        <w:keepNext w:val="0"/>
        <w:spacing w:before="0" w:after="40" w:line="276" w:lineRule="auto"/>
        <w:ind w:left="425"/>
        <w:jc w:val="left"/>
      </w:pPr>
      <w:r>
        <w:rPr>
          <w:rFonts w:ascii="Times New Roman" w:hAnsi="Times New Roman" w:cs="Times New Roman" w:eastAsia="Times New Roman"/>
          <w:b w:val="0"/>
          <w:i/>
          <w:color w:val="000000"/>
          <w:sz w:val="18"/>
        </w:rPr>
        <w:t>A. W. Lo and A. C. MacKinlay, Review of Financial Studies, vol. 1, no. 1, pp. 41-66, 1988.</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Gave a test based on how the spread of returns grows over longer periods.</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The test must be corrected for changing risk, otherwise it gives wrong results.</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This test is used in the code, with the correction included.</w:t>
      </w:r>
    </w:p>
    <w:p>
      <w:pPr>
        <w:spacing w:before="120" w:after="20" w:line="276" w:lineRule="auto"/>
        <w:jc w:val="left"/>
      </w:pPr>
      <w:r>
        <w:rPr>
          <w:rFonts w:ascii="Times New Roman" w:hAnsi="Times New Roman" w:cs="Times New Roman" w:eastAsia="Times New Roman"/>
          <w:b/>
          <w:i w:val="0"/>
          <w:color w:val="000000"/>
          <w:sz w:val="21"/>
        </w:rPr>
        <w:t xml:space="preserve">[7]  </w:t>
      </w:r>
      <w:r>
        <w:rPr>
          <w:rFonts w:ascii="Times New Roman" w:hAnsi="Times New Roman" w:cs="Times New Roman" w:eastAsia="Times New Roman"/>
          <w:b/>
          <w:i w:val="0"/>
          <w:color w:val="000000"/>
          <w:sz w:val="21"/>
        </w:rPr>
        <w:t>Sensex volatility study</w:t>
      </w:r>
    </w:p>
    <w:p>
      <w:pPr>
        <w:keepNext w:val="0"/>
        <w:spacing w:before="0" w:after="40" w:line="276" w:lineRule="auto"/>
        <w:ind w:left="425"/>
        <w:jc w:val="left"/>
      </w:pPr>
      <w:r>
        <w:rPr>
          <w:rFonts w:ascii="Times New Roman" w:hAnsi="Times New Roman" w:cs="Times New Roman" w:eastAsia="Times New Roman"/>
          <w:b w:val="0"/>
          <w:i/>
          <w:color w:val="000000"/>
          <w:sz w:val="18"/>
        </w:rPr>
        <w:t>P. Srinivasan and P. Ibrahim, Asia-Pacific Business Review, vol. 6, no. 3, 2010.</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Compared GARCH, EGARCH and TGARCH models on daily Sensex returns.</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The simple GARCH(1,1) model worked well for the Sensex.</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Closest earlier study on the same index. This study uses a longer period.</w:t>
      </w:r>
    </w:p>
    <w:p>
      <w:pPr>
        <w:spacing w:before="120" w:after="20" w:line="276" w:lineRule="auto"/>
        <w:jc w:val="left"/>
      </w:pPr>
      <w:r>
        <w:rPr>
          <w:rFonts w:ascii="Times New Roman" w:hAnsi="Times New Roman" w:cs="Times New Roman" w:eastAsia="Times New Roman"/>
          <w:b/>
          <w:i w:val="0"/>
          <w:color w:val="000000"/>
          <w:sz w:val="21"/>
        </w:rPr>
        <w:t xml:space="preserve">[8]  </w:t>
      </w:r>
      <w:r>
        <w:rPr>
          <w:rFonts w:ascii="Times New Roman" w:hAnsi="Times New Roman" w:cs="Times New Roman" w:eastAsia="Times New Roman"/>
          <w:b/>
          <w:i w:val="0"/>
          <w:color w:val="000000"/>
          <w:sz w:val="21"/>
        </w:rPr>
        <w:t>Nifty 50 volatility study</w:t>
      </w:r>
    </w:p>
    <w:p>
      <w:pPr>
        <w:keepNext w:val="0"/>
        <w:spacing w:before="0" w:after="40" w:line="276" w:lineRule="auto"/>
        <w:ind w:left="425"/>
        <w:jc w:val="left"/>
      </w:pPr>
      <w:r>
        <w:rPr>
          <w:rFonts w:ascii="Times New Roman" w:hAnsi="Times New Roman" w:cs="Times New Roman" w:eastAsia="Times New Roman"/>
          <w:b w:val="0"/>
          <w:i/>
          <w:color w:val="000000"/>
          <w:sz w:val="18"/>
        </w:rPr>
        <w:t>V. Mahajan, S. Thakan and A. Malik, Economies, vol. 10, no. 5, art. 102, 2022.</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Compared GARCH family models with a neural network for the Nifty 50.</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GARCH models were still as good as the neural network.</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Shows that GARCH(1,1) is a fair choice for this index.</w:t>
      </w:r>
    </w:p>
    <w:p>
      <w:pPr>
        <w:spacing w:before="120" w:after="20" w:line="276" w:lineRule="auto"/>
        <w:jc w:val="left"/>
      </w:pPr>
      <w:r>
        <w:rPr>
          <w:rFonts w:ascii="Times New Roman" w:hAnsi="Times New Roman" w:cs="Times New Roman" w:eastAsia="Times New Roman"/>
          <w:b/>
          <w:i w:val="0"/>
          <w:color w:val="000000"/>
          <w:sz w:val="21"/>
        </w:rPr>
        <w:t xml:space="preserve">[9]  </w:t>
      </w:r>
      <w:r>
        <w:rPr>
          <w:rFonts w:ascii="Times New Roman" w:hAnsi="Times New Roman" w:cs="Times New Roman" w:eastAsia="Times New Roman"/>
          <w:b/>
          <w:i w:val="0"/>
          <w:color w:val="000000"/>
          <w:sz w:val="21"/>
        </w:rPr>
        <w:t>Random walk test on Indian market</w:t>
      </w:r>
    </w:p>
    <w:p>
      <w:pPr>
        <w:keepNext w:val="0"/>
        <w:spacing w:before="0" w:after="40" w:line="276" w:lineRule="auto"/>
        <w:ind w:left="425"/>
        <w:jc w:val="left"/>
      </w:pPr>
      <w:r>
        <w:rPr>
          <w:rFonts w:ascii="Times New Roman" w:hAnsi="Times New Roman" w:cs="Times New Roman" w:eastAsia="Times New Roman"/>
          <w:b w:val="0"/>
          <w:i/>
          <w:color w:val="000000"/>
          <w:sz w:val="18"/>
        </w:rPr>
        <w:t>A. Satapathy, Global Business Review, 2025.</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did: </w:t>
      </w:r>
      <w:r>
        <w:rPr>
          <w:rFonts w:ascii="Times New Roman" w:hAnsi="Times New Roman" w:cs="Times New Roman" w:eastAsia="Times New Roman"/>
          <w:b w:val="0"/>
          <w:i w:val="0"/>
          <w:color w:val="000000"/>
          <w:sz w:val="20"/>
        </w:rPr>
        <w:t>Tested the Nifty and 50 large shares with variance ratio and Hurst tests.</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What it found: </w:t>
      </w:r>
      <w:r>
        <w:rPr>
          <w:rFonts w:ascii="Times New Roman" w:hAnsi="Times New Roman" w:cs="Times New Roman" w:eastAsia="Times New Roman"/>
          <w:b w:val="0"/>
          <w:i w:val="0"/>
          <w:color w:val="000000"/>
          <w:sz w:val="20"/>
        </w:rPr>
        <w:t>The test could not prove that prices are predictable.</w:t>
      </w:r>
    </w:p>
    <w:p>
      <w:pPr>
        <w:spacing w:after="20" w:line="269" w:lineRule="auto"/>
        <w:ind w:left="567" w:hanging="238"/>
        <w:jc w:val="both"/>
      </w:pPr>
      <w:r>
        <w:rPr>
          <w:rFonts w:ascii="Times New Roman" w:hAnsi="Times New Roman" w:cs="Times New Roman" w:eastAsia="Times New Roman"/>
          <w:b/>
          <w:i w:val="0"/>
          <w:color w:val="000000"/>
          <w:sz w:val="20"/>
        </w:rPr>
        <w:t xml:space="preserve">• </w:t>
      </w:r>
      <w:r>
        <w:rPr>
          <w:rFonts w:ascii="Times New Roman" w:hAnsi="Times New Roman" w:cs="Times New Roman" w:eastAsia="Times New Roman"/>
          <w:b/>
          <w:i w:val="0"/>
          <w:color w:val="000000"/>
          <w:sz w:val="20"/>
        </w:rPr>
        <w:t xml:space="preserve">Used here: </w:t>
      </w:r>
      <w:r>
        <w:rPr>
          <w:rFonts w:ascii="Times New Roman" w:hAnsi="Times New Roman" w:cs="Times New Roman" w:eastAsia="Times New Roman"/>
          <w:b w:val="0"/>
          <w:i w:val="0"/>
          <w:color w:val="000000"/>
          <w:sz w:val="20"/>
        </w:rPr>
        <w:t>Most recent study of this type, and it agrees with the result found here.</w:t>
      </w:r>
    </w:p>
    <w:p>
      <w:pPr>
        <w:keepNext/>
        <w:pageBreakBefore w:val="0"/>
        <w:spacing w:before="240" w:after="80"/>
      </w:pPr>
      <w:r>
        <w:rPr>
          <w:rFonts w:ascii="Times New Roman" w:hAnsi="Times New Roman" w:cs="Times New Roman" w:eastAsia="Times New Roman"/>
          <w:b/>
          <w:i w:val="0"/>
          <w:color w:val="000000"/>
          <w:sz w:val="23"/>
        </w:rPr>
        <w:t>6.2  Comparison of the past work</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680"/>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Ref.</w:t>
            </w:r>
          </w:p>
        </w:tc>
        <w:tc>
          <w:tcPr>
            <w:tcW w:type="dxa" w:w="249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Study</w:t>
            </w:r>
          </w:p>
        </w:tc>
        <w:tc>
          <w:tcPr>
            <w:tcW w:type="dxa" w:w="181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Data used</w:t>
            </w:r>
          </w:p>
        </w:tc>
        <w:tc>
          <w:tcPr>
            <w:tcW w:type="dxa" w:w="204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Method</w:t>
            </w:r>
          </w:p>
        </w:tc>
        <w:tc>
          <w:tcPr>
            <w:tcW w:type="dxa" w:w="238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Main result</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[1]</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Engle (1982)</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UK inflation</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ARCH</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Risk changes with time</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[2]</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Bollerslev (1986)</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General</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GARCH</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Short model is enough</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[3]</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Nelson (1991)</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US shares</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EGARCH</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Falls raise risk more</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[5]</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Fama (1970)</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Review</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Theory</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Efficient market idea</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[6]</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Lo and MacKinlay (1988)</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US weekly</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Variance ratio</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Test needs correction</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[7]</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Srinivasan and Ibrahim (2010)</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Sensex</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GARCH family</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Simple GARCH is enough</w:t>
            </w:r>
          </w:p>
        </w:tc>
      </w:tr>
      <w:tr>
        <w:tc>
          <w:tcPr>
            <w:tcW w:type="dxa" w:w="680"/>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[8]</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Mahajan et al. (2022)</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Nifty 50</w:t>
            </w:r>
          </w:p>
        </w:tc>
        <w:tc>
          <w:tcPr>
            <w:tcW w:type="dxa" w:w="204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GARCH vs neural network</w:t>
            </w:r>
          </w:p>
        </w:tc>
        <w:tc>
          <w:tcPr>
            <w:tcW w:type="dxa" w:w="2381"/>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GARCH still works well</w:t>
            </w:r>
          </w:p>
        </w:tc>
      </w:tr>
      <w:tr>
        <w:tc>
          <w:tcPr>
            <w:tcW w:type="dxa" w:w="680"/>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8"/>
              </w:rPr>
              <w:t>[9]</w:t>
            </w:r>
          </w:p>
        </w:tc>
        <w:tc>
          <w:tcPr>
            <w:tcW w:type="dxa" w:w="249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Satapathy (2025)</w:t>
            </w:r>
          </w:p>
        </w:tc>
        <w:tc>
          <w:tcPr>
            <w:tcW w:type="dxa" w:w="181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Nifty and 50 shares</w:t>
            </w:r>
          </w:p>
        </w:tc>
        <w:tc>
          <w:tcPr>
            <w:tcW w:type="dxa" w:w="2041"/>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Variance ratio, Hurst</w:t>
            </w:r>
          </w:p>
        </w:tc>
        <w:tc>
          <w:tcPr>
            <w:tcW w:type="dxa" w:w="2381"/>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8"/>
              </w:rPr>
              <w:t>Direction not predictable</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2  </w:t>
      </w:r>
      <w:r>
        <w:rPr>
          <w:rFonts w:ascii="Times New Roman" w:hAnsi="Times New Roman" w:cs="Times New Roman" w:eastAsia="Times New Roman"/>
          <w:b w:val="0"/>
          <w:i/>
          <w:color w:val="000000"/>
          <w:sz w:val="17"/>
        </w:rPr>
        <w:t>Short comparison of the papers studied.</w:t>
      </w:r>
    </w:p>
    <w:p>
      <w:pPr>
        <w:keepNext/>
        <w:pageBreakBefore w:val="0"/>
        <w:spacing w:before="200" w:after="80"/>
      </w:pPr>
      <w:r>
        <w:rPr>
          <w:rFonts w:ascii="Times New Roman" w:hAnsi="Times New Roman" w:cs="Times New Roman" w:eastAsia="Times New Roman"/>
          <w:b/>
          <w:i w:val="0"/>
          <w:color w:val="000000"/>
          <w:sz w:val="23"/>
        </w:rPr>
        <w:t>6.3  Gap found</w:t>
      </w:r>
    </w:p>
    <w:p>
      <w:pPr>
        <w:keepNext w:val="0"/>
        <w:spacing w:before="0" w:after="80" w:line="276" w:lineRule="auto"/>
        <w:jc w:val="both"/>
      </w:pPr>
      <w:r>
        <w:rPr>
          <w:rFonts w:ascii="Times New Roman" w:hAnsi="Times New Roman" w:cs="Times New Roman" w:eastAsia="Times New Roman"/>
          <w:b w:val="0"/>
          <w:i w:val="0"/>
          <w:color w:val="000000"/>
          <w:sz w:val="22"/>
        </w:rPr>
        <w:t>The papers on market efficiency stop after checking whether the direction can be predicted. The papers on volatility fit a model but do not check efficiency on the same data. Most Indian studies also end before 2020, so they leave out the Covid period, which is the largest risk event in this data. This case study does all these checks together, on both indexes, on data that includes 2020 and after.</w:t>
      </w:r>
    </w:p>
    <w:p>
      <w:pPr>
        <w:keepNext/>
        <w:pageBreakBefore w:val="0"/>
        <w:spacing w:before="200" w:after="80"/>
      </w:pPr>
      <w:r>
        <w:rPr>
          <w:rFonts w:ascii="Times New Roman" w:hAnsi="Times New Roman" w:cs="Times New Roman" w:eastAsia="Times New Roman"/>
          <w:b/>
          <w:i w:val="0"/>
          <w:color w:val="000000"/>
          <w:sz w:val="23"/>
        </w:rPr>
        <w:t>6.4  References</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  </w:t>
      </w:r>
      <w:r>
        <w:rPr>
          <w:rFonts w:ascii="Times New Roman" w:hAnsi="Times New Roman" w:cs="Times New Roman" w:eastAsia="Times New Roman"/>
          <w:b w:val="0"/>
          <w:i w:val="0"/>
          <w:color w:val="000000"/>
          <w:sz w:val="18"/>
        </w:rPr>
        <w:t>R. F. Engle, "Autoregressive conditional heteroscedasticity with estimates of the variance of United Kingdom inflation," Econometrica, vol. 50, no. 4, pp. 987-1007, 1982.</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[2]  </w:t>
      </w:r>
      <w:r>
        <w:rPr>
          <w:rFonts w:ascii="Times New Roman" w:hAnsi="Times New Roman" w:cs="Times New Roman" w:eastAsia="Times New Roman"/>
          <w:b w:val="0"/>
          <w:i w:val="0"/>
          <w:color w:val="000000"/>
          <w:sz w:val="18"/>
        </w:rPr>
        <w:t>T. Bollerslev, "Generalized autoregressive conditional heteroskedasticity," Journal of Econometrics, vol. 31, no. 3, pp. 307-327, 1986.</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[3]  </w:t>
      </w:r>
      <w:r>
        <w:rPr>
          <w:rFonts w:ascii="Times New Roman" w:hAnsi="Times New Roman" w:cs="Times New Roman" w:eastAsia="Times New Roman"/>
          <w:b w:val="0"/>
          <w:i w:val="0"/>
          <w:color w:val="000000"/>
          <w:sz w:val="18"/>
        </w:rPr>
        <w:t>D. B. Nelson, "Conditional heteroskedasticity in asset returns: a new approach," Econometrica, vol. 59, no. 2, pp. 347-370, 1991.</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[4]  </w:t>
      </w:r>
      <w:r>
        <w:rPr>
          <w:rFonts w:ascii="Times New Roman" w:hAnsi="Times New Roman" w:cs="Times New Roman" w:eastAsia="Times New Roman"/>
          <w:b w:val="0"/>
          <w:i w:val="0"/>
          <w:color w:val="000000"/>
          <w:sz w:val="18"/>
        </w:rPr>
        <w:t>D. A. Dickey and W. A. Fuller, "Distribution of the estimators for autoregressive time series with a unit root," Journal of the American Statistical Association, vol. 74, no. 366, pp. 427-431, 1979.</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[5]  </w:t>
      </w:r>
      <w:r>
        <w:rPr>
          <w:rFonts w:ascii="Times New Roman" w:hAnsi="Times New Roman" w:cs="Times New Roman" w:eastAsia="Times New Roman"/>
          <w:b w:val="0"/>
          <w:i w:val="0"/>
          <w:color w:val="000000"/>
          <w:sz w:val="18"/>
        </w:rPr>
        <w:t>E. F. Fama, "Efficient capital markets: a review of theory and empirical work," Journal of Finance, vol. 25, no. 2, pp. 383-417, 1970.</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[6]  </w:t>
      </w:r>
      <w:r>
        <w:rPr>
          <w:rFonts w:ascii="Times New Roman" w:hAnsi="Times New Roman" w:cs="Times New Roman" w:eastAsia="Times New Roman"/>
          <w:b w:val="0"/>
          <w:i w:val="0"/>
          <w:color w:val="000000"/>
          <w:sz w:val="18"/>
        </w:rPr>
        <w:t>A. W. Lo and A. C. MacKinlay, "Stock market prices do not follow random walks: evidence from a simple specification test," Review of Financial Studies, vol. 1, no. 1, pp. 41-66, 1988.</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[7]  </w:t>
      </w:r>
      <w:r>
        <w:rPr>
          <w:rFonts w:ascii="Times New Roman" w:hAnsi="Times New Roman" w:cs="Times New Roman" w:eastAsia="Times New Roman"/>
          <w:b w:val="0"/>
          <w:i w:val="0"/>
          <w:color w:val="000000"/>
          <w:sz w:val="18"/>
        </w:rPr>
        <w:t>G. M. Ljung and G. E. P. Box, "On a measure of lack of fit in time series models," Biometrika, vol. 65, no. 2, pp. 297-303, 1978.</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[8]  </w:t>
      </w:r>
      <w:r>
        <w:rPr>
          <w:rFonts w:ascii="Times New Roman" w:hAnsi="Times New Roman" w:cs="Times New Roman" w:eastAsia="Times New Roman"/>
          <w:b w:val="0"/>
          <w:i w:val="0"/>
          <w:color w:val="000000"/>
          <w:sz w:val="18"/>
        </w:rPr>
        <w:t>C. M. Jarque and A. K. Bera, "A test for normality of observations and regression residuals," International Statistical Review, vol. 55, no. 2, pp. 163-172, 1987.</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[9]  </w:t>
      </w:r>
      <w:r>
        <w:rPr>
          <w:rFonts w:ascii="Times New Roman" w:hAnsi="Times New Roman" w:cs="Times New Roman" w:eastAsia="Times New Roman"/>
          <w:b w:val="0"/>
          <w:i w:val="0"/>
          <w:color w:val="000000"/>
          <w:sz w:val="18"/>
        </w:rPr>
        <w:t>P. Srinivasan and P. Ibrahim, "Forecasting stock market volatility of BSE-30 index using GARCH models," Asia-Pacific Business Review, vol. 6, no. 3, 2010.</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[10]  </w:t>
      </w:r>
      <w:r>
        <w:rPr>
          <w:rFonts w:ascii="Times New Roman" w:hAnsi="Times New Roman" w:cs="Times New Roman" w:eastAsia="Times New Roman"/>
          <w:b w:val="0"/>
          <w:i w:val="0"/>
          <w:color w:val="000000"/>
          <w:sz w:val="18"/>
        </w:rPr>
        <w:t>A. Banerjee and S. Sarkar, "Modeling daily volatility of the Indian stock market using intra-day data," Working Paper No. 588, IIM Calcutta, 2006.</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[11]  </w:t>
      </w:r>
      <w:r>
        <w:rPr>
          <w:rFonts w:ascii="Times New Roman" w:hAnsi="Times New Roman" w:cs="Times New Roman" w:eastAsia="Times New Roman"/>
          <w:b w:val="0"/>
          <w:i w:val="0"/>
          <w:color w:val="000000"/>
          <w:sz w:val="18"/>
        </w:rPr>
        <w:t>V. Mahajan, S. Thakan and A. Malik, "Modeling and forecasting the volatility of NIFTY 50 using GARCH and RNN models," Economies, vol. 10, no. 5, art. 102, 2022.</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[12]  </w:t>
      </w:r>
      <w:r>
        <w:rPr>
          <w:rFonts w:ascii="Times New Roman" w:hAnsi="Times New Roman" w:cs="Times New Roman" w:eastAsia="Times New Roman"/>
          <w:b w:val="0"/>
          <w:i w:val="0"/>
          <w:color w:val="000000"/>
          <w:sz w:val="18"/>
        </w:rPr>
        <w:t>A. Tewari, "Forecasting NIFTY 50 benchmark index using seasonal ARIMA time series models," arXiv:2001.08979, 2020.</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[13]  </w:t>
      </w:r>
      <w:r>
        <w:rPr>
          <w:rFonts w:ascii="Times New Roman" w:hAnsi="Times New Roman" w:cs="Times New Roman" w:eastAsia="Times New Roman"/>
          <w:b w:val="0"/>
          <w:i w:val="0"/>
          <w:color w:val="000000"/>
          <w:sz w:val="18"/>
        </w:rPr>
        <w:t>A. Satapathy, "Test of random walk hypothesis in Indian stock market," Global Business Review, 2025.</w:t>
      </w:r>
    </w:p>
    <w:p>
      <w:pPr>
        <w:spacing w:before="0" w:after="60" w:line="276" w:lineRule="auto"/>
        <w:ind w:left="567" w:hanging="567"/>
        <w:jc w:val="both"/>
      </w:pPr>
      <w:r>
        <w:rPr>
          <w:rFonts w:ascii="Times New Roman" w:hAnsi="Times New Roman" w:cs="Times New Roman" w:eastAsia="Times New Roman"/>
          <w:b/>
          <w:i w:val="0"/>
          <w:color w:val="000000"/>
          <w:sz w:val="18"/>
        </w:rPr>
        <w:t xml:space="preserve">[14]  </w:t>
      </w:r>
      <w:r>
        <w:rPr>
          <w:rFonts w:ascii="Times New Roman" w:hAnsi="Times New Roman" w:cs="Times New Roman" w:eastAsia="Times New Roman"/>
          <w:b w:val="0"/>
          <w:i w:val="0"/>
          <w:color w:val="000000"/>
          <w:sz w:val="18"/>
        </w:rPr>
        <w:t>A. Ghalanos, "rugarch: univariate GARCH models," CRAN R package; J. A. Ryan and J. M. Ulrich, "quantmod," CRAN R package; R Core Team, R Foundation for Statistical Computing, Vienna. Index data: www.nseindia.com and www.bseindia.com.</w:t>
      </w:r>
    </w:p>
    <w:p>
      <w:pPr>
        <w:keepNext/>
        <w:pageBreakBefore/>
        <w:spacing w:before="0" w:after="140"/>
        <w:pBdr>
          <w:bottom w:val="single" w:sz="8" w:space="3" w:color="000000"/>
        </w:pBdr>
      </w:pPr>
      <w:r>
        <w:rPr>
          <w:rFonts w:ascii="Times New Roman" w:hAnsi="Times New Roman" w:cs="Times New Roman" w:eastAsia="Times New Roman"/>
          <w:b/>
          <w:i w:val="0"/>
          <w:color w:val="000000"/>
          <w:sz w:val="26"/>
        </w:rPr>
        <w:t>Appendix A — Results</w:t>
      </w:r>
    </w:p>
    <w:p>
      <w:pPr>
        <w:keepNext w:val="0"/>
        <w:spacing w:before="0" w:after="120" w:line="276" w:lineRule="auto"/>
        <w:jc w:val="both"/>
      </w:pPr>
      <w:r>
        <w:rPr>
          <w:rFonts w:ascii="Times New Roman" w:hAnsi="Times New Roman" w:cs="Times New Roman" w:eastAsia="Times New Roman"/>
          <w:b w:val="0"/>
          <w:i/>
          <w:color w:val="000000"/>
          <w:sz w:val="20"/>
        </w:rPr>
        <w:t>All values below were produced by the R code. Returns are daily and in per cent. Yearly values use 252 trading days.</w:t>
      </w:r>
    </w:p>
    <w:p>
      <w:pPr>
        <w:keepNext/>
        <w:pageBreakBefore w:val="0"/>
        <w:spacing w:before="200" w:after="80"/>
      </w:pPr>
      <w:r>
        <w:rPr>
          <w:rFonts w:ascii="Times New Roman" w:hAnsi="Times New Roman" w:cs="Times New Roman" w:eastAsia="Times New Roman"/>
          <w:b/>
          <w:i w:val="0"/>
          <w:color w:val="000000"/>
          <w:sz w:val="23"/>
        </w:rPr>
        <w:t>A.1  Basic figures</w:t>
      </w:r>
    </w:p>
    <w:tbl>
      <w:tblPr>
        <w:tblW w:type="auto" w:w="0"/>
        <w:jc w:val="center"/>
        <w:tblLayout w:type="fixed"/>
        <w:tblLook w:firstColumn="1" w:firstRow="1" w:lastColumn="0" w:lastRow="0" w:noHBand="0" w:noVBand="1" w:val="04A0"/>
      </w:tblPr>
      <w:tblGrid>
        <w:gridCol w:w="3137"/>
        <w:gridCol w:w="3137"/>
        <w:gridCol w:w="3137"/>
      </w:tblGrid>
      <w:tr>
        <w:tc>
          <w:tcPr>
            <w:tcW w:type="dxa" w:w="3742"/>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Item</w:t>
            </w:r>
          </w:p>
        </w:tc>
        <w:tc>
          <w:tcPr>
            <w:tcW w:type="dxa" w:w="2835"/>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2835"/>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First date</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2007-09-17</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2000-01-03</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Last date</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2026-08-27</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2026-08-27</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Number of days</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4,647</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6,570</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Average daily return (%)</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0.0361</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0.0405</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Yearly return (%)</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9.10</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10.21</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Yearly risk level (%)</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20.56</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21.77</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Best day (%)</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16.33</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15.99</w:t>
            </w:r>
          </w:p>
        </w:tc>
      </w:tr>
      <w:tr>
        <w:tc>
          <w:tcPr>
            <w:tcW w:type="dxa" w:w="374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Worst day (%)</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-13.90</w:t>
            </w:r>
          </w:p>
        </w:tc>
        <w:tc>
          <w:tcPr>
            <w:tcW w:type="dxa" w:w="2835"/>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-14.10</w:t>
            </w:r>
          </w:p>
        </w:tc>
      </w:tr>
      <w:tr>
        <w:tc>
          <w:tcPr>
            <w:tcW w:type="dxa" w:w="3742"/>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Days the market went up (%)</w:t>
            </w:r>
          </w:p>
        </w:tc>
        <w:tc>
          <w:tcPr>
            <w:tcW w:type="dxa" w:w="2835"/>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52.96</w:t>
            </w:r>
          </w:p>
        </w:tc>
        <w:tc>
          <w:tcPr>
            <w:tcW w:type="dxa" w:w="2835"/>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53.39</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A.1  </w:t>
      </w:r>
      <w:r>
        <w:rPr>
          <w:rFonts w:ascii="Times New Roman" w:hAnsi="Times New Roman" w:cs="Times New Roman" w:eastAsia="Times New Roman"/>
          <w:b w:val="0"/>
          <w:i/>
          <w:color w:val="000000"/>
          <w:sz w:val="17"/>
        </w:rPr>
        <w:t>Basic figures for both indexes.</w:t>
      </w:r>
    </w:p>
    <w:p>
      <w:pPr>
        <w:keepNext/>
        <w:spacing w:before="120" w:after="40"/>
        <w:jc w:val="center"/>
      </w:pPr>
      <w:r>
        <w:drawing>
          <wp:inline xmlns:a="http://schemas.openxmlformats.org/drawingml/2006/main" xmlns:pic="http://schemas.openxmlformats.org/drawingml/2006/picture">
            <wp:extent cx="5400000" cy="2459999"/>
            <wp:docPr id="3" name="Picture 3"/>
            <wp:cNvGraphicFramePr>
              <a:graphicFrameLocks noChangeAspect="1"/>
            </wp:cNvGraphicFramePr>
            <a:graphic>
              <a:graphicData uri="http://schemas.openxmlformats.org/drawingml/2006/picture">
                <pic:pic>
                  <pic:nvPicPr>
                    <pic:cNvPr id="0" name="fig1_levels.png"/>
                    <pic:cNvPicPr/>
                  </pic:nvPicPr>
                  <pic:blipFill>
                    <a:blip r:embed="rId12"/>
                    <a:stretch>
                      <a:fillRect/>
                    </a:stretch>
                  </pic:blipFill>
                  <pic:spPr>
                    <a:xfrm>
                      <a:off x="0" y="0"/>
                      <a:ext cx="5400000" cy="2459999"/>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A.1  </w:t>
      </w:r>
      <w:r>
        <w:rPr>
          <w:rFonts w:ascii="Times New Roman" w:hAnsi="Times New Roman" w:cs="Times New Roman" w:eastAsia="Times New Roman"/>
          <w:b w:val="0"/>
          <w:i/>
          <w:color w:val="000000"/>
          <w:sz w:val="17"/>
        </w:rPr>
        <w:t>Both indexes with the starting value set to 100.</w:t>
      </w:r>
    </w:p>
    <w:p>
      <w:pPr>
        <w:keepNext/>
        <w:pageBreakBefore w:val="0"/>
        <w:spacing w:before="200" w:after="80"/>
      </w:pPr>
      <w:r>
        <w:rPr>
          <w:rFonts w:ascii="Times New Roman" w:hAnsi="Times New Roman" w:cs="Times New Roman" w:eastAsia="Times New Roman"/>
          <w:b/>
          <w:i w:val="0"/>
          <w:color w:val="000000"/>
          <w:sz w:val="23"/>
        </w:rPr>
        <w:t>A.2  Do returns follow a normal curve?</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294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Item</w:t>
            </w:r>
          </w:p>
        </w:tc>
        <w:tc>
          <w:tcPr>
            <w:tcW w:type="dxa" w:w="192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192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c>
          <w:tcPr>
            <w:tcW w:type="dxa" w:w="260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If it were a normal curve</w:t>
            </w:r>
          </w:p>
        </w:tc>
      </w:tr>
      <w:tr>
        <w:tc>
          <w:tcPr>
            <w:tcW w:type="dxa" w:w="294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Skewness</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-0.280</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-0.392</w:t>
            </w:r>
          </w:p>
        </w:tc>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w:t>
            </w:r>
          </w:p>
        </w:tc>
      </w:tr>
      <w:tr>
        <w:tc>
          <w:tcPr>
            <w:tcW w:type="dxa" w:w="294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Extra peakedness</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15.14</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10.07</w:t>
            </w:r>
          </w:p>
        </w:tc>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w:t>
            </w:r>
          </w:p>
        </w:tc>
      </w:tr>
      <w:tr>
        <w:tc>
          <w:tcPr>
            <w:tcW w:type="dxa" w:w="294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Jarque-Bera value</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44,429</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27,911</w:t>
            </w:r>
          </w:p>
        </w:tc>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near 0</w:t>
            </w:r>
          </w:p>
        </w:tc>
      </w:tr>
      <w:tr>
        <w:tc>
          <w:tcPr>
            <w:tcW w:type="dxa" w:w="294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p value</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above 0.05</w:t>
            </w:r>
          </w:p>
        </w:tc>
      </w:tr>
      <w:tr>
        <w:tc>
          <w:tcPr>
            <w:tcW w:type="dxa" w:w="2948"/>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Days with a very large move</w:t>
            </w:r>
          </w:p>
        </w:tc>
        <w:tc>
          <w:tcPr>
            <w:tcW w:type="dxa" w:w="1928"/>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70</w:t>
            </w:r>
          </w:p>
        </w:tc>
        <w:tc>
          <w:tcPr>
            <w:tcW w:type="dxa" w:w="1928"/>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107</w:t>
            </w:r>
          </w:p>
        </w:tc>
        <w:tc>
          <w:tcPr>
            <w:tcW w:type="dxa" w:w="2608"/>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13 and 18</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A.2  </w:t>
      </w:r>
      <w:r>
        <w:rPr>
          <w:rFonts w:ascii="Times New Roman" w:hAnsi="Times New Roman" w:cs="Times New Roman" w:eastAsia="Times New Roman"/>
          <w:b w:val="0"/>
          <w:i/>
          <w:color w:val="000000"/>
          <w:sz w:val="17"/>
        </w:rPr>
        <w:t>Test for the normal curve.</w:t>
      </w:r>
    </w:p>
    <w:p>
      <w:pPr>
        <w:keepNext w:val="0"/>
        <w:spacing w:before="0" w:after="120" w:line="276" w:lineRule="auto"/>
        <w:jc w:val="both"/>
      </w:pPr>
      <w:r>
        <w:rPr>
          <w:rFonts w:ascii="Times New Roman" w:hAnsi="Times New Roman" w:cs="Times New Roman" w:eastAsia="Times New Roman"/>
          <w:b w:val="0"/>
          <w:i w:val="0"/>
          <w:color w:val="000000"/>
          <w:sz w:val="21"/>
        </w:rPr>
        <w:t>The answer is no. The clearest proof is the last row. If returns followed a normal curve, about 13 days with a very large move were expected in the Nifty 50, but 70 days actually happened. That is more than five times as many. Very large moves are normal in this data, not rare.</w:t>
      </w:r>
    </w:p>
    <w:p>
      <w:pPr>
        <w:keepNext/>
        <w:spacing w:before="120" w:after="40"/>
        <w:jc w:val="center"/>
      </w:pPr>
      <w:r>
        <w:drawing>
          <wp:inline xmlns:a="http://schemas.openxmlformats.org/drawingml/2006/main" xmlns:pic="http://schemas.openxmlformats.org/drawingml/2006/picture">
            <wp:extent cx="5400000" cy="2459999"/>
            <wp:docPr id="4" name="Picture 4"/>
            <wp:cNvGraphicFramePr>
              <a:graphicFrameLocks noChangeAspect="1"/>
            </wp:cNvGraphicFramePr>
            <a:graphic>
              <a:graphicData uri="http://schemas.openxmlformats.org/drawingml/2006/picture">
                <pic:pic>
                  <pic:nvPicPr>
                    <pic:cNvPr id="0" name="fig3_dist.png"/>
                    <pic:cNvPicPr/>
                  </pic:nvPicPr>
                  <pic:blipFill>
                    <a:blip r:embed="rId13"/>
                    <a:stretch>
                      <a:fillRect/>
                    </a:stretch>
                  </pic:blipFill>
                  <pic:spPr>
                    <a:xfrm>
                      <a:off x="0" y="0"/>
                      <a:ext cx="5400000" cy="2459999"/>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A.2  </w:t>
      </w:r>
      <w:r>
        <w:rPr>
          <w:rFonts w:ascii="Times New Roman" w:hAnsi="Times New Roman" w:cs="Times New Roman" w:eastAsia="Times New Roman"/>
          <w:b w:val="0"/>
          <w:i/>
          <w:color w:val="000000"/>
          <w:sz w:val="17"/>
        </w:rPr>
        <w:t>On the left, the real data has a taller centre and longer tails than the normal curve. On the right, the points bend away from the line at both ends, which shows the same thing.</w:t>
      </w:r>
    </w:p>
    <w:p>
      <w:pPr>
        <w:keepNext/>
        <w:pageBreakBefore w:val="0"/>
        <w:spacing w:before="200" w:after="80"/>
      </w:pPr>
      <w:r>
        <w:rPr>
          <w:rFonts w:ascii="Times New Roman" w:hAnsi="Times New Roman" w:cs="Times New Roman" w:eastAsia="Times New Roman"/>
          <w:b/>
          <w:i w:val="0"/>
          <w:color w:val="000000"/>
          <w:sz w:val="23"/>
        </w:rPr>
        <w:t>A.3  Can the direction be predicted?</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249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Test</w:t>
            </w:r>
          </w:p>
        </w:tc>
        <w:tc>
          <w:tcPr>
            <w:tcW w:type="dxa" w:w="147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Series</w:t>
            </w:r>
          </w:p>
        </w:tc>
        <w:tc>
          <w:tcPr>
            <w:tcW w:type="dxa" w:w="181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181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c>
          <w:tcPr>
            <w:tcW w:type="dxa" w:w="181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Result</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ADF</w:t>
            </w:r>
          </w:p>
        </w:tc>
        <w:tc>
          <w:tcPr>
            <w:tcW w:type="dxa" w:w="147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Price</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-0.18</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-0.39</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Not stationary</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ADF</w:t>
            </w:r>
          </w:p>
        </w:tc>
        <w:tc>
          <w:tcPr>
            <w:tcW w:type="dxa" w:w="147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Returns</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-12.19</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-13.91</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Stationary</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Variance ratio, q = 2</w:t>
            </w:r>
          </w:p>
        </w:tc>
        <w:tc>
          <w:tcPr>
            <w:tcW w:type="dxa" w:w="147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Returns</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1.037</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1.051</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Close to 1</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Variance ratio, q = 4</w:t>
            </w:r>
          </w:p>
        </w:tc>
        <w:tc>
          <w:tcPr>
            <w:tcW w:type="dxa" w:w="147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Returns</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1.036</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1.043</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Close to 1</w:t>
            </w:r>
          </w:p>
        </w:tc>
      </w:tr>
      <w:tr>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Variance ratio, q = 8</w:t>
            </w:r>
          </w:p>
        </w:tc>
        <w:tc>
          <w:tcPr>
            <w:tcW w:type="dxa" w:w="147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Returns</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0.994</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1.027</w:t>
            </w:r>
          </w:p>
        </w:tc>
        <w:tc>
          <w:tcPr>
            <w:tcW w:type="dxa" w:w="181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Close to 1</w:t>
            </w:r>
          </w:p>
        </w:tc>
      </w:tr>
      <w:tr>
        <w:tc>
          <w:tcPr>
            <w:tcW w:type="dxa" w:w="249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Variance ratio, q = 16</w:t>
            </w:r>
          </w:p>
        </w:tc>
        <w:tc>
          <w:tcPr>
            <w:tcW w:type="dxa" w:w="147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Returns</w:t>
            </w:r>
          </w:p>
        </w:tc>
        <w:tc>
          <w:tcPr>
            <w:tcW w:type="dxa" w:w="181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1.034</w:t>
            </w:r>
          </w:p>
        </w:tc>
        <w:tc>
          <w:tcPr>
            <w:tcW w:type="dxa" w:w="181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1.071</w:t>
            </w:r>
          </w:p>
        </w:tc>
        <w:tc>
          <w:tcPr>
            <w:tcW w:type="dxa" w:w="181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Close to 1</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A.3  </w:t>
      </w:r>
      <w:r>
        <w:rPr>
          <w:rFonts w:ascii="Times New Roman" w:hAnsi="Times New Roman" w:cs="Times New Roman" w:eastAsia="Times New Roman"/>
          <w:b w:val="0"/>
          <w:i/>
          <w:color w:val="000000"/>
          <w:sz w:val="17"/>
        </w:rPr>
        <w:t>Tests for stationary data and for prediction. The 5 per cent table value for the ADF test is -2.86.</w:t>
      </w:r>
    </w:p>
    <w:p>
      <w:pPr>
        <w:keepNext w:val="0"/>
        <w:spacing w:before="0" w:after="120" w:line="276" w:lineRule="auto"/>
        <w:jc w:val="both"/>
      </w:pPr>
      <w:r>
        <w:rPr>
          <w:rFonts w:ascii="Times New Roman" w:hAnsi="Times New Roman" w:cs="Times New Roman" w:eastAsia="Times New Roman"/>
          <w:b w:val="0"/>
          <w:i w:val="0"/>
          <w:color w:val="000000"/>
          <w:sz w:val="21"/>
        </w:rPr>
        <w:t>Prices are not stationary but returns are, so all the later work is done on returns. The variance ratio stays close to 1, which means the direction of the market cannot be predicted from past prices in any useful way.</w:t>
      </w:r>
    </w:p>
    <w:p>
      <w:pPr>
        <w:keepNext/>
        <w:pageBreakBefore w:val="0"/>
        <w:spacing w:before="200" w:after="80"/>
      </w:pPr>
      <w:r>
        <w:rPr>
          <w:rFonts w:ascii="Times New Roman" w:hAnsi="Times New Roman" w:cs="Times New Roman" w:eastAsia="Times New Roman"/>
          <w:b/>
          <w:i w:val="0"/>
          <w:color w:val="000000"/>
          <w:sz w:val="23"/>
        </w:rPr>
        <w:t>A.4  Do big moves come together?</w:t>
      </w:r>
    </w:p>
    <w:tbl>
      <w:tblPr>
        <w:tblW w:type="auto" w:w="0"/>
        <w:jc w:val="center"/>
        <w:tblLayout w:type="fixed"/>
        <w:tblLook w:firstColumn="1" w:firstRow="1" w:lastColumn="0" w:lastRow="0" w:noHBand="0" w:noVBand="1" w:val="04A0"/>
      </w:tblPr>
      <w:tblGrid>
        <w:gridCol w:w="1882"/>
        <w:gridCol w:w="1882"/>
        <w:gridCol w:w="1882"/>
        <w:gridCol w:w="1882"/>
        <w:gridCol w:w="1882"/>
      </w:tblGrid>
      <w:tr>
        <w:tc>
          <w:tcPr>
            <w:tcW w:type="dxa" w:w="3402"/>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Test</w:t>
            </w:r>
          </w:p>
        </w:tc>
        <w:tc>
          <w:tcPr>
            <w:tcW w:type="dxa" w:w="164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113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 value</w:t>
            </w:r>
          </w:p>
        </w:tc>
        <w:tc>
          <w:tcPr>
            <w:tcW w:type="dxa" w:w="164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c>
          <w:tcPr>
            <w:tcW w:type="dxa" w:w="113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 value</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Ljung-Box on returns</w:t>
            </w:r>
          </w:p>
        </w:tc>
        <w:tc>
          <w:tcPr>
            <w:tcW w:type="dxa" w:w="164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39.4</w:t>
            </w:r>
          </w:p>
        </w:tc>
        <w:tc>
          <w:tcPr>
            <w:tcW w:type="dxa" w:w="113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c>
          <w:tcPr>
            <w:tcW w:type="dxa" w:w="164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48.3</w:t>
            </w:r>
          </w:p>
        </w:tc>
        <w:tc>
          <w:tcPr>
            <w:tcW w:type="dxa" w:w="113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Ljung-Box on squared returns</w:t>
            </w:r>
          </w:p>
        </w:tc>
        <w:tc>
          <w:tcPr>
            <w:tcW w:type="dxa" w:w="164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1,625</w:t>
            </w:r>
          </w:p>
        </w:tc>
        <w:tc>
          <w:tcPr>
            <w:tcW w:type="dxa" w:w="113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c>
          <w:tcPr>
            <w:tcW w:type="dxa" w:w="164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2,585</w:t>
            </w:r>
          </w:p>
        </w:tc>
        <w:tc>
          <w:tcPr>
            <w:tcW w:type="dxa" w:w="113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r>
      <w:tr>
        <w:tc>
          <w:tcPr>
            <w:tcW w:type="dxa" w:w="3402"/>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ARCH test (5 lags)</w:t>
            </w:r>
          </w:p>
        </w:tc>
        <w:tc>
          <w:tcPr>
            <w:tcW w:type="dxa" w:w="164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485</w:t>
            </w:r>
          </w:p>
        </w:tc>
        <w:tc>
          <w:tcPr>
            <w:tcW w:type="dxa" w:w="113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c>
          <w:tcPr>
            <w:tcW w:type="dxa" w:w="164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790</w:t>
            </w:r>
          </w:p>
        </w:tc>
        <w:tc>
          <w:tcPr>
            <w:tcW w:type="dxa" w:w="113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less than 0.001</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A.4  </w:t>
      </w:r>
      <w:r>
        <w:rPr>
          <w:rFonts w:ascii="Times New Roman" w:hAnsi="Times New Roman" w:cs="Times New Roman" w:eastAsia="Times New Roman"/>
          <w:b w:val="0"/>
          <w:i/>
          <w:color w:val="000000"/>
          <w:sz w:val="17"/>
        </w:rPr>
        <w:t>Tests for grouping of big moves.</w:t>
      </w:r>
    </w:p>
    <w:p>
      <w:pPr>
        <w:keepNext w:val="0"/>
        <w:spacing w:before="0" w:after="120" w:line="276" w:lineRule="auto"/>
        <w:jc w:val="both"/>
      </w:pPr>
      <w:r>
        <w:rPr>
          <w:rFonts w:ascii="Times New Roman" w:hAnsi="Times New Roman" w:cs="Times New Roman" w:eastAsia="Times New Roman"/>
          <w:b w:val="0"/>
          <w:i w:val="0"/>
          <w:color w:val="000000"/>
          <w:sz w:val="21"/>
        </w:rPr>
        <w:t>This is the main result of the study. The test on plain returns gives a small value (39.4), so the direction has almost no pattern. The same test on squared returns gives 1,625, which is about forty times larger. So the size of the move can be predicted even though the direction cannot.</w:t>
      </w:r>
    </w:p>
    <w:p>
      <w:pPr>
        <w:keepNext/>
        <w:spacing w:before="120" w:after="40"/>
        <w:jc w:val="center"/>
      </w:pPr>
      <w:r>
        <w:drawing>
          <wp:inline xmlns:a="http://schemas.openxmlformats.org/drawingml/2006/main" xmlns:pic="http://schemas.openxmlformats.org/drawingml/2006/picture">
            <wp:extent cx="5400000" cy="2459999"/>
            <wp:docPr id="5" name="Picture 5"/>
            <wp:cNvGraphicFramePr>
              <a:graphicFrameLocks noChangeAspect="1"/>
            </wp:cNvGraphicFramePr>
            <a:graphic>
              <a:graphicData uri="http://schemas.openxmlformats.org/drawingml/2006/picture">
                <pic:pic>
                  <pic:nvPicPr>
                    <pic:cNvPr id="0" name="fig4_acf.png"/>
                    <pic:cNvPicPr/>
                  </pic:nvPicPr>
                  <pic:blipFill>
                    <a:blip r:embed="rId14"/>
                    <a:stretch>
                      <a:fillRect/>
                    </a:stretch>
                  </pic:blipFill>
                  <pic:spPr>
                    <a:xfrm>
                      <a:off x="0" y="0"/>
                      <a:ext cx="5400000" cy="2459999"/>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A.3  </w:t>
      </w:r>
      <w:r>
        <w:rPr>
          <w:rFonts w:ascii="Times New Roman" w:hAnsi="Times New Roman" w:cs="Times New Roman" w:eastAsia="Times New Roman"/>
          <w:b w:val="0"/>
          <w:i/>
          <w:color w:val="000000"/>
          <w:sz w:val="17"/>
        </w:rPr>
        <w:t>Returns stay inside the dotted lines, which means no pattern. Squared returns stay far outside them at every lag.</w:t>
      </w:r>
    </w:p>
    <w:p>
      <w:pPr>
        <w:keepNext/>
        <w:pageBreakBefore w:val="0"/>
        <w:spacing w:before="200" w:after="80"/>
      </w:pPr>
      <w:r>
        <w:rPr>
          <w:rFonts w:ascii="Times New Roman" w:hAnsi="Times New Roman" w:cs="Times New Roman" w:eastAsia="Times New Roman"/>
          <w:b/>
          <w:i w:val="0"/>
          <w:color w:val="000000"/>
          <w:sz w:val="23"/>
        </w:rPr>
        <w:t>A.5  The GARCH(1,1) model</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260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Value</w:t>
            </w:r>
          </w:p>
        </w:tc>
        <w:tc>
          <w:tcPr>
            <w:tcW w:type="dxa" w:w="170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170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c>
          <w:tcPr>
            <w:tcW w:type="dxa" w:w="3402"/>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Meaning</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omega</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0.0147</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0.0204</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Base level of risk</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alpha</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0.0952</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0.1063</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Effect of yesterday's move</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beta</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0.8975</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0.8850</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Effect of yesterday's risk level</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alpha + beta</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0.9927</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0.9913</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Below 1, so risk comes back to normal</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Half life (days)</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95</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80</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Time taken for a shock to reduce by half</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Long run risk level (%)</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22.53</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24.38</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Level the risk returns to</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Highest risk level (%)</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92</w:t>
            </w:r>
          </w:p>
        </w:tc>
        <w:tc>
          <w:tcPr>
            <w:tcW w:type="dxa" w:w="170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97</w:t>
            </w:r>
          </w:p>
        </w:tc>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Reached in 2020-03</w:t>
            </w:r>
          </w:p>
        </w:tc>
      </w:tr>
      <w:tr>
        <w:tc>
          <w:tcPr>
            <w:tcW w:type="dxa" w:w="2608"/>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ARCH test after fitting (p)</w:t>
            </w:r>
          </w:p>
        </w:tc>
        <w:tc>
          <w:tcPr>
            <w:tcW w:type="dxa" w:w="1701"/>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0.48</w:t>
            </w:r>
          </w:p>
        </w:tc>
        <w:tc>
          <w:tcPr>
            <w:tcW w:type="dxa" w:w="1701"/>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0.20</w:t>
            </w:r>
          </w:p>
        </w:tc>
        <w:tc>
          <w:tcPr>
            <w:tcW w:type="dxa" w:w="3402"/>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Above 0.05, so the model is acceptable</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A.5  </w:t>
      </w:r>
      <w:r>
        <w:rPr>
          <w:rFonts w:ascii="Times New Roman" w:hAnsi="Times New Roman" w:cs="Times New Roman" w:eastAsia="Times New Roman"/>
          <w:b w:val="0"/>
          <w:i/>
          <w:color w:val="000000"/>
          <w:sz w:val="17"/>
        </w:rPr>
        <w:t>Values of the fitted GARCH(1,1) model.</w:t>
      </w:r>
    </w:p>
    <w:p>
      <w:pPr>
        <w:keepNext w:val="0"/>
        <w:spacing w:before="0" w:after="120" w:line="276" w:lineRule="auto"/>
        <w:jc w:val="both"/>
      </w:pPr>
      <w:r>
        <w:rPr>
          <w:rFonts w:ascii="Times New Roman" w:hAnsi="Times New Roman" w:cs="Times New Roman" w:eastAsia="Times New Roman"/>
          <w:b w:val="0"/>
          <w:i w:val="0"/>
          <w:color w:val="000000"/>
          <w:sz w:val="21"/>
        </w:rPr>
        <w:t>The important number is the half life of about 95 trading days, which is close to four and a half months. This means a shock in the market does not go away in a day or two. It keeps the risk level high for months. After fitting the model, the ARCH test no longer shows a problem, so the model has taken care of the grouping of big moves.</w:t>
      </w:r>
    </w:p>
    <w:p>
      <w:pPr>
        <w:keepNext/>
        <w:spacing w:before="120" w:after="40"/>
        <w:jc w:val="center"/>
      </w:pPr>
      <w:r>
        <w:drawing>
          <wp:inline xmlns:a="http://schemas.openxmlformats.org/drawingml/2006/main" xmlns:pic="http://schemas.openxmlformats.org/drawingml/2006/picture">
            <wp:extent cx="5400000" cy="2459999"/>
            <wp:docPr id="6" name="Picture 6"/>
            <wp:cNvGraphicFramePr>
              <a:graphicFrameLocks noChangeAspect="1"/>
            </wp:cNvGraphicFramePr>
            <a:graphic>
              <a:graphicData uri="http://schemas.openxmlformats.org/drawingml/2006/picture">
                <pic:pic>
                  <pic:nvPicPr>
                    <pic:cNvPr id="0" name="fig5_garch.png"/>
                    <pic:cNvPicPr/>
                  </pic:nvPicPr>
                  <pic:blipFill>
                    <a:blip r:embed="rId15"/>
                    <a:stretch>
                      <a:fillRect/>
                    </a:stretch>
                  </pic:blipFill>
                  <pic:spPr>
                    <a:xfrm>
                      <a:off x="0" y="0"/>
                      <a:ext cx="5400000" cy="2459999"/>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A.4  </w:t>
      </w:r>
      <w:r>
        <w:rPr>
          <w:rFonts w:ascii="Times New Roman" w:hAnsi="Times New Roman" w:cs="Times New Roman" w:eastAsia="Times New Roman"/>
          <w:b w:val="0"/>
          <w:i/>
          <w:color w:val="000000"/>
          <w:sz w:val="17"/>
        </w:rPr>
        <w:t>Risk level from the model. The highest point in March 2020 is about 92 per cent, which is more than four times the long run level of 22.5 per cent.</w:t>
      </w:r>
    </w:p>
    <w:p>
      <w:pPr>
        <w:keepNext/>
        <w:pageBreakBefore w:val="0"/>
        <w:spacing w:before="200" w:after="80"/>
      </w:pPr>
      <w:r>
        <w:rPr>
          <w:rFonts w:ascii="Times New Roman" w:hAnsi="Times New Roman" w:cs="Times New Roman" w:eastAsia="Times New Roman"/>
          <w:b/>
          <w:i w:val="0"/>
          <w:color w:val="000000"/>
          <w:sz w:val="23"/>
        </w:rPr>
        <w:t>A.6  Risk numbers</w:t>
      </w:r>
    </w:p>
    <w:tbl>
      <w:tblPr>
        <w:tblW w:type="auto" w:w="0"/>
        <w:jc w:val="center"/>
        <w:tblLayout w:type="fixed"/>
        <w:tblLook w:firstColumn="1" w:firstRow="1" w:lastColumn="0" w:lastRow="0" w:noHBand="0" w:noVBand="1" w:val="04A0"/>
      </w:tblPr>
      <w:tblGrid>
        <w:gridCol w:w="3137"/>
        <w:gridCol w:w="3137"/>
        <w:gridCol w:w="3137"/>
      </w:tblGrid>
      <w:tr>
        <w:tc>
          <w:tcPr>
            <w:tcW w:type="dxa" w:w="4309"/>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Item</w:t>
            </w:r>
          </w:p>
        </w:tc>
        <w:tc>
          <w:tcPr>
            <w:tcW w:type="dxa" w:w="255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Nifty 50</w:t>
            </w:r>
          </w:p>
        </w:tc>
        <w:tc>
          <w:tcPr>
            <w:tcW w:type="dxa" w:w="255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Sensex</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Worst 1% daily loss, from real data (%)</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-3.62</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-4.05</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Worst 1% daily loss, using normal curve (%)</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-2.98</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-3.15</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Average loss on such bad days (%)</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-5.46</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-5.69</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Times this limit was crossed</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82</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134</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Times it should have been crossed</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46</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66</w:t>
            </w:r>
          </w:p>
        </w:tc>
      </w:tr>
      <w:tr>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Biggest fall from a peak (%)</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-59.86</w:t>
            </w:r>
          </w:p>
        </w:tc>
        <w:tc>
          <w:tcPr>
            <w:tcW w:type="dxa" w:w="255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-60.91</w:t>
            </w:r>
          </w:p>
        </w:tc>
      </w:tr>
      <w:tr>
        <w:tc>
          <w:tcPr>
            <w:tcW w:type="dxa" w:w="4309"/>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Days taken to recover from it</w:t>
            </w:r>
          </w:p>
        </w:tc>
        <w:tc>
          <w:tcPr>
            <w:tcW w:type="dxa" w:w="2551"/>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1,036</w:t>
            </w:r>
          </w:p>
        </w:tc>
        <w:tc>
          <w:tcPr>
            <w:tcW w:type="dxa" w:w="2551"/>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1,031</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A.6  </w:t>
      </w:r>
      <w:r>
        <w:rPr>
          <w:rFonts w:ascii="Times New Roman" w:hAnsi="Times New Roman" w:cs="Times New Roman" w:eastAsia="Times New Roman"/>
          <w:b w:val="0"/>
          <w:i/>
          <w:color w:val="000000"/>
          <w:sz w:val="17"/>
        </w:rPr>
        <w:t>Risk numbers for both indexes.</w:t>
      </w:r>
    </w:p>
    <w:p>
      <w:pPr>
        <w:keepNext w:val="0"/>
        <w:spacing w:before="0" w:after="120" w:line="276" w:lineRule="auto"/>
        <w:jc w:val="both"/>
      </w:pPr>
      <w:r>
        <w:rPr>
          <w:rFonts w:ascii="Times New Roman" w:hAnsi="Times New Roman" w:cs="Times New Roman" w:eastAsia="Times New Roman"/>
          <w:b w:val="0"/>
          <w:i w:val="0"/>
          <w:color w:val="000000"/>
          <w:sz w:val="21"/>
        </w:rPr>
        <w:t>The loss limit based on the normal curve was crossed 82 times when it should have been crossed only about 46 times. On the days it was crossed, the average loss was 5.46 per cent, which is much worse than the limit itself. The largest fall was 59.9 per cent and it took about 2.8 years to come back to the old level.</w:t>
      </w:r>
    </w:p>
    <w:p>
      <w:pPr>
        <w:keepNext/>
        <w:spacing w:before="120" w:after="40"/>
        <w:jc w:val="center"/>
      </w:pPr>
      <w:r>
        <w:drawing>
          <wp:inline xmlns:a="http://schemas.openxmlformats.org/drawingml/2006/main" xmlns:pic="http://schemas.openxmlformats.org/drawingml/2006/picture">
            <wp:extent cx="5400000" cy="2280000"/>
            <wp:docPr id="7" name="Picture 7"/>
            <wp:cNvGraphicFramePr>
              <a:graphicFrameLocks noChangeAspect="1"/>
            </wp:cNvGraphicFramePr>
            <a:graphic>
              <a:graphicData uri="http://schemas.openxmlformats.org/drawingml/2006/picture">
                <pic:pic>
                  <pic:nvPicPr>
                    <pic:cNvPr id="0" name="fig6_drawdown.png"/>
                    <pic:cNvPicPr/>
                  </pic:nvPicPr>
                  <pic:blipFill>
                    <a:blip r:embed="rId16"/>
                    <a:stretch>
                      <a:fillRect/>
                    </a:stretch>
                  </pic:blipFill>
                  <pic:spPr>
                    <a:xfrm>
                      <a:off x="0" y="0"/>
                      <a:ext cx="5400000" cy="2280000"/>
                    </a:xfrm>
                    <a:prstGeom prst="rect"/>
                  </pic:spPr>
                </pic:pic>
              </a:graphicData>
            </a:graphic>
          </wp:inline>
        </w:drawing>
      </w:r>
    </w:p>
    <w:p>
      <w:pPr>
        <w:keepNext w:val="0"/>
        <w:spacing w:before="60" w:after="180" w:line="240" w:lineRule="auto"/>
        <w:jc w:val="center"/>
      </w:pPr>
      <w:r>
        <w:rPr>
          <w:rFonts w:ascii="Times New Roman" w:hAnsi="Times New Roman" w:cs="Times New Roman" w:eastAsia="Times New Roman"/>
          <w:b/>
          <w:i w:val="0"/>
          <w:color w:val="000000"/>
          <w:sz w:val="17"/>
        </w:rPr>
        <w:t xml:space="preserve">Fig. A.5  </w:t>
      </w:r>
      <w:r>
        <w:rPr>
          <w:rFonts w:ascii="Times New Roman" w:hAnsi="Times New Roman" w:cs="Times New Roman" w:eastAsia="Times New Roman"/>
          <w:b w:val="0"/>
          <w:i/>
          <w:color w:val="000000"/>
          <w:sz w:val="17"/>
        </w:rPr>
        <w:t>Fall of the Nifty 50 from its highest point up to that date.</w:t>
      </w:r>
    </w:p>
    <w:p>
      <w:pPr>
        <w:keepNext/>
        <w:pageBreakBefore w:val="0"/>
        <w:spacing w:before="200" w:after="80"/>
      </w:pPr>
      <w:r>
        <w:rPr>
          <w:rFonts w:ascii="Times New Roman" w:hAnsi="Times New Roman" w:cs="Times New Roman" w:eastAsia="Times New Roman"/>
          <w:b/>
          <w:i w:val="0"/>
          <w:color w:val="000000"/>
          <w:sz w:val="23"/>
        </w:rPr>
        <w:t>A.7  Summary of answers</w:t>
      </w:r>
    </w:p>
    <w:tbl>
      <w:tblPr>
        <w:tblW w:type="auto" w:w="0"/>
        <w:jc w:val="center"/>
        <w:tblLayout w:type="fixed"/>
        <w:tblLook w:firstColumn="1" w:firstRow="1" w:lastColumn="0" w:lastRow="0" w:noHBand="0" w:noVBand="1" w:val="04A0"/>
      </w:tblPr>
      <w:tblGrid>
        <w:gridCol w:w="3137"/>
        <w:gridCol w:w="3137"/>
        <w:gridCol w:w="3137"/>
      </w:tblGrid>
      <w:tr>
        <w:tc>
          <w:tcPr>
            <w:tcW w:type="dxa" w:w="3402"/>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Question</w:t>
            </w:r>
          </w:p>
        </w:tc>
        <w:tc>
          <w:tcPr>
            <w:tcW w:type="dxa" w:w="1587"/>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Answer</w:t>
            </w:r>
          </w:p>
        </w:tc>
        <w:tc>
          <w:tcPr>
            <w:tcW w:type="dxa" w:w="4422"/>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Proof</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Do returns follow a normal curve?</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No</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Jarque-Bera = 44,429, p below 0.001</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Are prices stationary?</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No</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ADF = -0.18, table value -2.86</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Are returns stationary?</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Yes</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ADF = -12.19, table value -2.86</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Can the direction be predicted?</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No</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Variance ratio = 1.037, close to 1</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Do big moves come together?</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Yes</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ARCH test = 485, p below 0.001</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Can this be modelled?</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Yes</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GARCH(1,1); test after fitting p = 0.48</w:t>
            </w:r>
          </w:p>
        </w:tc>
      </w:tr>
      <w:tr>
        <w:tc>
          <w:tcPr>
            <w:tcW w:type="dxa" w:w="340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Does risk come back to normal?</w:t>
            </w:r>
          </w:p>
        </w:tc>
        <w:tc>
          <w:tcPr>
            <w:tcW w:type="dxa" w:w="1587"/>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Yes, slowly</w:t>
            </w:r>
          </w:p>
        </w:tc>
        <w:tc>
          <w:tcPr>
            <w:tcW w:type="dxa" w:w="4422"/>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alpha + beta = 0.9927, half life 95 days</w:t>
            </w:r>
          </w:p>
        </w:tc>
      </w:tr>
      <w:tr>
        <w:tc>
          <w:tcPr>
            <w:tcW w:type="dxa" w:w="3402"/>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Is risk higher than the normal curve says?</w:t>
            </w:r>
          </w:p>
        </w:tc>
        <w:tc>
          <w:tcPr>
            <w:tcW w:type="dxa" w:w="1587"/>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Yes</w:t>
            </w:r>
          </w:p>
        </w:tc>
        <w:tc>
          <w:tcPr>
            <w:tcW w:type="dxa" w:w="4422"/>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Limit crossed 1.8 times too often</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A.7  </w:t>
      </w:r>
      <w:r>
        <w:rPr>
          <w:rFonts w:ascii="Times New Roman" w:hAnsi="Times New Roman" w:cs="Times New Roman" w:eastAsia="Times New Roman"/>
          <w:b w:val="0"/>
          <w:i/>
          <w:color w:val="000000"/>
          <w:sz w:val="17"/>
        </w:rPr>
        <w:t>All questions and the answers found.</w:t>
      </w:r>
    </w:p>
    <w:p>
      <w:pPr>
        <w:keepNext/>
        <w:pageBreakBefore/>
        <w:spacing w:before="0" w:after="140"/>
        <w:pBdr>
          <w:bottom w:val="single" w:sz="8" w:space="3" w:color="000000"/>
        </w:pBdr>
      </w:pPr>
      <w:r>
        <w:rPr>
          <w:rFonts w:ascii="Times New Roman" w:hAnsi="Times New Roman" w:cs="Times New Roman" w:eastAsia="Times New Roman"/>
          <w:b/>
          <w:i w:val="0"/>
          <w:color w:val="000000"/>
          <w:sz w:val="26"/>
        </w:rPr>
        <w:t>Appendix B — R Code</w:t>
      </w:r>
    </w:p>
    <w:p>
      <w:pPr>
        <w:keepNext w:val="0"/>
        <w:spacing w:before="0" w:after="120" w:line="276" w:lineRule="auto"/>
        <w:jc w:val="both"/>
      </w:pPr>
      <w:r>
        <w:rPr>
          <w:rFonts w:ascii="Times New Roman" w:hAnsi="Times New Roman" w:cs="Times New Roman" w:eastAsia="Times New Roman"/>
          <w:b w:val="0"/>
          <w:i w:val="0"/>
          <w:color w:val="000000"/>
          <w:sz w:val="22"/>
        </w:rPr>
        <w:t>Three R files are given with this report. All of them use the same data and give the same results.</w:t>
      </w:r>
    </w:p>
    <w:tbl>
      <w:tblPr>
        <w:tblW w:type="auto" w:w="0"/>
        <w:jc w:val="center"/>
        <w:tblLayout w:type="fixed"/>
        <w:tblLook w:firstColumn="1" w:firstRow="1" w:lastColumn="0" w:lastRow="0" w:noHBand="0" w:noVBand="1" w:val="04A0"/>
      </w:tblPr>
      <w:tblGrid>
        <w:gridCol w:w="3137"/>
        <w:gridCol w:w="3137"/>
        <w:gridCol w:w="3137"/>
      </w:tblGrid>
      <w:tr>
        <w:tc>
          <w:tcPr>
            <w:tcW w:type="dxa" w:w="260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File</w:t>
            </w:r>
          </w:p>
        </w:tc>
        <w:tc>
          <w:tcPr>
            <w:tcW w:type="dxa" w:w="249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Packages needed</w:t>
            </w:r>
          </w:p>
        </w:tc>
        <w:tc>
          <w:tcPr>
            <w:tcW w:type="dxa" w:w="4309"/>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What it does</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01_nifty_sensex_analysis.R</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quantmod, tseries, rugarch, PerformanceAnalytics, FinTS, moments</w:t>
            </w:r>
          </w:p>
        </w:tc>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Main file. Downloads the data itself and runs all the tests.</w:t>
            </w:r>
          </w:p>
        </w:tc>
      </w:tr>
      <w:tr>
        <w:tc>
          <w:tcPr>
            <w:tcW w:type="dxa" w:w="260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02_nifty_sensex_baseR.R</w:t>
            </w:r>
          </w:p>
        </w:tc>
        <w:tc>
          <w:tcPr>
            <w:tcW w:type="dxa" w:w="2494"/>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None</w:t>
            </w:r>
          </w:p>
        </w:tc>
        <w:tc>
          <w:tcPr>
            <w:tcW w:type="dxa" w:w="4309"/>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Same tests written from the formula, so no package is needed. Use this on an online R compiler.</w:t>
            </w:r>
          </w:p>
        </w:tc>
      </w:tr>
      <w:tr>
        <w:tc>
          <w:tcPr>
            <w:tcW w:type="dxa" w:w="2608"/>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03_make_figures.R</w:t>
            </w:r>
          </w:p>
        </w:tc>
        <w:tc>
          <w:tcPr>
            <w:tcW w:type="dxa" w:w="2494"/>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None</w:t>
            </w:r>
          </w:p>
        </w:tc>
        <w:tc>
          <w:tcPr>
            <w:tcW w:type="dxa" w:w="4309"/>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Draws all the figures used in this report and in the slides.</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B.1  </w:t>
      </w:r>
      <w:r>
        <w:rPr>
          <w:rFonts w:ascii="Times New Roman" w:hAnsi="Times New Roman" w:cs="Times New Roman" w:eastAsia="Times New Roman"/>
          <w:b w:val="0"/>
          <w:i/>
          <w:color w:val="000000"/>
          <w:sz w:val="17"/>
        </w:rPr>
        <w:t>The three R files.</w:t>
      </w:r>
    </w:p>
    <w:p>
      <w:pPr>
        <w:keepNext/>
        <w:pageBreakBefore w:val="0"/>
        <w:spacing w:before="200" w:after="80"/>
      </w:pPr>
      <w:r>
        <w:rPr>
          <w:rFonts w:ascii="Times New Roman" w:hAnsi="Times New Roman" w:cs="Times New Roman" w:eastAsia="Times New Roman"/>
          <w:b/>
          <w:i w:val="0"/>
          <w:color w:val="000000"/>
          <w:sz w:val="23"/>
        </w:rPr>
        <w:t>Main part of the code</w:t>
      </w:r>
    </w:p>
    <w:p>
      <w:pPr>
        <w:spacing w:before="0" w:after="0" w:line="240" w:lineRule="auto"/>
        <w:ind w:left="340"/>
      </w:pPr>
      <w:r>
        <w:rPr>
          <w:rFonts w:ascii="Consolas" w:hAnsi="Consolas" w:cs="Consolas" w:eastAsia="Consolas"/>
          <w:b w:val="0"/>
          <w:i w:val="0"/>
          <w:color w:val="000000"/>
          <w:sz w:val="17"/>
        </w:rPr>
        <w:t># change prices into daily returns</w:t>
      </w:r>
    </w:p>
    <w:p>
      <w:pPr>
        <w:spacing w:before="0" w:after="0" w:line="240" w:lineRule="auto"/>
        <w:ind w:left="340"/>
      </w:pPr>
      <w:r>
        <w:rPr>
          <w:rFonts w:ascii="Consolas" w:hAnsi="Consolas" w:cs="Consolas" w:eastAsia="Consolas"/>
          <w:b w:val="0"/>
          <w:i w:val="0"/>
          <w:color w:val="000000"/>
          <w:sz w:val="17"/>
        </w:rPr>
        <w:t>r_nifty  &lt;- na.omit(diff(log(Cl(nifty)))  * 100)</w:t>
      </w:r>
    </w:p>
    <w:p>
      <w:pPr>
        <w:spacing w:before="0" w:after="0" w:line="240" w:lineRule="auto"/>
        <w:ind w:left="340"/>
      </w:pPr>
      <w:r>
        <w:rPr>
          <w:rFonts w:ascii="Consolas" w:hAnsi="Consolas" w:cs="Consolas" w:eastAsia="Consolas"/>
          <w:b w:val="0"/>
          <w:i w:val="0"/>
          <w:color w:val="000000"/>
          <w:sz w:val="17"/>
        </w:rPr>
        <w:t>r_sensex &lt;- na.omit(diff(log(Cl(sensex))) * 100)</w:t>
      </w:r>
    </w:p>
    <w:p>
      <w:pPr>
        <w:spacing w:before="0" w:after="0" w:line="240" w:lineRule="auto"/>
        <w:ind w:left="340"/>
      </w:pPr>
      <w:r>
        <w:rPr>
          <w:rFonts w:ascii="Consolas" w:hAnsi="Consolas" w:cs="Consolas" w:eastAsia="Consolas"/>
          <w:b w:val="0"/>
          <w:i w:val="0"/>
          <w:color w:val="000000"/>
          <w:sz w:val="17"/>
        </w:rPr>
        <w:t xml:space="preserve"> </w:t>
      </w:r>
    </w:p>
    <w:p>
      <w:pPr>
        <w:spacing w:before="0" w:after="0" w:line="240" w:lineRule="auto"/>
        <w:ind w:left="340"/>
      </w:pPr>
      <w:r>
        <w:rPr>
          <w:rFonts w:ascii="Consolas" w:hAnsi="Consolas" w:cs="Consolas" w:eastAsia="Consolas"/>
          <w:b w:val="0"/>
          <w:i w:val="0"/>
          <w:color w:val="000000"/>
          <w:sz w:val="17"/>
        </w:rPr>
        <w:t># check the shape of the data and whether it is stationary</w:t>
      </w:r>
    </w:p>
    <w:p>
      <w:pPr>
        <w:spacing w:before="0" w:after="0" w:line="240" w:lineRule="auto"/>
        <w:ind w:left="340"/>
      </w:pPr>
      <w:r>
        <w:rPr>
          <w:rFonts w:ascii="Consolas" w:hAnsi="Consolas" w:cs="Consolas" w:eastAsia="Consolas"/>
          <w:b w:val="0"/>
          <w:i w:val="0"/>
          <w:color w:val="000000"/>
          <w:sz w:val="17"/>
        </w:rPr>
        <w:t>jarque.bera.test(r_nifty)                 # does it follow a normal curve?</w:t>
      </w:r>
    </w:p>
    <w:p>
      <w:pPr>
        <w:spacing w:before="0" w:after="0" w:line="240" w:lineRule="auto"/>
        <w:ind w:left="340"/>
      </w:pPr>
      <w:r>
        <w:rPr>
          <w:rFonts w:ascii="Consolas" w:hAnsi="Consolas" w:cs="Consolas" w:eastAsia="Consolas"/>
          <w:b w:val="0"/>
          <w:i w:val="0"/>
          <w:color w:val="000000"/>
          <w:sz w:val="17"/>
        </w:rPr>
        <w:t>adf.test(log(Cl(nifty)))                  # is the price stationary?</w:t>
      </w:r>
    </w:p>
    <w:p>
      <w:pPr>
        <w:spacing w:before="0" w:after="0" w:line="240" w:lineRule="auto"/>
        <w:ind w:left="340"/>
      </w:pPr>
      <w:r>
        <w:rPr>
          <w:rFonts w:ascii="Consolas" w:hAnsi="Consolas" w:cs="Consolas" w:eastAsia="Consolas"/>
          <w:b w:val="0"/>
          <w:i w:val="0"/>
          <w:color w:val="000000"/>
          <w:sz w:val="17"/>
        </w:rPr>
        <w:t>adf.test(r_nifty)                         # are the returns stationary?</w:t>
      </w:r>
    </w:p>
    <w:p>
      <w:pPr>
        <w:spacing w:before="0" w:after="0" w:line="240" w:lineRule="auto"/>
        <w:ind w:left="340"/>
      </w:pPr>
      <w:r>
        <w:rPr>
          <w:rFonts w:ascii="Consolas" w:hAnsi="Consolas" w:cs="Consolas" w:eastAsia="Consolas"/>
          <w:b w:val="0"/>
          <w:i w:val="0"/>
          <w:color w:val="000000"/>
          <w:sz w:val="17"/>
        </w:rPr>
        <w:t xml:space="preserve"> </w:t>
      </w:r>
    </w:p>
    <w:p>
      <w:pPr>
        <w:spacing w:before="0" w:after="0" w:line="240" w:lineRule="auto"/>
        <w:ind w:left="340"/>
      </w:pPr>
      <w:r>
        <w:rPr>
          <w:rFonts w:ascii="Consolas" w:hAnsi="Consolas" w:cs="Consolas" w:eastAsia="Consolas"/>
          <w:b w:val="0"/>
          <w:i w:val="0"/>
          <w:color w:val="000000"/>
          <w:sz w:val="17"/>
        </w:rPr>
        <w:t># check whether big moves come together</w:t>
      </w:r>
    </w:p>
    <w:p>
      <w:pPr>
        <w:spacing w:before="0" w:after="0" w:line="240" w:lineRule="auto"/>
        <w:ind w:left="340"/>
      </w:pPr>
      <w:r>
        <w:rPr>
          <w:rFonts w:ascii="Consolas" w:hAnsi="Consolas" w:cs="Consolas" w:eastAsia="Consolas"/>
          <w:b w:val="0"/>
          <w:i w:val="0"/>
          <w:color w:val="000000"/>
          <w:sz w:val="17"/>
        </w:rPr>
        <w:t>Box.test(r_nifty,   lag = 10, type = "Ljung-Box")</w:t>
      </w:r>
    </w:p>
    <w:p>
      <w:pPr>
        <w:spacing w:before="0" w:after="0" w:line="240" w:lineRule="auto"/>
        <w:ind w:left="340"/>
      </w:pPr>
      <w:r>
        <w:rPr>
          <w:rFonts w:ascii="Consolas" w:hAnsi="Consolas" w:cs="Consolas" w:eastAsia="Consolas"/>
          <w:b w:val="0"/>
          <w:i w:val="0"/>
          <w:color w:val="000000"/>
          <w:sz w:val="17"/>
        </w:rPr>
        <w:t>Box.test(r_nifty^2, lag = 10, type = "Ljung-Box")</w:t>
      </w:r>
    </w:p>
    <w:p>
      <w:pPr>
        <w:spacing w:before="0" w:after="0" w:line="240" w:lineRule="auto"/>
        <w:ind w:left="340"/>
      </w:pPr>
      <w:r>
        <w:rPr>
          <w:rFonts w:ascii="Consolas" w:hAnsi="Consolas" w:cs="Consolas" w:eastAsia="Consolas"/>
          <w:b w:val="0"/>
          <w:i w:val="0"/>
          <w:color w:val="000000"/>
          <w:sz w:val="17"/>
        </w:rPr>
        <w:t>ArchTest(r_nifty - mean(r_nifty), lags = 5)</w:t>
      </w:r>
    </w:p>
    <w:p>
      <w:pPr>
        <w:spacing w:before="0" w:after="0" w:line="240" w:lineRule="auto"/>
        <w:ind w:left="340"/>
      </w:pPr>
      <w:r>
        <w:rPr>
          <w:rFonts w:ascii="Consolas" w:hAnsi="Consolas" w:cs="Consolas" w:eastAsia="Consolas"/>
          <w:b w:val="0"/>
          <w:i w:val="0"/>
          <w:color w:val="000000"/>
          <w:sz w:val="17"/>
        </w:rPr>
        <w:t xml:space="preserve"> </w:t>
      </w:r>
    </w:p>
    <w:p>
      <w:pPr>
        <w:spacing w:before="0" w:after="0" w:line="240" w:lineRule="auto"/>
        <w:ind w:left="340"/>
      </w:pPr>
      <w:r>
        <w:rPr>
          <w:rFonts w:ascii="Consolas" w:hAnsi="Consolas" w:cs="Consolas" w:eastAsia="Consolas"/>
          <w:b w:val="0"/>
          <w:i w:val="0"/>
          <w:color w:val="000000"/>
          <w:sz w:val="17"/>
        </w:rPr>
        <w:t># fit the GARCH(1,1) model</w:t>
      </w:r>
    </w:p>
    <w:p>
      <w:pPr>
        <w:spacing w:before="0" w:after="0" w:line="240" w:lineRule="auto"/>
        <w:ind w:left="340"/>
      </w:pPr>
      <w:r>
        <w:rPr>
          <w:rFonts w:ascii="Consolas" w:hAnsi="Consolas" w:cs="Consolas" w:eastAsia="Consolas"/>
          <w:b w:val="0"/>
          <w:i w:val="0"/>
          <w:color w:val="000000"/>
          <w:sz w:val="17"/>
        </w:rPr>
        <w:t>spec &lt;- ugarchspec(</w:t>
      </w:r>
    </w:p>
    <w:p>
      <w:pPr>
        <w:spacing w:before="0" w:after="0" w:line="240" w:lineRule="auto"/>
        <w:ind w:left="340"/>
      </w:pPr>
      <w:r>
        <w:rPr>
          <w:rFonts w:ascii="Consolas" w:hAnsi="Consolas" w:cs="Consolas" w:eastAsia="Consolas"/>
          <w:b w:val="0"/>
          <w:i w:val="0"/>
          <w:color w:val="000000"/>
          <w:sz w:val="17"/>
        </w:rPr>
        <w:t xml:space="preserve">  variance.model = list(model = "sGARCH", garchOrder = c(1, 1)),</w:t>
      </w:r>
    </w:p>
    <w:p>
      <w:pPr>
        <w:spacing w:before="0" w:after="0" w:line="240" w:lineRule="auto"/>
        <w:ind w:left="340"/>
      </w:pPr>
      <w:r>
        <w:rPr>
          <w:rFonts w:ascii="Consolas" w:hAnsi="Consolas" w:cs="Consolas" w:eastAsia="Consolas"/>
          <w:b w:val="0"/>
          <w:i w:val="0"/>
          <w:color w:val="000000"/>
          <w:sz w:val="17"/>
        </w:rPr>
        <w:t xml:space="preserve">  mean.model     = list(armaOrder = c(0, 0), include.mean = TRUE))</w:t>
      </w:r>
    </w:p>
    <w:p>
      <w:pPr>
        <w:spacing w:before="0" w:after="0" w:line="240" w:lineRule="auto"/>
        <w:ind w:left="340"/>
      </w:pPr>
      <w:r>
        <w:rPr>
          <w:rFonts w:ascii="Consolas" w:hAnsi="Consolas" w:cs="Consolas" w:eastAsia="Consolas"/>
          <w:b w:val="0"/>
          <w:i w:val="0"/>
          <w:color w:val="000000"/>
          <w:sz w:val="17"/>
        </w:rPr>
        <w:t>fit &lt;- ugarchfit(spec, data = r_nifty)</w:t>
      </w:r>
    </w:p>
    <w:p>
      <w:pPr>
        <w:spacing w:before="0" w:after="0" w:line="240" w:lineRule="auto"/>
        <w:ind w:left="340"/>
      </w:pPr>
      <w:r>
        <w:rPr>
          <w:rFonts w:ascii="Consolas" w:hAnsi="Consolas" w:cs="Consolas" w:eastAsia="Consolas"/>
          <w:b w:val="0"/>
          <w:i w:val="0"/>
          <w:color w:val="000000"/>
          <w:sz w:val="17"/>
        </w:rPr>
        <w:t xml:space="preserve"> </w:t>
      </w:r>
    </w:p>
    <w:p>
      <w:pPr>
        <w:spacing w:before="0" w:after="0" w:line="240" w:lineRule="auto"/>
        <w:ind w:left="340"/>
      </w:pPr>
      <w:r>
        <w:rPr>
          <w:rFonts w:ascii="Consolas" w:hAnsi="Consolas" w:cs="Consolas" w:eastAsia="Consolas"/>
          <w:b w:val="0"/>
          <w:i w:val="0"/>
          <w:color w:val="000000"/>
          <w:sz w:val="17"/>
        </w:rPr>
        <w:t># check the model after fitting</w:t>
      </w:r>
    </w:p>
    <w:p>
      <w:pPr>
        <w:spacing w:before="0" w:after="0" w:line="240" w:lineRule="auto"/>
        <w:ind w:left="340"/>
      </w:pPr>
      <w:r>
        <w:rPr>
          <w:rFonts w:ascii="Consolas" w:hAnsi="Consolas" w:cs="Consolas" w:eastAsia="Consolas"/>
          <w:b w:val="0"/>
          <w:i w:val="0"/>
          <w:color w:val="000000"/>
          <w:sz w:val="17"/>
        </w:rPr>
        <w:t>z &lt;- residuals(fit, standardize = TRUE)</w:t>
      </w:r>
    </w:p>
    <w:p>
      <w:pPr>
        <w:spacing w:before="0" w:after="0" w:line="240" w:lineRule="auto"/>
        <w:ind w:left="340"/>
      </w:pPr>
      <w:r>
        <w:rPr>
          <w:rFonts w:ascii="Consolas" w:hAnsi="Consolas" w:cs="Consolas" w:eastAsia="Consolas"/>
          <w:b w:val="0"/>
          <w:i w:val="0"/>
          <w:color w:val="000000"/>
          <w:sz w:val="17"/>
        </w:rPr>
        <w:t>ArchTest(z, lags = 5)</w:t>
      </w:r>
    </w:p>
    <w:p>
      <w:pPr>
        <w:keepNext w:val="0"/>
        <w:spacing w:before="60" w:after="180" w:line="240" w:lineRule="auto"/>
        <w:jc w:val="center"/>
      </w:pPr>
      <w:r>
        <w:rPr>
          <w:rFonts w:ascii="Times New Roman" w:hAnsi="Times New Roman" w:cs="Times New Roman" w:eastAsia="Times New Roman"/>
          <w:b/>
          <w:i w:val="0"/>
          <w:color w:val="000000"/>
          <w:sz w:val="17"/>
        </w:rPr>
        <w:t xml:space="preserve">Listing B.1  </w:t>
      </w:r>
      <w:r>
        <w:rPr>
          <w:rFonts w:ascii="Times New Roman" w:hAnsi="Times New Roman" w:cs="Times New Roman" w:eastAsia="Times New Roman"/>
          <w:b w:val="0"/>
          <w:i/>
          <w:color w:val="000000"/>
          <w:sz w:val="17"/>
        </w:rPr>
        <w:t>The main part of the code, in the order it runs.</w:t>
      </w:r>
    </w:p>
    <w:p>
      <w:pPr>
        <w:keepNext/>
        <w:pageBreakBefore w:val="0"/>
        <w:spacing w:before="200" w:after="80"/>
      </w:pPr>
      <w:r>
        <w:rPr>
          <w:rFonts w:ascii="Times New Roman" w:hAnsi="Times New Roman" w:cs="Times New Roman" w:eastAsia="Times New Roman"/>
          <w:b/>
          <w:i w:val="0"/>
          <w:color w:val="000000"/>
          <w:sz w:val="23"/>
        </w:rPr>
        <w:t>How to run it</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On a computer with R. </w:t>
      </w:r>
      <w:r>
        <w:rPr>
          <w:rFonts w:ascii="Times New Roman" w:hAnsi="Times New Roman" w:cs="Times New Roman" w:eastAsia="Times New Roman"/>
          <w:b w:val="0"/>
          <w:i w:val="0"/>
          <w:color w:val="000000"/>
          <w:sz w:val="21"/>
        </w:rPr>
        <w:t>Keep the two CSV files in the same folder as the code, open a terminal in that folder and type: Rscript 01_nifty_sensex_analysis.R</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On Posit Cloud. </w:t>
      </w:r>
      <w:r>
        <w:rPr>
          <w:rFonts w:ascii="Times New Roman" w:hAnsi="Times New Roman" w:cs="Times New Roman" w:eastAsia="Times New Roman"/>
          <w:b w:val="0"/>
          <w:i w:val="0"/>
          <w:color w:val="000000"/>
          <w:sz w:val="21"/>
        </w:rPr>
        <w:t>Open posit.cloud, make a free account, upload the files and run the first file. Internet is available there, so the packages install and the data downloads.</w:t>
      </w:r>
    </w:p>
    <w:p>
      <w:pPr>
        <w:spacing w:after="60" w:line="269" w:lineRule="auto"/>
        <w:ind w:left="482" w:hanging="238"/>
        <w:jc w:val="both"/>
      </w:pPr>
      <w:r>
        <w:rPr>
          <w:rFonts w:ascii="Times New Roman" w:hAnsi="Times New Roman" w:cs="Times New Roman" w:eastAsia="Times New Roman"/>
          <w:b/>
          <w:i w:val="0"/>
          <w:color w:val="000000"/>
          <w:sz w:val="21"/>
        </w:rPr>
        <w:t xml:space="preserve">• </w:t>
      </w:r>
      <w:r>
        <w:rPr>
          <w:rFonts w:ascii="Times New Roman" w:hAnsi="Times New Roman" w:cs="Times New Roman" w:eastAsia="Times New Roman"/>
          <w:b/>
          <w:i w:val="0"/>
          <w:color w:val="000000"/>
          <w:sz w:val="21"/>
        </w:rPr>
        <w:t xml:space="preserve">On any online R compiler. </w:t>
      </w:r>
      <w:r>
        <w:rPr>
          <w:rFonts w:ascii="Times New Roman" w:hAnsi="Times New Roman" w:cs="Times New Roman" w:eastAsia="Times New Roman"/>
          <w:b w:val="0"/>
          <w:i w:val="0"/>
          <w:color w:val="000000"/>
          <w:sz w:val="21"/>
        </w:rPr>
        <w:t>Use the second file. It needs no packages. Upload the two CSV files along with it.</w:t>
      </w:r>
    </w:p>
    <w:p>
      <w:pPr>
        <w:keepNext/>
        <w:pageBreakBefore w:val="0"/>
        <w:spacing w:before="200" w:after="80"/>
      </w:pPr>
      <w:r>
        <w:rPr>
          <w:rFonts w:ascii="Times New Roman" w:hAnsi="Times New Roman" w:cs="Times New Roman" w:eastAsia="Times New Roman"/>
          <w:b/>
          <w:i w:val="0"/>
          <w:color w:val="000000"/>
          <w:sz w:val="23"/>
        </w:rPr>
        <w:t>Data files</w:t>
      </w:r>
    </w:p>
    <w:tbl>
      <w:tblPr>
        <w:tblW w:type="auto" w:w="0"/>
        <w:jc w:val="center"/>
        <w:tblLayout w:type="fixed"/>
        <w:tblLook w:firstColumn="1" w:firstRow="1" w:lastColumn="0" w:lastRow="0" w:noHBand="0" w:noVBand="1" w:val="04A0"/>
      </w:tblPr>
      <w:tblGrid>
        <w:gridCol w:w="2353"/>
        <w:gridCol w:w="2353"/>
        <w:gridCol w:w="2353"/>
        <w:gridCol w:w="2353"/>
      </w:tblGrid>
      <w:tr>
        <w:tc>
          <w:tcPr>
            <w:tcW w:type="dxa" w:w="192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File</w:t>
            </w:r>
          </w:p>
        </w:tc>
        <w:tc>
          <w:tcPr>
            <w:tcW w:type="dxa" w:w="1134"/>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Rows</w:t>
            </w:r>
          </w:p>
        </w:tc>
        <w:tc>
          <w:tcPr>
            <w:tcW w:type="dxa" w:w="3061"/>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Period</w:t>
            </w:r>
          </w:p>
        </w:tc>
        <w:tc>
          <w:tcPr>
            <w:tcW w:type="dxa" w:w="3288"/>
            <w:tcBorders>
              <w:top w:val="single" w:sz="12"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i w:val="0"/>
                <w:color w:val="000000"/>
                <w:sz w:val="18"/>
              </w:rPr>
              <w:t>Columns</w:t>
            </w:r>
          </w:p>
        </w:tc>
      </w:tr>
      <w:tr>
        <w:tc>
          <w:tcPr>
            <w:tcW w:type="dxa" w:w="192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NIFTY50.csv</w:t>
            </w:r>
          </w:p>
        </w:tc>
        <w:tc>
          <w:tcPr>
            <w:tcW w:type="dxa" w:w="1134"/>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4,648</w:t>
            </w:r>
          </w:p>
        </w:tc>
        <w:tc>
          <w:tcPr>
            <w:tcW w:type="dxa" w:w="3061"/>
            <w:tcBorders>
              <w:top w:val="single" w:sz="4" w:space="0" w:color="000000"/>
              <w:left w:val="single" w:sz="4" w:space="0" w:color="000000"/>
              <w:bottom w:val="single" w:sz="4"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2007-09-17 to 2026-08-27</w:t>
            </w:r>
          </w:p>
        </w:tc>
        <w:tc>
          <w:tcPr>
            <w:tcW w:type="dxa" w:w="3288"/>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Date, Open, High, Low, Close, Volume</w:t>
            </w:r>
          </w:p>
        </w:tc>
      </w:tr>
      <w:tr>
        <w:tc>
          <w:tcPr>
            <w:tcW w:type="dxa" w:w="1928"/>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SENSEX.csv</w:t>
            </w:r>
          </w:p>
        </w:tc>
        <w:tc>
          <w:tcPr>
            <w:tcW w:type="dxa" w:w="1134"/>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6,571</w:t>
            </w:r>
          </w:p>
        </w:tc>
        <w:tc>
          <w:tcPr>
            <w:tcW w:type="dxa" w:w="3061"/>
            <w:tcBorders>
              <w:top w:val="single" w:sz="4" w:space="0" w:color="000000"/>
              <w:left w:val="single" w:sz="4" w:space="0" w:color="000000"/>
              <w:bottom w:val="single" w:sz="12" w:space="0" w:color="000000"/>
              <w:right w:val="single" w:sz="4" w:space="0" w:color="000000"/>
            </w:tcBorders>
          </w:tcPr>
          <w:p>
            <w:pPr>
              <w:spacing w:before="40" w:after="40" w:line="240" w:lineRule="auto"/>
              <w:jc w:val="center"/>
            </w:pPr>
            <w:r/>
            <w:r>
              <w:rPr>
                <w:rFonts w:ascii="Times New Roman" w:hAnsi="Times New Roman" w:cs="Times New Roman" w:eastAsia="Times New Roman"/>
                <w:b w:val="0"/>
                <w:i w:val="0"/>
                <w:color w:val="000000"/>
                <w:sz w:val="19"/>
              </w:rPr>
              <w:t>2000-01-03 to 2026-08-27</w:t>
            </w:r>
          </w:p>
        </w:tc>
        <w:tc>
          <w:tcPr>
            <w:tcW w:type="dxa" w:w="3288"/>
            <w:tcBorders>
              <w:top w:val="single" w:sz="4" w:space="0" w:color="000000"/>
              <w:left w:val="single" w:sz="4" w:space="0" w:color="000000"/>
              <w:bottom w:val="single" w:sz="12" w:space="0" w:color="000000"/>
              <w:right w:val="single" w:sz="4" w:space="0" w:color="000000"/>
            </w:tcBorders>
          </w:tcPr>
          <w:p>
            <w:pPr>
              <w:spacing w:before="40" w:after="40" w:line="240" w:lineRule="auto"/>
              <w:jc w:val="left"/>
            </w:pPr>
            <w:r/>
            <w:r>
              <w:rPr>
                <w:rFonts w:ascii="Times New Roman" w:hAnsi="Times New Roman" w:cs="Times New Roman" w:eastAsia="Times New Roman"/>
                <w:b w:val="0"/>
                <w:i w:val="0"/>
                <w:color w:val="000000"/>
                <w:sz w:val="19"/>
              </w:rPr>
              <w:t>Date, Open, High, Low, Close, Volume</w:t>
            </w:r>
          </w:p>
        </w:tc>
      </w:tr>
    </w:tbl>
    <w:p>
      <w:pPr>
        <w:keepNext w:val="0"/>
        <w:spacing w:before="60" w:after="180" w:line="240" w:lineRule="auto"/>
        <w:jc w:val="center"/>
      </w:pPr>
      <w:r>
        <w:rPr>
          <w:rFonts w:ascii="Times New Roman" w:hAnsi="Times New Roman" w:cs="Times New Roman" w:eastAsia="Times New Roman"/>
          <w:b/>
          <w:i w:val="0"/>
          <w:color w:val="000000"/>
          <w:sz w:val="17"/>
        </w:rPr>
        <w:t xml:space="preserve">Table B.2  </w:t>
      </w:r>
      <w:r>
        <w:rPr>
          <w:rFonts w:ascii="Times New Roman" w:hAnsi="Times New Roman" w:cs="Times New Roman" w:eastAsia="Times New Roman"/>
          <w:b w:val="0"/>
          <w:i/>
          <w:color w:val="000000"/>
          <w:sz w:val="17"/>
        </w:rPr>
        <w:t>Data files given with this report.</w:t>
      </w:r>
    </w:p>
    <w:p>
      <w:pPr>
        <w:keepNext w:val="0"/>
        <w:spacing w:before="0" w:after="120" w:line="276" w:lineRule="auto"/>
        <w:jc w:val="both"/>
      </w:pPr>
      <w:r>
        <w:rPr>
          <w:rFonts w:ascii="Times New Roman" w:hAnsi="Times New Roman" w:cs="Times New Roman" w:eastAsia="Times New Roman"/>
          <w:b w:val="0"/>
          <w:i/>
          <w:color w:val="000000"/>
          <w:sz w:val="20"/>
        </w:rPr>
        <w:t>Note: the first file can download fresh data, so running it on a later date will add new days and change the numbers a little. To get exactly the numbers printed in this report, use the CSV files given here.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right" w:pos="9360"/>
      </w:tabs>
    </w:pPr>
    <w:r/>
    <w:r>
      <w:rPr>
        <w:rFonts w:ascii="Times New Roman" w:hAnsi="Times New Roman" w:cs="Times New Roman" w:eastAsia="Times New Roman"/>
        <w:b w:val="0"/>
        <w:i w:val="0"/>
        <w:color w:val="000000"/>
        <w:sz w:val="17"/>
      </w:rPr>
      <w:t>Analysis of Nifty / Sensex Historical Data Using R</w:t>
      <w:tab/>
    </w:r>
    <w:r>
      <w:rPr>
        <w:rFonts w:ascii="Times New Roman" w:hAnsi="Times New Roman" w:cs="Times New Roman" w:eastAsia="Times New Roman"/>
        <w:b w:val="0"/>
        <w:i w:val="0"/>
        <w:color w:val="000000"/>
        <w:sz w:val="17"/>
      </w:rPr>
      <w:t xml:space="preserve">Page </w:t>
    </w:r>
    <w:r>
      <w:rPr>
        <w:rFonts w:ascii="Times New Roman" w:hAnsi="Times New Roman" w:cs="Times New Roman" w:eastAsia="Times New Roman"/>
        <w:b w:val="0"/>
        <w:i w:val="0"/>
        <w:color w:val="000000"/>
        <w:sz w:val="17"/>
      </w:rPr>
      <w:fldChar w:fldCharType="begin"/>
      <w:instrText xml:space="preserve"> PAGE </w:instrText>
      <w:fldChar w:fldCharType="end"/>
    </w:r>
    <w:r>
      <w:rPr>
        <w:rFonts w:ascii="Times New Roman" w:hAnsi="Times New Roman" w:cs="Times New Roman" w:eastAsia="Times New Roman"/>
        <w:b w:val="0"/>
        <w:i w:val="0"/>
        <w:color w:val="000000"/>
        <w:sz w:val="17"/>
      </w:rPr>
      <w:t xml:space="preserve"> of </w:t>
    </w:r>
    <w:r>
      <w:rPr>
        <w:rFonts w:ascii="Times New Roman" w:hAnsi="Times New Roman" w:cs="Times New Roman" w:eastAsia="Times New Roman"/>
        <w:b w:val="0"/>
        <w:i w:val="0"/>
        <w:color w:val="000000"/>
        <w:sz w:val="17"/>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