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Execution Blueprint for Non-Invasive Anemia Screening and Hemoglobin Estimation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GitHub and Open-Source Audit: Reusing versus Building from Scratch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 deep learning pipeline, an illumination-invariant image preprocessor, a probability calibration layer, and a mobile-responsive community health worker (CHW) referral application from scratch within a 24-hour hackathon window presents a severe scheduling risk. A comprehensive audit of open-source repositories across GitHub and Hugging Face demonstrates that multiple teams have already constructed substantial components of this exact clinical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no single repository satisfies every requirement of the problem statement out of the box, particularly the simultaneous execution of continuous hemoglobin (</w:t>
      </w:r>
      <w:r w:rsidDel="00000000" w:rsidR="00000000" w:rsidRPr="00000000">
        <w:rPr>
          <w:rFonts w:ascii="Google Sans" w:cs="Google Sans" w:eastAsia="Google Sans" w:hAnsi="Google Sans"/>
          <w:color w:val="1f1f1f"/>
        </w:rPr>
        <w:drawing>
          <wp:inline distB="19050" distT="19050" distL="19050" distR="19050">
            <wp:extent cx="262660" cy="196995"/>
            <wp:effectExtent b="0" l="0" r="0" t="0"/>
            <wp:docPr id="8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2660" cy="196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regression in grams per deciliter (</w:t>
      </w:r>
      <w:r w:rsidDel="00000000" w:rsidR="00000000" w:rsidRPr="00000000">
        <w:rPr>
          <w:rFonts w:ascii="Google Sans" w:cs="Google Sans" w:eastAsia="Google Sans" w:hAnsi="Google Sans"/>
          <w:color w:val="1f1f1f"/>
        </w:rPr>
        <w:drawing>
          <wp:inline distB="19050" distT="19050" distL="19050" distR="19050">
            <wp:extent cx="433855" cy="196463"/>
            <wp:effectExtent b="0" l="0" r="0" t="0"/>
            <wp:docPr id="87"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explicit skin-tone and lighting normalization, calibrated agreement diagnostics, and a structured clinical referral workflow</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execution strategy for a 24-hour sprint is a </w:t>
      </w:r>
      <w:r w:rsidDel="00000000" w:rsidR="00000000" w:rsidRPr="00000000">
        <w:rPr>
          <w:rFonts w:ascii="Google Sans" w:cs="Google Sans" w:eastAsia="Google Sans" w:hAnsi="Google Sans"/>
          <w:b w:val="1"/>
          <w:bCs w:val="1"/>
          <w:color w:val="1f1f1f"/>
          <w:rtl w:val="0"/>
        </w:rPr>
        <w:t xml:space="preserve">"Fork-and-Graft" architecture</w:t>
      </w:r>
      <w:r w:rsidDel="00000000" w:rsidR="00000000" w:rsidRPr="00000000">
        <w:rPr>
          <w:rFonts w:ascii="Google Sans" w:cs="Google Sans" w:eastAsia="Google Sans" w:hAnsi="Google Sans"/>
          <w:color w:val="1f1f1f"/>
          <w:rtl w:val="0"/>
        </w:rPr>
        <w:t xml:space="preserve">. By cloning the most mature end-to-end production repository as the primary full-stack scaffold—which immediately delivers approximately 75% of the required application—the engineering team can graft specialized preprocessing, regression, and calibration modules from four complementary open-source projects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 Model Identifier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Modality &amp; Task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Architecture &amp; Tech Stack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Reported Performance Metrics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Role in a 24-Hour Hackathon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RAHULPATEL2002/anemia-detection</w:t>
            </w:r>
            <w:r w:rsidDel="00000000" w:rsidR="00000000" w:rsidRPr="00000000">
              <w:rPr>
                <w:rFonts w:ascii="Google Sans" w:cs="Google Sans" w:eastAsia="Google Sans" w:hAnsi="Google Sans"/>
                <w:color w:val="1f1f1f"/>
                <w:rtl w:val="0"/>
              </w:rPr>
              <w:t xml:space="preserve"> (AnemiaVision AI)</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Conjunctiva &amp; Fingernail; Binary Screening + Risk Triage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PyTorch EfficientNet-B3, Grad-CAM, Flask, Vanilla JS, Chart.js, SQLite/PostgreSQL, ReportLab PDF</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96.2% Accuracy, 0.98 AUC-ROC, 96.0% Sensitivity, 95.0% Specificity</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Base to Fork (80% of App):</w:t>
            </w:r>
            <w:r w:rsidDel="00000000" w:rsidR="00000000" w:rsidRPr="00000000">
              <w:rPr>
                <w:rFonts w:ascii="Google Sans" w:cs="Google Sans" w:eastAsia="Google Sans" w:hAnsi="Google Sans"/>
                <w:color w:val="1f1f1f"/>
                <w:rtl w:val="0"/>
              </w:rPr>
              <w:t xml:space="preserve"> Provides the complete mobile-first UI, rear-camera capture, quality validator, Grad-CAM slider, database persistence, and PDF report generator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JetX-GT/nail-anemia-detector</w:t>
            </w:r>
            <w:r w:rsidDel="00000000" w:rsidR="00000000" w:rsidRPr="00000000">
              <w:rPr>
                <w:rFonts w:ascii="Google Sans" w:cs="Google Sans" w:eastAsia="Google Sans" w:hAnsi="Google Sans"/>
                <w:color w:val="1f1f1f"/>
                <w:rtl w:val="0"/>
              </w:rPr>
              <w:t xml:space="preserve"> (Hugging Face)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Fingernail; Screening with High-Sensitivity Triage Mode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27 Handcrafted Colorimetric Features + [128, 64] MLP Classifier (scikit-learn)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 Recall (at 0.255 threshold), 17.1% Specificity; Patient-level split</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Feature &amp; Threshold Graft:</w:t>
            </w:r>
            <w:r w:rsidDel="00000000" w:rsidR="00000000" w:rsidRPr="00000000">
              <w:rPr>
                <w:rFonts w:ascii="Google Sans" w:cs="Google Sans" w:eastAsia="Google Sans" w:hAnsi="Google Sans"/>
                <w:color w:val="1f1f1f"/>
                <w:rtl w:val="0"/>
              </w:rPr>
              <w:t xml:space="preserve"> Supplies the 27 camera-invariant color ratios (</w:t>
            </w:r>
            <w:r w:rsidDel="00000000" w:rsidR="00000000" w:rsidRPr="00000000">
              <w:rPr>
                <w:rFonts w:ascii="Google Sans" w:cs="Google Sans" w:eastAsia="Google Sans" w:hAnsi="Google Sans"/>
                <w:color w:val="1f1f1f"/>
              </w:rPr>
              <w:drawing>
                <wp:inline distB="19050" distT="19050" distL="19050" distR="19050">
                  <wp:extent cx="402091" cy="196943"/>
                  <wp:effectExtent b="0" l="0" r="0" t="0"/>
                  <wp:docPr id="8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02091" cy="196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6683" cy="195208"/>
                  <wp:effectExtent b="0" l="0" r="0" t="0"/>
                  <wp:docPr id="8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6683" cy="195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pallor indices, spatial gradients) and the adjustable high-sensitivity screening threshold logic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TatianaUshakova/Anemia_detection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Conjunctiva, Nails, Palms, Tongue; Regression &amp; CNN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Python modular CLI pipelines for color card correction, ROI segmentation, and RGB regression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Modular evaluation pipelines (MIT License)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Preprocessing Graft:</w:t>
            </w:r>
            <w:r w:rsidDel="00000000" w:rsidR="00000000" w:rsidRPr="00000000">
              <w:rPr>
                <w:rFonts w:ascii="Google Sans" w:cs="Google Sans" w:eastAsia="Google Sans" w:hAnsi="Google Sans"/>
                <w:color w:val="1f1f1f"/>
                <w:rtl w:val="0"/>
              </w:rPr>
              <w:t xml:space="preserve"> Provides the modular color_correction and image_segmentation package structure to demonstrate explicit illumination normalization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Pai-88/pallor-hb</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Conjunctiva (CP-AnemiC benchmark); Screening &amp; Audit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Python, scikit-learn, duplicate-leakage audit scripts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Reproducible benchmark controlling for data leakage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Validation Rigor Graft:</w:t>
            </w:r>
            <w:r w:rsidDel="00000000" w:rsidR="00000000" w:rsidRPr="00000000">
              <w:rPr>
                <w:rFonts w:ascii="Google Sans" w:cs="Google Sans" w:eastAsia="Google Sans" w:hAnsi="Google Sans"/>
                <w:color w:val="1f1f1f"/>
                <w:rtl w:val="0"/>
              </w:rPr>
              <w:t xml:space="preserve"> Supplies the duplicate-leakage audit protocol to verify that augmented images do not leak across train and test splits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Vivisteria11/Anemia-detection-Model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Conjunctiva; Edge Binary Classification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Pretrained MobileNetV2 (120 layers frozen), TensorFlow / .tflite export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92.5% Accuracy, evaluated via AUC on train/val/test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Optional Edge Reference:</w:t>
            </w:r>
            <w:r w:rsidDel="00000000" w:rsidR="00000000" w:rsidRPr="00000000">
              <w:rPr>
                <w:rFonts w:ascii="Google Sans" w:cs="Google Sans" w:eastAsia="Google Sans" w:hAnsi="Google Sans"/>
                <w:color w:val="1f1f1f"/>
                <w:rtl w:val="0"/>
              </w:rPr>
              <w:t xml:space="preserve"> Useful if demonstrating a lightweight .tflite edge export alongside the primary PyTorch server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aymen-000/AIQuest_DATATHON</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b w:val="1"/>
                <w:bCs w:val="1"/>
                <w:color w:val="1f1f1f"/>
                <w:rtl w:val="0"/>
              </w:rPr>
              <w:t xml:space="preserve">turna1/Computer-Vision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Conjunctiva; Baseline CNN Classification</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TensorFlow/Keras custom CNN in Jupyter/Colab + bundled .zip dataset</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91.0% Validation Accuracy over 100 epochs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Fallback Only:</w:t>
            </w:r>
            <w:r w:rsidDel="00000000" w:rsidR="00000000" w:rsidRPr="00000000">
              <w:rPr>
                <w:rFonts w:ascii="Google Sans" w:cs="Google Sans" w:eastAsia="Google Sans" w:hAnsi="Google Sans"/>
                <w:color w:val="1f1f1f"/>
                <w:rtl w:val="0"/>
              </w:rPr>
              <w:t xml:space="preserve"> Contains ready-to-unzip conjunctiva datasets (anemia dataset-20231113T154638Z-001.zip), though the custom CNN is inferior to EfficientNet-B3</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05375" cy="8382000"/>
            <wp:effectExtent b="0" l="0" r="0" t="0"/>
            <wp:docPr id="88"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49053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Dive into the Primary Base Repository: RAHULPATEL2002/anemia-detection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repository RAHULPATEL2002/anemia-detection, documented in the associated study </w:t>
      </w:r>
      <w:r w:rsidDel="00000000" w:rsidR="00000000" w:rsidRPr="00000000">
        <w:rPr>
          <w:rFonts w:ascii="Google Sans" w:cs="Google Sans" w:eastAsia="Google Sans" w:hAnsi="Google Sans"/>
          <w:i w:val="1"/>
          <w:iCs w:val="1"/>
          <w:color w:val="1f1f1f"/>
          <w:rtl w:val="0"/>
        </w:rPr>
        <w:t xml:space="preserve">AnemiaVision: Non-Invasive Anemia Detection via Smartphone Imagery Using EfficientNet-B3 with TrivialAugmentWide, Mixup, and Persistent Patient History Management</w:t>
      </w:r>
      <w:r w:rsidDel="00000000" w:rsidR="00000000" w:rsidRPr="00000000">
        <w:rPr>
          <w:rFonts w:ascii="Google Sans" w:cs="Google Sans" w:eastAsia="Google Sans" w:hAnsi="Google Sans"/>
          <w:color w:val="1f1f1f"/>
          <w:rtl w:val="0"/>
        </w:rPr>
        <w:t xml:space="preserve">, represents an ideal foundation for rapid prototyping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Unlike standard academic repositories that only provide unorganized Jupyter notebooks, this codebase is structured as a modular web application designed specifically for rural community health workers screening 30 to 40 patients per hour without laboratory consumables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codebase is cleanly decoupled into production-ready Python and JavaScript modules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At the application layer, app.py and config.py power a Flask backend serving a mobile-first Jinja2 and Vanilla JavaScript interface featuring a dark-mode medical glassmorphism theme, rear-camera capture preference, and Chart.js analytics dashboards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backend also exposes a rate-limited REST endpoint (POST /api/predict) that accepts Base64-encoded images alongside patient metadata including name, age, gender, phone number, anatomical image type, and clinical notes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Before any image reaches the neural network, image_validator.py acts as a pre-inference quality gatekeeper that verifies image dimensions, file format, and local quality hints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deep learning core, model.py and train.py implement an EfficientNet-B3 backbone operating on </w:t>
      </w:r>
      <w:r w:rsidDel="00000000" w:rsidR="00000000" w:rsidRPr="00000000">
        <w:rPr>
          <w:rFonts w:ascii="Google Sans" w:cs="Google Sans" w:eastAsia="Google Sans" w:hAnsi="Google Sans"/>
          <w:color w:val="1f1f1f"/>
        </w:rPr>
        <w:drawing>
          <wp:inline distB="19050" distT="19050" distL="19050" distR="19050">
            <wp:extent cx="1164688" cy="196849"/>
            <wp:effectExtent b="0" l="0" r="0" t="0"/>
            <wp:docPr id="92"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1164688" cy="196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inputs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Rather than relying on a standard single linear layer, the architecture employs a custom three-layer classification head following Global Average Pooling (</w:t>
      </w:r>
      <w:r w:rsidDel="00000000" w:rsidR="00000000" w:rsidRPr="00000000">
        <w:rPr>
          <w:rFonts w:ascii="Google Sans" w:cs="Google Sans" w:eastAsia="Google Sans" w:hAnsi="Google Sans"/>
          <w:color w:val="1f1f1f"/>
        </w:rPr>
        <w:drawing>
          <wp:inline distB="19050" distT="19050" distL="19050" distR="19050">
            <wp:extent cx="606708" cy="196770"/>
            <wp:effectExtent b="0" l="0" r="0" t="0"/>
            <wp:docPr id="90"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606708" cy="196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Linear(1536, 512) layer with Batch Normalization, GELU activation, and Dropout(0.45), followed by a Linear(512, 256) layer with Batch Normalization, GELU activation, and Dropout(0.35), terminating in a Linear(256, 2) Softmax layer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Crucially, train.py resolves a notorious failure mode in conjunctival convolutional neural network (CNN) training where validation loss oscillations at epoch 3 trigger premature early stopping at 44.9% validation accuracy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implementing accuracy-first early stopping alongside TrivialAugmentWide, RandomErasing, Mixup, and inverse-frequency class weighting, validation accuracy increases by 33.5 percentage points as the model converges over 80 epochs to reach 96.2%</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During inference, predict.py and gradcam.py execute calibrated probability pipelines and generate Grad-CAM spatial attention heatmaps rendered via an interactive comparison slider on the frontend, verifying that the network attends to the vascular bed rather than eyelashes or background artifacts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Finally, storage_utils.py and pdf_report.py persist scan histories (such as public scan IDs formatted as AV-000042) into SQLite for local execution or PostgreSQL for cloud deployment, while generating downloadable clinical PDF reports via ReportLab</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Architectural Gaps Requiring Modification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Cloning RAHULPATEL2002/anemia-detection without modification leaves three notable vulnerabilities when evaluated against a strict clinical rubric. First, the repository lacks continuous hemoglobin (</w:t>
      </w:r>
      <w:r w:rsidDel="00000000" w:rsidR="00000000" w:rsidRPr="00000000">
        <w:rPr>
          <w:rFonts w:ascii="Google Sans" w:cs="Google Sans" w:eastAsia="Google Sans" w:hAnsi="Google Sans"/>
          <w:color w:val="1f1f1f"/>
        </w:rPr>
        <w:drawing>
          <wp:inline distB="19050" distT="19050" distL="19050" distR="19050">
            <wp:extent cx="433855" cy="196463"/>
            <wp:effectExtent b="0" l="0" r="0" t="0"/>
            <wp:docPr id="96"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estimation and regression error reporting. Although the accompanying research paper mentions returning a hemoglobin range estimate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implemented neural network head (Linear(256, 2) -&gt; Softmax) and the POST /api/predict JSON payload (prediction, confidence, risk_level) perform binary classification (Anemic versus Non-Anemic) rather than continuous </w:t>
      </w:r>
      <w:r w:rsidDel="00000000" w:rsidR="00000000" w:rsidRPr="00000000">
        <w:rPr>
          <w:rFonts w:ascii="Google Sans" w:cs="Google Sans" w:eastAsia="Google Sans" w:hAnsi="Google Sans"/>
          <w:color w:val="1f1f1f"/>
        </w:rPr>
        <w:drawing>
          <wp:inline distB="19050" distT="19050" distL="19050" distR="19050">
            <wp:extent cx="262660" cy="196995"/>
            <wp:effectExtent b="0" l="0" r="0" t="0"/>
            <wp:docPr id="9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2660" cy="196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regression paired with Mean Absolute Error (MAE), Root Mean Squared Error (RMSE), and Bland-Altman agreement limits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baseline codebase lacks explicit skin-tone and color-space normalization. Relying purely on TrivialAugmentWide during training does not explicitly strip clinic-room lighting color casts or quantify model robustness across Fitzpatrick skin types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Notably, in a subsequent June 2026 study (NeoJaundice-AI), the same author (Patel) introduced an explicit Grey-World White Balance and Individual Typology Angle (ITA) skin-tone normalization pipeline paired with a dual-head classification and regression architecture (</w:t>
      </w:r>
      <w:r w:rsidDel="00000000" w:rsidR="00000000" w:rsidRPr="00000000">
        <w:rPr>
          <w:rFonts w:ascii="Google Sans" w:cs="Google Sans" w:eastAsia="Google Sans" w:hAnsi="Google Sans"/>
          <w:color w:val="1f1f1f"/>
        </w:rPr>
        <w:drawing>
          <wp:inline distB="19050" distT="19050" distL="19050" distR="19050">
            <wp:extent cx="1992211" cy="196762"/>
            <wp:effectExtent b="0" l="0" r="0" t="0"/>
            <wp:docPr id="10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992211" cy="196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Grafting that exact mathematical upgrade back into RAHULPATEL2002/anemia-detection directly addresses the prompt's robustness and estimation requirements. Third, public conjunctiva datasets frequently suffer from data leakage due to augmented duplicates spanning across splits; integrating the duplicate-leakage audit protocol from Pai-88/pallor-hb and the patient-level split verification from JetX-GT/nail-anemia-detector is essential to establish scientific credibility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Optical, and Algorithmic Mechanics of Non-Invasive Screening</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Physiological Basis of Non-Invasive Pallor Screening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Anemia is clinically characterized by a reduction in functional hemoglobin concentration (</w:t>
      </w:r>
      <w:r w:rsidDel="00000000" w:rsidR="00000000" w:rsidRPr="00000000">
        <w:rPr>
          <w:rFonts w:ascii="Google Sans" w:cs="Google Sans" w:eastAsia="Google Sans" w:hAnsi="Google Sans"/>
          <w:color w:val="1f1f1f"/>
        </w:rPr>
        <w:drawing>
          <wp:inline distB="19050" distT="19050" distL="19050" distR="19050">
            <wp:extent cx="262660" cy="196995"/>
            <wp:effectExtent b="0" l="0" r="0" t="0"/>
            <wp:docPr id="9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2660" cy="196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measured in </w:t>
      </w:r>
      <w:r w:rsidDel="00000000" w:rsidR="00000000" w:rsidRPr="00000000">
        <w:rPr>
          <w:rFonts w:ascii="Google Sans" w:cs="Google Sans" w:eastAsia="Google Sans" w:hAnsi="Google Sans"/>
          <w:color w:val="1f1f1f"/>
        </w:rPr>
        <w:drawing>
          <wp:inline distB="19050" distT="19050" distL="19050" distR="19050">
            <wp:extent cx="433855" cy="196463"/>
            <wp:effectExtent b="0" l="0" r="0" t="0"/>
            <wp:docPr id="100"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circulating red blood cells, which impairs systemic oxygen transport to peripheral tissues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venous blood analysis via a Complete Blood Count (CBC) hematology analyzer remains the diagnostic gold standard, the procedure requires phlebotomy consumables, laboratory infrastructure, and turnaround time that frequently break down in rural or low-income primary care settings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physical diagnosis, clinicians evaluate mucosal pallor across anatomical regions where microcapillary beds lie immediately beneath a translucent epithelium, specifically the palpebral conjunctiva (the inner lining of the lower eyelid), the fingernail bed, the palmar creases, and the tongue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palpebral conjunctiva and fingernail bed are uniquely suited for optical computer vision because their overlying tissue layers are virtually devoid of melanocytes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hemoglobin strongly absorbs green and blue wavelengths (</w:t>
      </w:r>
      <w:r w:rsidDel="00000000" w:rsidR="00000000" w:rsidRPr="00000000">
        <w:rPr>
          <w:rFonts w:ascii="Google Sans" w:cs="Google Sans" w:eastAsia="Google Sans" w:hAnsi="Google Sans"/>
          <w:color w:val="1f1f1f"/>
        </w:rPr>
        <w:drawing>
          <wp:inline distB="19050" distT="19050" distL="19050" distR="19050">
            <wp:extent cx="1213675" cy="196812"/>
            <wp:effectExtent b="0" l="0" r="0" t="0"/>
            <wp:docPr id="103"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1213675" cy="1968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reflecting red wavelengths (</w:t>
      </w:r>
      <w:r w:rsidDel="00000000" w:rsidR="00000000" w:rsidRPr="00000000">
        <w:rPr>
          <w:rFonts w:ascii="Google Sans" w:cs="Google Sans" w:eastAsia="Google Sans" w:hAnsi="Google Sans"/>
          <w:color w:val="1f1f1f"/>
        </w:rPr>
        <w:drawing>
          <wp:inline distB="19050" distT="19050" distL="19050" distR="19050">
            <wp:extent cx="821787" cy="197229"/>
            <wp:effectExtent b="0" l="0" r="0" t="0"/>
            <wp:docPr id="104"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821787" cy="197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erythema (redness saturation relative to green and blue reflection) of these melanin-free vascular beds correlates directly with subcutaneous hemoglobin concentration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Comparative clinical evaluations confirm that palpebral conjunctival pallor yields high diagnostic sensitivity (94.02%) and specificity (93.71%)</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while fingernail beds achieve superior CNN classification accuracy (97%) compared to palmar creases (83%)</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 Confounders and Failure Modes in Uncontrolled Environments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strong physiological foundations, translating smartphone photography into a quantitative hemoglobin meter encounters four severe optical and statistical confounders in unconstrained field settings. The first confounder is illumination drift and specular glare. Ambient light color temperature—ranging from warm tungsten indoor bulbs to cool outdoor daylight—shifts raw RGB channel intensities more drastically than a </w:t>
      </w:r>
      <w:r w:rsidDel="00000000" w:rsidR="00000000" w:rsidRPr="00000000">
        <w:rPr>
          <w:rFonts w:ascii="Google Sans" w:cs="Google Sans" w:eastAsia="Google Sans" w:hAnsi="Google Sans"/>
          <w:color w:val="1f1f1f"/>
        </w:rPr>
        <w:drawing>
          <wp:inline distB="19050" distT="19050" distL="19050" distR="19050">
            <wp:extent cx="574178" cy="196861"/>
            <wp:effectExtent b="0" l="0" r="0" t="0"/>
            <wp:docPr id="105"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574178" cy="196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drop in blood hemoglobin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the tear film coating the wet palpebral conjunctiva and the smooth keratin plate of the fingernail produce intense specular reflections when struck by a camera flash or overhead spotlight, saturating all three RGB channels and mimicking severe pallor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confounder is camera sensor and Image Signal Processing (ISP) heterogeneity. Different smartphone models apply proprietary auto-exposure, non-linear gamma curves, and auto-white-balance matrices that alter absolute pixel intensities between devices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third confounder is the skin-tone contrast illusion. Even though the anterior conjunctiva and sub-ungual nail bed contain negligible melanin, unsegmented or loosely cropped images include surrounding periorbital skin or finger epidermis spanning Fitzpatrick Types I through VI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a smartphone camera captures a darkly pigmented patient (corresponding to a higher Massey score or lower Individual Typology Angle), the camera's auto-exposure meter increases sensor gain to brighten the dark surrounding skin, artificially over-exposing and washing out the conjunctiva or nail bed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Moreover, deep CNNs trained on full-eye or full-finger crops without skin-tone normalization frequently learn spurious correlations between background skin pigmentation and cohort-level anemia prevalence rather than true mucosal erythema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fourth confounder is the pure regression collapse trap. A revealing benchmark study (HemoScan, evaluated on 370 fingernail images using OpenCV segmentation and EfficientNet-B0) achieved 90.0% binary classification accuracy, yet its continuous hemoglobin regression suffered a Mean Absolute Error of </w:t>
      </w:r>
      <w:r w:rsidDel="00000000" w:rsidR="00000000" w:rsidRPr="00000000">
        <w:rPr>
          <w:rFonts w:ascii="Google Sans" w:cs="Google Sans" w:eastAsia="Google Sans" w:hAnsi="Google Sans"/>
          <w:color w:val="1f1f1f"/>
        </w:rPr>
        <w:drawing>
          <wp:inline distB="19050" distT="19050" distL="19050" distR="19050">
            <wp:extent cx="726621" cy="198169"/>
            <wp:effectExtent b="0" l="0" r="0" t="0"/>
            <wp:docPr id="106"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726621" cy="198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w:t>
      </w:r>
      <w:r w:rsidDel="00000000" w:rsidR="00000000" w:rsidRPr="00000000">
        <w:rPr>
          <w:rFonts w:ascii="Google Sans" w:cs="Google Sans" w:eastAsia="Google Sans" w:hAnsi="Google Sans"/>
          <w:color w:val="1f1f1f"/>
        </w:rPr>
        <w:drawing>
          <wp:inline distB="19050" distT="19050" distL="19050" distR="19050">
            <wp:extent cx="228472" cy="195833"/>
            <wp:effectExtent b="0" l="0" r="0" t="0"/>
            <wp:docPr id="107"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228472" cy="195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score of </w:t>
      </w:r>
      <w:r w:rsidDel="00000000" w:rsidR="00000000" w:rsidRPr="00000000">
        <w:rPr>
          <w:rFonts w:ascii="Google Sans" w:cs="Google Sans" w:eastAsia="Google Sans" w:hAnsi="Google Sans"/>
          <w:color w:val="1f1f1f"/>
        </w:rPr>
        <w:drawing>
          <wp:inline distB="19050" distT="19050" distL="19050" distR="19050">
            <wp:extent cx="696643" cy="196699"/>
            <wp:effectExtent b="0" l="0" r="0" t="0"/>
            <wp:docPr id="108"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696643" cy="196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statistically indistinguishable from predicting the constant dataset mean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 deep network is trained exclusively with Mean Squared Error (</w:t>
      </w:r>
      <w:r w:rsidDel="00000000" w:rsidR="00000000" w:rsidRPr="00000000">
        <w:rPr>
          <w:rFonts w:ascii="Google Sans" w:cs="Google Sans" w:eastAsia="Google Sans" w:hAnsi="Google Sans"/>
          <w:color w:val="1f1f1f"/>
        </w:rPr>
        <w:drawing>
          <wp:inline distB="19050" distT="19050" distL="19050" distR="19050">
            <wp:extent cx="493811" cy="197524"/>
            <wp:effectExtent b="0" l="0" r="0" t="0"/>
            <wp:docPr id="10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93811" cy="1975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a few hundred noisy clinical images, illumination variance dominates the gradient updates, causing the regressor to minimize loss by predicting the global mean (</w:t>
      </w:r>
      <w:r w:rsidDel="00000000" w:rsidR="00000000" w:rsidRPr="00000000">
        <w:rPr>
          <w:rFonts w:ascii="Google Sans" w:cs="Google Sans" w:eastAsia="Google Sans" w:hAnsi="Google Sans"/>
          <w:color w:val="1f1f1f"/>
        </w:rPr>
        <w:drawing>
          <wp:inline distB="19050" distT="19050" distL="19050" distR="19050">
            <wp:extent cx="1031253" cy="196429"/>
            <wp:effectExtent b="0" l="0" r="0" t="0"/>
            <wp:docPr id="110"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1031253" cy="196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all samples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Datasets with Laboratory-Measured Hemoglobin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train and validate both the conjunctiva and nail-bed pipelines against genuine laboratory ground truth, the system should combine four publicly accessible datasets documented in the clinical literature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Dataset Name &amp; Repository Host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Anatomical Modality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Sample Size &amp; Demographics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Ground Truth &amp; Clinical Distribution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Preprocessing &amp; Hackathon Usage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CP-AnemiC V2</w:t>
            </w:r>
            <w:r w:rsidDel="00000000" w:rsidR="00000000" w:rsidRPr="00000000">
              <w:rPr>
                <w:rFonts w:ascii="Google Sans" w:cs="Google Sans" w:eastAsia="Google Sans" w:hAnsi="Google Sans"/>
                <w:color w:val="1f1f1f"/>
                <w:rtl w:val="0"/>
              </w:rPr>
              <w:t xml:space="preserve"> (Mendeley Data: doi: 10.17632/m53vz6b7fx.2)</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Palpebral Conjunctiva</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710 children (aged 6–59 months) across 10 hospitals in Ghana (frequently augmented to 2,000–3,550 images)</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 CBC </w:t>
            </w:r>
            <w:r w:rsidDel="00000000" w:rsidR="00000000" w:rsidRPr="00000000">
              <w:rPr>
                <w:rFonts w:ascii="Google Sans" w:cs="Google Sans" w:eastAsia="Google Sans" w:hAnsi="Google Sans"/>
                <w:color w:val="1f1f1f"/>
              </w:rPr>
              <w:drawing>
                <wp:inline distB="19050" distT="19050" distL="19050" distR="19050">
                  <wp:extent cx="262660" cy="196995"/>
                  <wp:effectExtent b="0" l="0" r="0" t="0"/>
                  <wp:docPr id="7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2660" cy="196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33855" cy="196463"/>
                  <wp:effectExtent b="0" l="0" r="0" t="0"/>
                  <wp:docPr id="76"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age, sex, clinical remarks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At </w:t>
            </w:r>
            <w:r w:rsidDel="00000000" w:rsidR="00000000" w:rsidRPr="00000000">
              <w:rPr>
                <w:rFonts w:ascii="Google Sans" w:cs="Google Sans" w:eastAsia="Google Sans" w:hAnsi="Google Sans"/>
                <w:color w:val="1f1f1f"/>
              </w:rPr>
              <w:drawing>
                <wp:inline distB="19050" distT="19050" distL="19050" distR="19050">
                  <wp:extent cx="1189949" cy="180544"/>
                  <wp:effectExtent b="0" l="0" r="0" t="0"/>
                  <wp:docPr id="77"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1189949" cy="180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cutoff: 424 Anemic, 286 Non-Anemic</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Conjunctiva Dataset:</w:t>
            </w:r>
            <w:r w:rsidDel="00000000" w:rsidR="00000000" w:rsidRPr="00000000">
              <w:rPr>
                <w:rFonts w:ascii="Google Sans" w:cs="Google Sans" w:eastAsia="Google Sans" w:hAnsi="Google Sans"/>
                <w:color w:val="1f1f1f"/>
                <w:rtl w:val="0"/>
              </w:rPr>
              <w:t xml:space="preserve"> Archive is only </w:t>
            </w:r>
            <w:r w:rsidDel="00000000" w:rsidR="00000000" w:rsidRPr="00000000">
              <w:rPr>
                <w:rFonts w:ascii="Google Sans" w:cs="Google Sans" w:eastAsia="Google Sans" w:hAnsi="Google Sans"/>
                <w:b w:val="1"/>
                <w:bCs w:val="1"/>
                <w:color w:val="1f1f1f"/>
                <w:rtl w:val="0"/>
              </w:rPr>
              <w:t xml:space="preserve">5.06 MB</w:t>
            </w:r>
            <w:r w:rsidDel="00000000" w:rsidR="00000000" w:rsidRPr="00000000">
              <w:rPr>
                <w:rFonts w:ascii="Google Sans" w:cs="Google Sans" w:eastAsia="Google Sans" w:hAnsi="Google Sans"/>
                <w:color w:val="1f1f1f"/>
                <w:rtl w:val="0"/>
              </w:rPr>
              <w:t xml:space="preserve"> (Cp-Anameic Dataset V2.zip)</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ROI pre-extracted via triangle thresholding and entropy grayscale under ambient light with flash disabled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Requires Pai-88/pallor-hb deduplication prior to splitting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EYES-DEFY-ANEMIA (EDA)</w:t>
            </w:r>
            <w:r w:rsidDel="00000000" w:rsidR="00000000" w:rsidRPr="00000000">
              <w:rPr>
                <w:rFonts w:ascii="Google Sans" w:cs="Google Sans" w:eastAsia="Google Sans" w:hAnsi="Google Sans"/>
                <w:color w:val="1f1f1f"/>
                <w:rtl w:val="0"/>
              </w:rPr>
              <w:t xml:space="preserve"> (Kaggle: harshwardhanfartale/eyes-defy-anemia &amp; IEEE Dataport)</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Full Eye &amp; Segmented Palpebral Conjunctiva</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218 patients (217 valid: 122 Italian, 95 Indian; 131 male, 86 female)</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 </w:t>
            </w:r>
            <w:r w:rsidDel="00000000" w:rsidR="00000000" w:rsidRPr="00000000">
              <w:rPr>
                <w:rFonts w:ascii="Google Sans" w:cs="Google Sans" w:eastAsia="Google Sans" w:hAnsi="Google Sans"/>
                <w:color w:val="1f1f1f"/>
              </w:rPr>
              <w:drawing>
                <wp:inline distB="19050" distT="19050" distL="19050" distR="19050">
                  <wp:extent cx="262660" cy="196995"/>
                  <wp:effectExtent b="0" l="0" r="0" t="0"/>
                  <wp:docPr id="7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2660" cy="196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ranging from </w:t>
            </w:r>
            <w:r w:rsidDel="00000000" w:rsidR="00000000" w:rsidRPr="00000000">
              <w:rPr>
                <w:rFonts w:ascii="Google Sans" w:cs="Google Sans" w:eastAsia="Google Sans" w:hAnsi="Google Sans"/>
                <w:b w:val="1"/>
                <w:bCs w:val="1"/>
                <w:color w:val="1f1f1f"/>
                <w:rtl w:val="0"/>
              </w:rPr>
              <w:t xml:space="preserve">7.0 to 17.4 g/dL</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91–92 Anemic, 126 Non-Anemic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Cross-Skin-Tone &amp; Camera Benchmark:</w:t>
            </w:r>
            <w:r w:rsidDel="00000000" w:rsidR="00000000" w:rsidRPr="00000000">
              <w:rPr>
                <w:rFonts w:ascii="Google Sans" w:cs="Google Sans" w:eastAsia="Google Sans" w:hAnsi="Google Sans"/>
                <w:color w:val="1f1f1f"/>
                <w:rtl w:val="0"/>
              </w:rPr>
              <w:t xml:space="preserve"> Essential for validating robustness across European (Italian) and South Asian (Indian) skin tones and camera setups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Includes pre-segmented palpebral conjunctiva masks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Ghana Fingernails Dataset</w:t>
            </w:r>
            <w:r w:rsidDel="00000000" w:rsidR="00000000" w:rsidRPr="00000000">
              <w:rPr>
                <w:rFonts w:ascii="Google Sans" w:cs="Google Sans" w:eastAsia="Google Sans" w:hAnsi="Google Sans"/>
                <w:color w:val="1f1f1f"/>
                <w:rtl w:val="0"/>
              </w:rPr>
              <w:t xml:space="preserve"> (Mendeley Data: doi: 10.17632/2xx4j3kjg2.1)</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Fingernail Bed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3,406 images from 443–550 pediatric patients (&lt; 6 years old) in Ghana</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anemia labels and laboratory hemoglobin reference measurements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Nail-Bed Dataset:</w:t>
            </w:r>
            <w:r w:rsidDel="00000000" w:rsidR="00000000" w:rsidRPr="00000000">
              <w:rPr>
                <w:rFonts w:ascii="Google Sans" w:cs="Google Sans" w:eastAsia="Google Sans" w:hAnsi="Google Sans"/>
                <w:color w:val="1f1f1f"/>
                <w:rtl w:val="0"/>
              </w:rPr>
              <w:t xml:space="preserve"> Collected by the same research consortium (Asare, Appiahene, Donkoh) as CP-AnemiC</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Requires strict </w:t>
            </w:r>
            <w:r w:rsidDel="00000000" w:rsidR="00000000" w:rsidRPr="00000000">
              <w:rPr>
                <w:rFonts w:ascii="Google Sans" w:cs="Google Sans" w:eastAsia="Google Sans" w:hAnsi="Google Sans"/>
                <w:b w:val="1"/>
                <w:bCs w:val="1"/>
                <w:color w:val="1f1f1f"/>
                <w:rtl w:val="0"/>
              </w:rPr>
              <w:t xml:space="preserve">patient-level splits</w:t>
            </w:r>
            <w:r w:rsidDel="00000000" w:rsidR="00000000" w:rsidRPr="00000000">
              <w:rPr>
                <w:rFonts w:ascii="Google Sans" w:cs="Google Sans" w:eastAsia="Google Sans" w:hAnsi="Google Sans"/>
                <w:color w:val="1f1f1f"/>
                <w:rtl w:val="0"/>
              </w:rPr>
              <w:t xml:space="preserve"> so multiple fingernails from a single child do not leak between train and test sets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Kaggle Conjunctiva &amp; Nail Hb Tables</w:t>
            </w:r>
            <w:r w:rsidDel="00000000" w:rsidR="00000000" w:rsidRPr="00000000">
              <w:rPr>
                <w:rFonts w:ascii="Google Sans" w:cs="Google Sans" w:eastAsia="Google Sans" w:hAnsi="Google Sans"/>
                <w:color w:val="1f1f1f"/>
                <w:rtl w:val="0"/>
              </w:rPr>
              <w:t xml:space="preserve"> (shahriar26s/anemia-detection-dataset &amp; HemoScan Kaggle repo)</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Conjunctiva / Fingernail RGB + Color Features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~250–710 patients with annotated nail/conjunctiva ROIs and tabular RGB percentages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w:t>
            </w:r>
            <w:r w:rsidDel="00000000" w:rsidR="00000000" w:rsidRPr="00000000">
              <w:rPr>
                <w:rFonts w:ascii="Google Sans" w:cs="Google Sans" w:eastAsia="Google Sans" w:hAnsi="Google Sans"/>
                <w:color w:val="1f1f1f"/>
              </w:rPr>
              <w:drawing>
                <wp:inline distB="19050" distT="19050" distL="19050" distR="19050">
                  <wp:extent cx="262660" cy="196995"/>
                  <wp:effectExtent b="0" l="0" r="0" t="0"/>
                  <wp:docPr id="7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2660" cy="196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33855" cy="196463"/>
                  <wp:effectExtent b="0" l="0" r="0" t="0"/>
                  <wp:docPr id="80"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paired with %Red Pixel, %Green Pixel, %Blue Pixel, and sex</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Instant Tabular Regression Baseline:</w:t>
            </w:r>
            <w:r w:rsidDel="00000000" w:rsidR="00000000" w:rsidRPr="00000000">
              <w:rPr>
                <w:rFonts w:ascii="Google Sans" w:cs="Google Sans" w:eastAsia="Google Sans" w:hAnsi="Google Sans"/>
                <w:color w:val="1f1f1f"/>
                <w:rtl w:val="0"/>
              </w:rPr>
              <w:t xml:space="preserve"> Enables training a calibrated Ridge, Random Forest, or MLP regressor on color ratios in under 30 seconds while deep CNN weights fine-tune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Technical Blueprint: Solving the Engineering Requirements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end-to-end technical architecture operates across four sequential functional stages that sanitize raw smartphone photographs against environmental and physiological confounders before generating calibrated clinical outputs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Stage 1 (Smartphone Capture and Region-of-Interest Extraction), the application ingests palpebral conjunctiva or fingernail bed photographs, executes automated blur and format validation, and isolates the vascular region of interest while rejecting specular glare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Stage 2 (Optical and Skin-Tone Normalization), the image undergoes Grey-World white balance correction, HSV plus CLAHE illumination standardization, and CIE </w:t>
      </w:r>
      <w:r w:rsidDel="00000000" w:rsidR="00000000" w:rsidRPr="00000000">
        <w:rPr>
          <w:rFonts w:ascii="Google Sans" w:cs="Google Sans" w:eastAsia="Google Sans" w:hAnsi="Google Sans"/>
          <w:color w:val="1f1f1f"/>
        </w:rPr>
        <w:drawing>
          <wp:inline distB="19050" distT="19050" distL="19050" distR="19050">
            <wp:extent cx="556192" cy="199233"/>
            <wp:effectExtent b="0" l="0" r="0" t="0"/>
            <wp:docPr id="8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56192" cy="199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Individual Typology Angle (</w:t>
      </w:r>
      <w:r w:rsidDel="00000000" w:rsidR="00000000" w:rsidRPr="00000000">
        <w:rPr>
          <w:rFonts w:ascii="Google Sans" w:cs="Google Sans" w:eastAsia="Google Sans" w:hAnsi="Google Sans"/>
          <w:color w:val="1f1f1f"/>
        </w:rPr>
        <w:drawing>
          <wp:inline distB="19050" distT="19050" distL="19050" distR="19050">
            <wp:extent cx="468426" cy="197232"/>
            <wp:effectExtent b="0" l="0" r="0" t="0"/>
            <wp:docPr id="82"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468426" cy="19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scaling to neutralize clinic lighting casts and auto-exposure bias across diverse skin tones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Stage 3 (Hybrid AI Core), deep visual representations from the EfficientNet-B3 backbone are fused with 27 camera-invariant colorimetric ratios to drive dual task heads—a continuous hemoglobin regression head (</w:t>
      </w:r>
      <w:r w:rsidDel="00000000" w:rsidR="00000000" w:rsidRPr="00000000">
        <w:rPr>
          <w:rFonts w:ascii="Google Sans" w:cs="Google Sans" w:eastAsia="Google Sans" w:hAnsi="Google Sans"/>
          <w:color w:val="1f1f1f"/>
        </w:rPr>
        <w:drawing>
          <wp:inline distB="19050" distT="19050" distL="19050" distR="19050">
            <wp:extent cx="433855" cy="196463"/>
            <wp:effectExtent b="0" l="0" r="0" t="0"/>
            <wp:docPr id="83"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binary anemia classification head—accompanied by a Grad-CAM spatial explainability overlay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Finally, in Stage 4 (Community Health Worker Triage Application), raw predictions pass through Platt probability calibration and Bland-Altman agreement verification to generate a World Health Organization (WHO) risk-stratified referral PDF</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Robustness to Lighting, Skin Tone, and Camera Differences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RAHULPATEL2002/anemia-detection scaffold, inserting a dedicated normalization.py module immediately after image_validator.py establishes a deterministic four-step sequential pipeline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established in recent conjunctival and fingernail imaging studies, the exact sequence of preprocessing operations dictates feature integrity; applying color correction prior to background segmentation or omitting normalization alters the chromatic distribution seen by the classifier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pipeline executes automated Region-of-Interest (ROI) cropping and specular glare masking. The mucosal bed of the palpebral conjunctiva or the nail plate is isolated using either pre-segmented masks during benchmark training, triangle thresholding and entropy grayscale extraction as deployed in CP-AnemiC, or an interactive touch-seed bounding box in the live mobile interface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extracted ROI is converted into the Hue-Saturation-Value (HSV) color space to identify specular reflection pixels caused by tear film or nail shine (where Brightness </w:t>
      </w:r>
      <w:r w:rsidDel="00000000" w:rsidR="00000000" w:rsidRPr="00000000">
        <w:rPr>
          <w:rFonts w:ascii="Google Sans" w:cs="Google Sans" w:eastAsia="Google Sans" w:hAnsi="Google Sans"/>
          <w:color w:val="1f1f1f"/>
        </w:rPr>
        <w:drawing>
          <wp:inline distB="19050" distT="19050" distL="19050" distR="19050">
            <wp:extent cx="712844" cy="196647"/>
            <wp:effectExtent b="0" l="0" r="0" t="0"/>
            <wp:docPr id="84"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712844" cy="196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Saturation </w:t>
      </w:r>
      <w:r w:rsidDel="00000000" w:rsidR="00000000" w:rsidRPr="00000000">
        <w:rPr>
          <w:rFonts w:ascii="Google Sans" w:cs="Google Sans" w:eastAsia="Google Sans" w:hAnsi="Google Sans"/>
          <w:color w:val="1f1f1f"/>
        </w:rPr>
        <w:drawing>
          <wp:inline distB="19050" distT="19050" distL="19050" distR="19050">
            <wp:extent cx="588466" cy="196155"/>
            <wp:effectExtent b="0" l="0" r="0" t="0"/>
            <wp:docPr id="2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88466" cy="1961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are masked and reconstructed via OpenCV Telea inpainting so flash artifacts cannot depress mean erythema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pipeline performs Grey-World White Balance followed by HSV-CLAHE illumination normalization. Applying the Grey-World assumption rescales the Red, Green, and Blue channels so their spatial averages equalize to a neutral gray reference, stripping ambient clinic-room lighting color casts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white-balanced ROI is then transformed into the HSV color space where Contrast Limited Adaptive Histogram Equalization (CLAHE) is applied strictly to the Value (</w:t>
      </w:r>
      <w:r w:rsidDel="00000000" w:rsidR="00000000" w:rsidRPr="00000000">
        <w:rPr>
          <w:rFonts w:ascii="Google Sans" w:cs="Google Sans" w:eastAsia="Google Sans" w:hAnsi="Google Sans"/>
          <w:color w:val="1f1f1f"/>
        </w:rPr>
        <w:drawing>
          <wp:inline distB="19050" distT="19050" distL="19050" distR="19050">
            <wp:extent cx="157801" cy="199327"/>
            <wp:effectExtent b="0" l="0" r="0" t="0"/>
            <wp:docPr id="2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157801" cy="199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illumination channel before converting back to RGB</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procedure attenuates brightness differences across images without distorting the underlying chromaticity (Hue and Saturation) governed by hemoglobin concentration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the pipeline implements dermatological skin-tone calibration via the Individual Typology Angle (</w:t>
      </w:r>
      <w:r w:rsidDel="00000000" w:rsidR="00000000" w:rsidRPr="00000000">
        <w:rPr>
          <w:rFonts w:ascii="Google Sans" w:cs="Google Sans" w:eastAsia="Google Sans" w:hAnsi="Google Sans"/>
          <w:color w:val="1f1f1f"/>
        </w:rPr>
        <w:drawing>
          <wp:inline distB="19050" distT="19050" distL="19050" distR="19050">
            <wp:extent cx="437427" cy="198080"/>
            <wp:effectExtent b="0" l="0" r="0" t="0"/>
            <wp:docPr id="2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37427" cy="198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neutralize camera auto-exposure bias and verify fairness across skin tones, the preprocessor samples the unsegmented periorbital or finger epidermis surrounding the ROI mask, converts those pixels into the CIE </w:t>
      </w:r>
      <w:r w:rsidDel="00000000" w:rsidR="00000000" w:rsidRPr="00000000">
        <w:rPr>
          <w:rFonts w:ascii="Google Sans" w:cs="Google Sans" w:eastAsia="Google Sans" w:hAnsi="Google Sans"/>
          <w:color w:val="1f1f1f"/>
        </w:rPr>
        <w:drawing>
          <wp:inline distB="19050" distT="19050" distL="19050" distR="19050">
            <wp:extent cx="556192" cy="199233"/>
            <wp:effectExtent b="0" l="0" r="0" t="0"/>
            <wp:docPr id="24"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56192" cy="199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color space via OpenCV (cv2.cvtColor), and computes the dermatological Individual Typology Angle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61401"/>
            <wp:effectExtent b="0" l="0" r="0" t="0"/>
            <wp:docPr id="25"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05500" cy="76140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w:t>
      </w:r>
      <w:r w:rsidDel="00000000" w:rsidR="00000000" w:rsidRPr="00000000">
        <w:rPr>
          <w:rFonts w:ascii="Google Sans" w:cs="Google Sans" w:eastAsia="Google Sans" w:hAnsi="Google Sans"/>
          <w:color w:val="1f1f1f"/>
        </w:rPr>
        <w:drawing>
          <wp:inline distB="19050" distT="19050" distL="19050" distR="19050">
            <wp:extent cx="437427" cy="198080"/>
            <wp:effectExtent b="0" l="0" r="0" t="0"/>
            <wp:docPr id="26"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37427" cy="198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classifies skin pigmentation into six dermatological tiers (Very Light through Dark, with values above </w:t>
      </w:r>
      <w:r w:rsidDel="00000000" w:rsidR="00000000" w:rsidRPr="00000000">
        <w:rPr>
          <w:rFonts w:ascii="Google Sans" w:cs="Google Sans" w:eastAsia="Google Sans" w:hAnsi="Google Sans"/>
          <w:color w:val="1f1f1f"/>
        </w:rPr>
        <w:drawing>
          <wp:inline distB="19050" distT="19050" distL="19050" distR="19050">
            <wp:extent cx="274269" cy="199468"/>
            <wp:effectExtent b="0" l="0" r="0" t="0"/>
            <wp:docPr id="27"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274269" cy="1994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corresponding to lighter skin groups and negative angles corresponding to darker Fitzpatrick types IV–VI)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Applying an ITA-based scaling factor to the ROI's </w:t>
      </w:r>
      <w:r w:rsidDel="00000000" w:rsidR="00000000" w:rsidRPr="00000000">
        <w:rPr>
          <w:rFonts w:ascii="Google Sans" w:cs="Google Sans" w:eastAsia="Google Sans" w:hAnsi="Google Sans"/>
          <w:color w:val="1f1f1f"/>
        </w:rPr>
        <w:drawing>
          <wp:inline distB="19050" distT="19050" distL="19050" distR="19050">
            <wp:extent cx="211761" cy="203290"/>
            <wp:effectExtent b="0" l="0" r="0" t="0"/>
            <wp:docPr id="28"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211761" cy="203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(lightness) and </w:t>
      </w:r>
      <w:r w:rsidDel="00000000" w:rsidR="00000000" w:rsidRPr="00000000">
        <w:rPr>
          <w:rFonts w:ascii="Google Sans" w:cs="Google Sans" w:eastAsia="Google Sans" w:hAnsi="Google Sans"/>
          <w:color w:val="1f1f1f"/>
        </w:rPr>
        <w:drawing>
          <wp:inline distB="19050" distT="19050" distL="19050" distR="19050">
            <wp:extent cx="182038" cy="198587"/>
            <wp:effectExtent b="0" l="0" r="0" t="0"/>
            <wp:docPr id="29"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182038" cy="1985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(red-green opponent) channels compensates for sensor gain shifts induced by dark versus light surrounding skin, ensuring that the visual magnitude of pallor remains perceptually consistent across skin tones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Fourth, to achieve camera-sensor invariance, the preprocessor extracts 27 dimensionless colorimetric ratios and applies Correlation Alignment (CORAL)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distinct smartphone cameras vary in absolute channel sensitivity, dimensionless color ratios cancel out multiplicative sensor gain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Following the feature engineering architecture of JetX-GT/nail-anemia-detector and the Eyes-Defy/CP-AnemiC cross-dataset studies, the module computes pallor brightness metrics, white-to-pink ratios, redness indices, </w:t>
      </w:r>
      <w:r w:rsidDel="00000000" w:rsidR="00000000" w:rsidRPr="00000000">
        <w:rPr>
          <w:rFonts w:ascii="Google Sans" w:cs="Google Sans" w:eastAsia="Google Sans" w:hAnsi="Google Sans"/>
          <w:color w:val="1f1f1f"/>
        </w:rPr>
        <w:drawing>
          <wp:inline distB="19050" distT="19050" distL="19050" distR="19050">
            <wp:extent cx="402091" cy="196943"/>
            <wp:effectExtent b="0" l="0" r="0" t="0"/>
            <wp:docPr id="3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02091" cy="196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06683" cy="19520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6683" cy="195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channel ratios, the Hemoglobin Redness Ratio (</w:t>
      </w:r>
      <w:r w:rsidDel="00000000" w:rsidR="00000000" w:rsidRPr="00000000">
        <w:rPr>
          <w:rFonts w:ascii="Google Sans" w:cs="Google Sans" w:eastAsia="Google Sans" w:hAnsi="Google Sans"/>
          <w:color w:val="1f1f1f"/>
        </w:rPr>
        <w:drawing>
          <wp:inline distB="19050" distT="19050" distL="19050" distR="19050">
            <wp:extent cx="507334" cy="199607"/>
            <wp:effectExtent b="0" l="0" r="0" t="0"/>
            <wp:docPr id="2"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07334" cy="199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spatial center-versus-edge vascular gradients, and grayscale entropy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transferring models across distinct geographic cohorts and cameras—such as training on Ghana's CP-AnemiC and evaluating on Italy and India's Eyes-Defy-Anemia—applying CORAL on the extracted feature space raises cross-dataset generalization by aligning second-order feature covariance matrices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Joint Hemoglobin Estimation and Anemia Classification Architecture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continuous hemoglobin regression from collapsing toward the dataset mean (</w:t>
      </w:r>
      <w:r w:rsidDel="00000000" w:rsidR="00000000" w:rsidRPr="00000000">
        <w:rPr>
          <w:rFonts w:ascii="Google Sans" w:cs="Google Sans" w:eastAsia="Google Sans" w:hAnsi="Google Sans"/>
          <w:color w:val="1f1f1f"/>
        </w:rPr>
        <w:drawing>
          <wp:inline distB="19050" distT="19050" distL="19050" distR="19050">
            <wp:extent cx="1186244" cy="196344"/>
            <wp:effectExtent b="0" l="0" r="0" t="0"/>
            <wp:docPr id="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1186244" cy="196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naive single-head CNNs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model.py architecture in RAHULPATEL2002/anemia-detection must be upgraded to a </w:t>
      </w:r>
      <w:r w:rsidDel="00000000" w:rsidR="00000000" w:rsidRPr="00000000">
        <w:rPr>
          <w:rFonts w:ascii="Google Sans" w:cs="Google Sans" w:eastAsia="Google Sans" w:hAnsi="Google Sans"/>
          <w:b w:val="1"/>
          <w:bCs w:val="1"/>
          <w:color w:val="1f1f1f"/>
          <w:rtl w:val="0"/>
        </w:rPr>
        <w:t xml:space="preserve">Joint Classification and Regression Learning Framework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multi-task design mirrors the joint deep network established by the CP-AnemiC benchmark authors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multi-body-part BPANet architecture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and the dual-head NeoJaundice-AI framework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feature fusion layer, the </w:t>
      </w:r>
      <w:r w:rsidDel="00000000" w:rsidR="00000000" w:rsidRPr="00000000">
        <w:rPr>
          <w:rFonts w:ascii="Google Sans" w:cs="Google Sans" w:eastAsia="Google Sans" w:hAnsi="Google Sans"/>
          <w:color w:val="1f1f1f"/>
        </w:rPr>
        <w:drawing>
          <wp:inline distB="19050" distT="19050" distL="19050" distR="19050">
            <wp:extent cx="508865" cy="200209"/>
            <wp:effectExtent b="0" l="0" r="0" t="0"/>
            <wp:docPr id="4"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08865" cy="2002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deep embedding from the penultimate GELU layer of EfficientNet-B3 is concatenated with the </w:t>
      </w:r>
      <w:r w:rsidDel="00000000" w:rsidR="00000000" w:rsidRPr="00000000">
        <w:rPr>
          <w:rFonts w:ascii="Google Sans" w:cs="Google Sans" w:eastAsia="Google Sans" w:hAnsi="Google Sans"/>
          <w:color w:val="1f1f1f"/>
        </w:rPr>
        <w:drawing>
          <wp:inline distB="19050" distT="19050" distL="19050" distR="19050">
            <wp:extent cx="410893" cy="197229"/>
            <wp:effectExtent b="0" l="0" r="0" t="0"/>
            <wp:docPr id="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10893" cy="197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standardized vector of handcrafted colorimetric ratios and a 2-D anatomical body-part label encoding whether the input is a palpebral conjunctiva or fingernail bed image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Incorporating explicit body-part labels alongside channel-spatial attention enables a single unified backbone to enhance the salient vascular features of each anatomical site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fused representation feeds two parallel task heads: a classification head consisting of a linear layer followed by Softmax that outputs calibrated class probabilities </w:t>
      </w:r>
      <w:r w:rsidDel="00000000" w:rsidR="00000000" w:rsidRPr="00000000">
        <w:rPr>
          <w:rFonts w:ascii="Google Sans" w:cs="Google Sans" w:eastAsia="Google Sans" w:hAnsi="Google Sans"/>
          <w:color w:val="1f1f1f"/>
        </w:rPr>
        <w:drawing>
          <wp:inline distB="19050" distT="19050" distL="19050" distR="19050">
            <wp:extent cx="898582" cy="197853"/>
            <wp:effectExtent b="0" l="0" r="0" t="0"/>
            <wp:docPr id="6"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898582" cy="1978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continuous hemoglobin regression head consisting of a two-layer Multi-Layer Perceptron (MLP) with Softplus activation that outputs strictly positive hemoglobin concentration </w:t>
      </w:r>
      <w:r w:rsidDel="00000000" w:rsidR="00000000" w:rsidRPr="00000000">
        <w:rPr>
          <w:rFonts w:ascii="Google Sans" w:cs="Google Sans" w:eastAsia="Google Sans" w:hAnsi="Google Sans"/>
          <w:color w:val="1f1f1f"/>
        </w:rPr>
        <w:drawing>
          <wp:inline distB="19050" distT="19050" distL="19050" distR="19050">
            <wp:extent cx="231917" cy="182220"/>
            <wp:effectExtent b="0" l="0" r="0" t="0"/>
            <wp:docPr id="7"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31917" cy="182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color w:val="1f1f1f"/>
        </w:rPr>
        <w:drawing>
          <wp:inline distB="19050" distT="19050" distL="19050" distR="19050">
            <wp:extent cx="433855" cy="196463"/>
            <wp:effectExtent b="0" l="0" r="0" t="0"/>
            <wp:docPr id="8"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training, the network is optimized via a weighted dual loss function that combines inverse-frequency class-weighted Cross-Entropy (</w:t>
      </w:r>
      <w:r w:rsidDel="00000000" w:rsidR="00000000" w:rsidRPr="00000000">
        <w:rPr>
          <w:rFonts w:ascii="Google Sans" w:cs="Google Sans" w:eastAsia="Google Sans" w:hAnsi="Google Sans"/>
          <w:color w:val="1f1f1f"/>
        </w:rPr>
        <w:drawing>
          <wp:inline distB="19050" distT="19050" distL="19050" distR="19050">
            <wp:extent cx="361780" cy="197334"/>
            <wp:effectExtent b="0" l="0" r="0" t="0"/>
            <wp:docPr id="9"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361780" cy="197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continuous Mean Squared Error (</w:t>
      </w:r>
      <w:r w:rsidDel="00000000" w:rsidR="00000000" w:rsidRPr="00000000">
        <w:rPr>
          <w:rFonts w:ascii="Google Sans" w:cs="Google Sans" w:eastAsia="Google Sans" w:hAnsi="Google Sans"/>
          <w:color w:val="1f1f1f"/>
        </w:rPr>
        <w:drawing>
          <wp:inline distB="19050" distT="19050" distL="19050" distR="19050">
            <wp:extent cx="493811" cy="197524"/>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93811" cy="1975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1884"/>
            <wp:effectExtent b="0" l="0" r="0" t="0"/>
            <wp:docPr id="43"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905500" cy="58188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Coupling the regression objective to the classification boundary allows the continuous estimator to benefit from well-established classification gradients, ensuring stable handling of minority severe-anemia samples and driving continuous hemoglobin Mean Absolute Error down toward the benchmark state-of-the-art of </w:t>
      </w:r>
      <w:r w:rsidDel="00000000" w:rsidR="00000000" w:rsidRPr="00000000">
        <w:rPr>
          <w:rFonts w:ascii="Google Sans" w:cs="Google Sans" w:eastAsia="Google Sans" w:hAnsi="Google Sans"/>
          <w:color w:val="1f1f1f"/>
        </w:rPr>
        <w:drawing>
          <wp:inline distB="19050" distT="19050" distL="19050" distR="19050">
            <wp:extent cx="824465" cy="195912"/>
            <wp:effectExtent b="0" l="0" r="0" t="0"/>
            <wp:docPr id="44"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824465" cy="19591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Calibrated Accuracy, Agreement Diagnostics, and Error Reporting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evaluation of a non-invasive diagnostic aid requires distinguishing between raw neural network confidence and calibrated probability, as well as between linear correlation and clinical measurement interchangeability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Probability Calibration and Dual-Threshold Screening Modes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neural networks trained with aggressive data augmentation such as Mixup and TrivialAugmentWide frequently produce under- or over-confident raw softmax probabilities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Within predict.py, the classification logits should be passed through a post-hoc Platt Scaling or Temperature Scaling layer fitted on the validation split, accompanied by a Reliability Diagram, Expected Calibration Error (ECE), and Brier Score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probabilities are calibrated, the application should provide a </w:t>
      </w:r>
      <w:r w:rsidDel="00000000" w:rsidR="00000000" w:rsidRPr="00000000">
        <w:rPr>
          <w:rFonts w:ascii="Google Sans" w:cs="Google Sans" w:eastAsia="Google Sans" w:hAnsi="Google Sans"/>
          <w:b w:val="1"/>
          <w:bCs w:val="1"/>
          <w:color w:val="1f1f1f"/>
          <w:rtl w:val="0"/>
        </w:rPr>
        <w:t xml:space="preserve">Clinical Operating Mode Toggle</w:t>
      </w:r>
      <w:r w:rsidDel="00000000" w:rsidR="00000000" w:rsidRPr="00000000">
        <w:rPr>
          <w:rFonts w:ascii="Google Sans" w:cs="Google Sans" w:eastAsia="Google Sans" w:hAnsi="Google Sans"/>
          <w:color w:val="1f1f1f"/>
          <w:rtl w:val="0"/>
        </w:rPr>
        <w:t xml:space="preserve"> tailored to the asymmetry of field screening errors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Standard Balanced Mode (operating at a probability threshold of </w:t>
      </w:r>
      <w:r w:rsidDel="00000000" w:rsidR="00000000" w:rsidRPr="00000000">
        <w:rPr>
          <w:rFonts w:ascii="Google Sans" w:cs="Google Sans" w:eastAsia="Google Sans" w:hAnsi="Google Sans"/>
          <w:color w:val="1f1f1f"/>
        </w:rPr>
        <w:drawing>
          <wp:inline distB="19050" distT="19050" distL="19050" distR="19050">
            <wp:extent cx="348258" cy="194376"/>
            <wp:effectExtent b="0" l="0" r="0" t="0"/>
            <wp:docPr id="45"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348258" cy="194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EfficientNet-B3 classifier replicates the AnemiaVision test benchmark, achieving 96.2% overall accuracy, 0.98 AUC-ROC, 96.0% sensitivity (True Positive rate), a 4.0% False Negative rate, and 95.0% specificity (True Negative rate)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in rural community triage, missing an anemic child or pregnant woman (a False Negative) carries serious clinical risk, whereas a False Positive simply routes the patient for a confirmatory laboratory blood test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offering a </w:t>
      </w:r>
      <w:r w:rsidDel="00000000" w:rsidR="00000000" w:rsidRPr="00000000">
        <w:rPr>
          <w:rFonts w:ascii="Google Sans" w:cs="Google Sans" w:eastAsia="Google Sans" w:hAnsi="Google Sans"/>
          <w:b w:val="1"/>
          <w:bCs w:val="1"/>
          <w:color w:val="1f1f1f"/>
          <w:rtl w:val="0"/>
        </w:rPr>
        <w:t xml:space="preserve">High-Sensitivity Triage Mode</w:t>
      </w:r>
      <w:r w:rsidDel="00000000" w:rsidR="00000000" w:rsidRPr="00000000">
        <w:rPr>
          <w:rFonts w:ascii="Google Sans" w:cs="Google Sans" w:eastAsia="Google Sans" w:hAnsi="Google Sans"/>
          <w:color w:val="1f1f1f"/>
          <w:rtl w:val="0"/>
        </w:rPr>
        <w:t xml:space="preserve"> that lowers the decision threshold to </w:t>
      </w:r>
      <w:r w:rsidDel="00000000" w:rsidR="00000000" w:rsidRPr="00000000">
        <w:rPr>
          <w:rFonts w:ascii="Google Sans" w:cs="Google Sans" w:eastAsia="Google Sans" w:hAnsi="Google Sans"/>
          <w:color w:val="1f1f1f"/>
        </w:rPr>
        <w:drawing>
          <wp:inline distB="19050" distT="19050" distL="19050" distR="19050">
            <wp:extent cx="446229" cy="198324"/>
            <wp:effectExtent b="0" l="0" r="0" t="0"/>
            <wp:docPr id="46"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446229" cy="198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—as validated in JetX-GT/nail-anemia-detector—the system achieves </w:t>
      </w:r>
      <w:r w:rsidDel="00000000" w:rsidR="00000000" w:rsidRPr="00000000">
        <w:rPr>
          <w:rFonts w:ascii="Google Sans" w:cs="Google Sans" w:eastAsia="Google Sans" w:hAnsi="Google Sans"/>
          <w:b w:val="1"/>
          <w:bCs w:val="1"/>
          <w:color w:val="1f1f1f"/>
          <w:rtl w:val="0"/>
        </w:rPr>
        <w:t xml:space="preserve">100% recall</w:t>
      </w:r>
      <w:r w:rsidDel="00000000" w:rsidR="00000000" w:rsidRPr="00000000">
        <w:rPr>
          <w:rFonts w:ascii="Google Sans" w:cs="Google Sans" w:eastAsia="Google Sans" w:hAnsi="Google Sans"/>
          <w:color w:val="1f1f1f"/>
          <w:rtl w:val="0"/>
        </w:rPr>
        <w:t xml:space="preserve"> (zero missed anemic patients) at the expense of lower specificity (17.1%), providing an explicit safety lever for frontline screening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848350" cy="8382000"/>
            <wp:effectExtent b="0" l="0" r="0" t="0"/>
            <wp:docPr id="47"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58483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Hemoglobin Agreement via Bland-Altman Analysis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continuous hemoglobin predictions (</w:t>
      </w:r>
      <w:r w:rsidDel="00000000" w:rsidR="00000000" w:rsidRPr="00000000">
        <w:rPr>
          <w:rFonts w:ascii="Google Sans" w:cs="Google Sans" w:eastAsia="Google Sans" w:hAnsi="Google Sans"/>
          <w:color w:val="1f1f1f"/>
        </w:rPr>
        <w:drawing>
          <wp:inline distB="19050" distT="19050" distL="19050" distR="19050">
            <wp:extent cx="231917" cy="182220"/>
            <wp:effectExtent b="0" l="0" r="0" t="0"/>
            <wp:docPr id="48"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31917" cy="182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color w:val="1f1f1f"/>
        </w:rPr>
        <w:drawing>
          <wp:inline distB="19050" distT="19050" distL="19050" distR="19050">
            <wp:extent cx="433855" cy="196463"/>
            <wp:effectExtent b="0" l="0" r="0" t="0"/>
            <wp:docPr id="49"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laboratory reference measurements (</w:t>
      </w:r>
      <w:r w:rsidDel="00000000" w:rsidR="00000000" w:rsidRPr="00000000">
        <w:rPr>
          <w:rFonts w:ascii="Google Sans" w:cs="Google Sans" w:eastAsia="Google Sans" w:hAnsi="Google Sans"/>
          <w:color w:val="1f1f1f"/>
        </w:rPr>
        <w:drawing>
          <wp:inline distB="19050" distT="19050" distL="19050" distR="19050">
            <wp:extent cx="455286" cy="195123"/>
            <wp:effectExtent b="0" l="0" r="0" t="0"/>
            <wp:docPr id="50"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455286" cy="195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relying solely on the Pearson correlation coefficient (</w:t>
      </w:r>
      <w:r w:rsidDel="00000000" w:rsidR="00000000" w:rsidRPr="00000000">
        <w:rPr>
          <w:rFonts w:ascii="Google Sans" w:cs="Google Sans" w:eastAsia="Google Sans" w:hAnsi="Google Sans"/>
          <w:color w:val="1f1f1f"/>
        </w:rPr>
        <w:drawing>
          <wp:inline distB="19050" distT="19050" distL="19050" distR="19050">
            <wp:extent cx="93762" cy="204571"/>
            <wp:effectExtent b="0" l="0" r="0" t="0"/>
            <wp:docPr id="51"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93762" cy="204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228472" cy="195833"/>
            <wp:effectExtent b="0" l="0" r="0" t="0"/>
            <wp:docPr id="52"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228472" cy="195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clinically insufficient because two measurement methods can correlate strongly while exhibiting a persistent systematic offset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Alongside Mean Absolute Error (MAE) and Root Mean Squared Error (RMSE)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evaluation suite (evaluate.py) must generate a </w:t>
      </w:r>
      <w:r w:rsidDel="00000000" w:rsidR="00000000" w:rsidRPr="00000000">
        <w:rPr>
          <w:rFonts w:ascii="Google Sans" w:cs="Google Sans" w:eastAsia="Google Sans" w:hAnsi="Google Sans"/>
          <w:b w:val="1"/>
          <w:bCs w:val="1"/>
          <w:color w:val="1f1f1f"/>
          <w:rtl w:val="0"/>
        </w:rPr>
        <w:t xml:space="preserve">Bland-Altman Agreement Plot</w:t>
      </w:r>
      <w:r w:rsidDel="00000000" w:rsidR="00000000" w:rsidRPr="00000000">
        <w:rPr>
          <w:rFonts w:ascii="Google Sans" w:cs="Google Sans" w:eastAsia="Google Sans" w:hAnsi="Google Sans"/>
          <w:color w:val="1f1f1f"/>
          <w:rtl w:val="0"/>
        </w:rPr>
        <w:t xml:space="preserve"> (also termed Tukey's Mean-Difference Plot, implemented in Python via statsmodels.graphics.agreement.mean_diff_plot)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Bland-Altman diagnostic plots the pairwise measurement average </w:t>
      </w:r>
      <w:r w:rsidDel="00000000" w:rsidR="00000000" w:rsidRPr="00000000">
        <w:rPr>
          <w:rFonts w:ascii="Google Sans" w:cs="Google Sans" w:eastAsia="Google Sans" w:hAnsi="Google Sans"/>
          <w:color w:val="1f1f1f"/>
        </w:rPr>
        <w:drawing>
          <wp:inline distB="19050" distT="19050" distL="19050" distR="19050">
            <wp:extent cx="1884674" cy="195810"/>
            <wp:effectExtent b="0" l="0" r="0" t="0"/>
            <wp:docPr id="42"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1884674" cy="195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 the horizontal axis against the pairwise difference </w:t>
      </w:r>
      <w:r w:rsidDel="00000000" w:rsidR="00000000" w:rsidRPr="00000000">
        <w:rPr>
          <w:rFonts w:ascii="Google Sans" w:cs="Google Sans" w:eastAsia="Google Sans" w:hAnsi="Google Sans"/>
          <w:color w:val="1f1f1f"/>
        </w:rPr>
        <w:drawing>
          <wp:inline distB="19050" distT="19050" distL="19050" distR="19050">
            <wp:extent cx="1519961" cy="196124"/>
            <wp:effectExtent b="0" l="0" r="0" t="0"/>
            <wp:docPr id="33"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1519961" cy="196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 the vertical axis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visualization incorporates three horizontal clinical reference lines: a zero-difference line (</w:t>
      </w:r>
      <w:r w:rsidDel="00000000" w:rsidR="00000000" w:rsidRPr="00000000">
        <w:rPr>
          <w:rFonts w:ascii="Google Sans" w:cs="Google Sans" w:eastAsia="Google Sans" w:hAnsi="Google Sans"/>
          <w:color w:val="1f1f1f"/>
        </w:rPr>
        <w:drawing>
          <wp:inline distB="19050" distT="19050" distL="19050" distR="19050">
            <wp:extent cx="462175" cy="194600"/>
            <wp:effectExtent b="0" l="0" r="0" t="0"/>
            <wp:docPr id="34"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462175" cy="194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denoting zero error, the mean difference line (</w:t>
      </w:r>
      <w:r w:rsidDel="00000000" w:rsidR="00000000" w:rsidRPr="00000000">
        <w:rPr>
          <w:rFonts w:ascii="Google Sans" w:cs="Google Sans" w:eastAsia="Google Sans" w:hAnsi="Google Sans"/>
          <w:color w:val="1f1f1f"/>
        </w:rPr>
        <w:drawing>
          <wp:inline distB="19050" distT="19050" distL="19050" distR="19050">
            <wp:extent cx="966187" cy="198192"/>
            <wp:effectExtent b="0" l="0" r="0" t="0"/>
            <wp:docPr id="35"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966187" cy="1981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quantifying systematic bias, and the 95% Limits of Agreement (</w:t>
      </w:r>
      <w:r w:rsidDel="00000000" w:rsidR="00000000" w:rsidRPr="00000000">
        <w:rPr>
          <w:rFonts w:ascii="Google Sans" w:cs="Google Sans" w:eastAsia="Google Sans" w:hAnsi="Google Sans"/>
          <w:color w:val="1f1f1f"/>
        </w:rPr>
        <w:drawing>
          <wp:inline distB="19050" distT="19050" distL="19050" distR="19050">
            <wp:extent cx="1951520" cy="195969"/>
            <wp:effectExtent b="0" l="0" r="0" t="0"/>
            <wp:docPr id="36"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1951520" cy="195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which approximately 95% of differences between the smartphone model and the hematology analyzer reside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regressing the pairwise differences </w:t>
      </w:r>
      <w:r w:rsidDel="00000000" w:rsidR="00000000" w:rsidRPr="00000000">
        <w:rPr>
          <w:rFonts w:ascii="Google Sans" w:cs="Google Sans" w:eastAsia="Google Sans" w:hAnsi="Google Sans"/>
          <w:color w:val="1f1f1f"/>
        </w:rPr>
        <w:drawing>
          <wp:inline distB="19050" distT="19050" distL="19050" distR="19050">
            <wp:extent cx="158948" cy="200777"/>
            <wp:effectExtent b="0" l="0" r="0" t="0"/>
            <wp:docPr id="37"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158948" cy="200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the means </w:t>
      </w:r>
      <w:r w:rsidDel="00000000" w:rsidR="00000000" w:rsidRPr="00000000">
        <w:rPr>
          <w:rFonts w:ascii="Google Sans" w:cs="Google Sans" w:eastAsia="Google Sans" w:hAnsi="Google Sans"/>
          <w:color w:val="1f1f1f"/>
        </w:rPr>
        <w:drawing>
          <wp:inline distB="19050" distT="19050" distL="19050" distR="19050">
            <wp:extent cx="175150" cy="200171"/>
            <wp:effectExtent b="0" l="0" r="0" t="0"/>
            <wp:docPr id="38"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175150" cy="200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verifies the absence of proportional bias, confirming that estimation errors do not widen at severe anemia concentrations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Health Worker Referral Workflow Design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RAHULPATEL2002/anemia-detection already contains a mobile-first web interface, SQLite and PostgreSQL patient record storage (storage_utils.py), and an automated PDF report engine (pdf_report.py), upgrading the application into a WHO-compliant CHW referral workflow requires binding the model's continuous </w:t>
      </w:r>
      <w:r w:rsidDel="00000000" w:rsidR="00000000" w:rsidRPr="00000000">
        <w:rPr>
          <w:rFonts w:ascii="Google Sans" w:cs="Google Sans" w:eastAsia="Google Sans" w:hAnsi="Google Sans"/>
          <w:color w:val="1f1f1f"/>
        </w:rPr>
        <w:drawing>
          <wp:inline distB="19050" distT="19050" distL="19050" distR="19050">
            <wp:extent cx="231917" cy="182220"/>
            <wp:effectExtent b="0" l="0" r="0" t="0"/>
            <wp:docPr id="39"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31917" cy="182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estimate and calibrated probability </w:t>
      </w:r>
      <w:r w:rsidDel="00000000" w:rsidR="00000000" w:rsidRPr="00000000">
        <w:rPr>
          <w:rFonts w:ascii="Google Sans" w:cs="Google Sans" w:eastAsia="Google Sans" w:hAnsi="Google Sans"/>
          <w:color w:val="1f1f1f"/>
        </w:rPr>
        <w:drawing>
          <wp:inline distB="19050" distT="19050" distL="19050" distR="19050">
            <wp:extent cx="98609" cy="215148"/>
            <wp:effectExtent b="0" l="0" r="0" t="0"/>
            <wp:docPr id="40"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98609" cy="215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demographic-specific triage rules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Triage Risk Tier &amp; Visual Badge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Demographic &amp; Estimated Hb^\widehat{Hb}Hb (g/dLg/dLg/dL) Criteria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Calibrated Probability (ppp)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CHW Action &amp; Referral Protocol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GREEN: Normal / Routine Care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Children (6–59 mos): </w:t>
            </w:r>
            <w:r w:rsidDel="00000000" w:rsidR="00000000" w:rsidRPr="00000000">
              <w:rPr>
                <w:rFonts w:ascii="Google Sans" w:cs="Google Sans" w:eastAsia="Google Sans" w:hAnsi="Google Sans"/>
                <w:color w:val="1f1f1f"/>
              </w:rPr>
              <w:drawing>
                <wp:inline distB="19050" distT="19050" distL="19050" distR="19050">
                  <wp:extent cx="1189949" cy="180544"/>
                  <wp:effectExtent b="0" l="0" r="0" t="0"/>
                  <wp:docPr id="41"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1189949" cy="18054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Adult Women: </w:t>
            </w:r>
            <w:r w:rsidDel="00000000" w:rsidR="00000000" w:rsidRPr="00000000">
              <w:rPr>
                <w:rFonts w:ascii="Google Sans" w:cs="Google Sans" w:eastAsia="Google Sans" w:hAnsi="Google Sans"/>
                <w:color w:val="1f1f1f"/>
              </w:rPr>
              <w:drawing>
                <wp:inline distB="19050" distT="19050" distL="19050" distR="19050">
                  <wp:extent cx="1189949" cy="180544"/>
                  <wp:effectExtent b="0" l="0" r="0" t="0"/>
                  <wp:docPr id="31"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1189949" cy="18054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Adult Men: </w:t>
            </w:r>
            <w:r w:rsidDel="00000000" w:rsidR="00000000" w:rsidRPr="00000000">
              <w:rPr>
                <w:rFonts w:ascii="Google Sans" w:cs="Google Sans" w:eastAsia="Google Sans" w:hAnsi="Google Sans"/>
                <w:color w:val="1f1f1f"/>
              </w:rPr>
              <w:drawing>
                <wp:inline distB="19050" distT="19050" distL="19050" distR="19050">
                  <wp:extent cx="1189949" cy="180544"/>
                  <wp:effectExtent b="0" l="0" r="0" t="0"/>
                  <wp:docPr id="32"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1189949" cy="18054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711314" cy="179872"/>
                  <wp:effectExtent b="0" l="0" r="0" t="0"/>
                  <wp:docPr id="67"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711314" cy="179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(High-Sensitivity) or </w:t>
            </w:r>
            <w:r w:rsidDel="00000000" w:rsidR="00000000" w:rsidRPr="00000000">
              <w:rPr>
                <w:rFonts w:ascii="Google Sans" w:cs="Google Sans" w:eastAsia="Google Sans" w:hAnsi="Google Sans"/>
                <w:color w:val="1f1f1f"/>
              </w:rPr>
              <w:drawing>
                <wp:inline distB="19050" distT="19050" distL="19050" distR="19050">
                  <wp:extent cx="624823" cy="178521"/>
                  <wp:effectExtent b="0" l="0" r="0" t="0"/>
                  <wp:docPr id="68" name="image40.png"/>
                  <a:graphic>
                    <a:graphicData uri="http://schemas.openxmlformats.org/drawingml/2006/picture">
                      <pic:pic>
                        <pic:nvPicPr>
                          <pic:cNvPr id="0" name="image40.png"/>
                          <pic:cNvPicPr preferRelativeResize="0"/>
                        </pic:nvPicPr>
                        <pic:blipFill>
                          <a:blip r:embed="rId58"/>
                          <a:srcRect b="0" l="0" r="0" t="0"/>
                          <a:stretch>
                            <a:fillRect/>
                          </a:stretch>
                        </pic:blipFill>
                        <pic:spPr>
                          <a:xfrm>
                            <a:off x="0" y="0"/>
                            <a:ext cx="624823" cy="178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(Balanced)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Routine Community Care:</w:t>
            </w:r>
            <w:r w:rsidDel="00000000" w:rsidR="00000000" w:rsidRPr="00000000">
              <w:rPr>
                <w:rFonts w:ascii="Google Sans" w:cs="Google Sans" w:eastAsia="Google Sans" w:hAnsi="Google Sans"/>
                <w:color w:val="1f1f1f"/>
                <w:rtl w:val="0"/>
              </w:rPr>
              <w:t xml:space="preserve"> Log scan in local SQLite/PostgreSQL history; display automated iron and folate dietary counseling guidance; schedule routine 6-month follow-up screening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YELLOW: Mild-to-Moderate Anemia (PHC Referral)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Children (6–59 mos): </w:t>
            </w:r>
            <w:r w:rsidDel="00000000" w:rsidR="00000000" w:rsidRPr="00000000">
              <w:rPr>
                <w:rFonts w:ascii="Google Sans" w:cs="Google Sans" w:eastAsia="Google Sans" w:hAnsi="Google Sans"/>
                <w:color w:val="1f1f1f"/>
              </w:rPr>
              <w:drawing>
                <wp:inline distB="19050" distT="19050" distL="19050" distR="19050">
                  <wp:extent cx="1641405" cy="180555"/>
                  <wp:effectExtent b="0" l="0" r="0" t="0"/>
                  <wp:docPr id="69" name="image46.png"/>
                  <a:graphic>
                    <a:graphicData uri="http://schemas.openxmlformats.org/drawingml/2006/picture">
                      <pic:pic>
                        <pic:nvPicPr>
                          <pic:cNvPr id="0" name="image46.png"/>
                          <pic:cNvPicPr preferRelativeResize="0"/>
                        </pic:nvPicPr>
                        <pic:blipFill>
                          <a:blip r:embed="rId59"/>
                          <a:srcRect b="0" l="0" r="0" t="0"/>
                          <a:stretch>
                            <a:fillRect/>
                          </a:stretch>
                        </pic:blipFill>
                        <pic:spPr>
                          <a:xfrm>
                            <a:off x="0" y="0"/>
                            <a:ext cx="1641405" cy="18055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Adult Women: </w:t>
            </w:r>
            <w:r w:rsidDel="00000000" w:rsidR="00000000" w:rsidRPr="00000000">
              <w:rPr>
                <w:rFonts w:ascii="Google Sans" w:cs="Google Sans" w:eastAsia="Google Sans" w:hAnsi="Google Sans"/>
                <w:color w:val="1f1f1f"/>
              </w:rPr>
              <w:drawing>
                <wp:inline distB="19050" distT="19050" distL="19050" distR="19050">
                  <wp:extent cx="1641405" cy="180555"/>
                  <wp:effectExtent b="0" l="0" r="0" t="0"/>
                  <wp:docPr id="70"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1641405" cy="18055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Adult Men: </w:t>
            </w:r>
            <w:r w:rsidDel="00000000" w:rsidR="00000000" w:rsidRPr="00000000">
              <w:rPr>
                <w:rFonts w:ascii="Google Sans" w:cs="Google Sans" w:eastAsia="Google Sans" w:hAnsi="Google Sans"/>
                <w:color w:val="1f1f1f"/>
              </w:rPr>
              <w:drawing>
                <wp:inline distB="19050" distT="19050" distL="19050" distR="19050">
                  <wp:extent cx="1641405" cy="180555"/>
                  <wp:effectExtent b="0" l="0" r="0" t="0"/>
                  <wp:docPr id="71"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1641405" cy="18055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249137" cy="180796"/>
                  <wp:effectExtent b="0" l="0" r="0" t="0"/>
                  <wp:docPr id="72" name="image61.png"/>
                  <a:graphic>
                    <a:graphicData uri="http://schemas.openxmlformats.org/drawingml/2006/picture">
                      <pic:pic>
                        <pic:nvPicPr>
                          <pic:cNvPr id="0" name="image61.png"/>
                          <pic:cNvPicPr preferRelativeResize="0"/>
                        </pic:nvPicPr>
                        <pic:blipFill>
                          <a:blip r:embed="rId61"/>
                          <a:srcRect b="0" l="0" r="0" t="0"/>
                          <a:stretch>
                            <a:fillRect/>
                          </a:stretch>
                        </pic:blipFill>
                        <pic:spPr>
                          <a:xfrm>
                            <a:off x="0" y="0"/>
                            <a:ext cx="1249137" cy="18079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Non-Urgent PHC Lab Referral:</w:t>
            </w:r>
            <w:r w:rsidDel="00000000" w:rsidR="00000000" w:rsidRPr="00000000">
              <w:rPr>
                <w:rFonts w:ascii="Google Sans" w:cs="Google Sans" w:eastAsia="Google Sans" w:hAnsi="Google Sans"/>
                <w:color w:val="1f1f1f"/>
                <w:rtl w:val="0"/>
              </w:rPr>
              <w:t xml:space="preserve"> Auto-generate a </w:t>
            </w:r>
            <w:r w:rsidDel="00000000" w:rsidR="00000000" w:rsidRPr="00000000">
              <w:rPr>
                <w:rFonts w:ascii="Google Sans" w:cs="Google Sans" w:eastAsia="Google Sans" w:hAnsi="Google Sans"/>
                <w:b w:val="1"/>
                <w:bCs w:val="1"/>
                <w:color w:val="1f1f1f"/>
                <w:rtl w:val="0"/>
              </w:rPr>
              <w:t xml:space="preserve">PHC Referral Ticket PDF</w:t>
            </w:r>
            <w:r w:rsidDel="00000000" w:rsidR="00000000" w:rsidRPr="00000000">
              <w:rPr>
                <w:rFonts w:ascii="Google Sans" w:cs="Google Sans" w:eastAsia="Google Sans" w:hAnsi="Google Sans"/>
                <w:color w:val="1f1f1f"/>
                <w:rtl w:val="0"/>
              </w:rPr>
              <w:t xml:space="preserve"> (AV-XXXXXX) containing patient phone number, clinic site, Grad-CAM overlay, and </w:t>
            </w:r>
            <w:r w:rsidDel="00000000" w:rsidR="00000000" w:rsidRPr="00000000">
              <w:rPr>
                <w:rFonts w:ascii="Google Sans" w:cs="Google Sans" w:eastAsia="Google Sans" w:hAnsi="Google Sans"/>
                <w:color w:val="1f1f1f"/>
              </w:rPr>
              <w:drawing>
                <wp:inline distB="19050" distT="19050" distL="19050" distR="19050">
                  <wp:extent cx="962111" cy="197356"/>
                  <wp:effectExtent b="0" l="0" r="0" t="0"/>
                  <wp:docPr id="73"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962111" cy="1973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instruct patient to visit the Primary Health Centre within 7 days for confirmatory venous CBC and oral iron supplementation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 Severe Anemia (Urgent Hospital Referral)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Any Demographic Group: </w:t>
            </w:r>
            <w:r w:rsidDel="00000000" w:rsidR="00000000" w:rsidRPr="00000000">
              <w:rPr>
                <w:rFonts w:ascii="Google Sans" w:cs="Google Sans" w:eastAsia="Google Sans" w:hAnsi="Google Sans"/>
                <w:color w:val="1f1f1f"/>
              </w:rPr>
              <w:drawing>
                <wp:inline distB="19050" distT="19050" distL="19050" distR="19050">
                  <wp:extent cx="1103586" cy="179844"/>
                  <wp:effectExtent b="0" l="0" r="0" t="0"/>
                  <wp:docPr id="74"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1103586" cy="179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approaching WHO transfusion thresholds </w:t>
            </w:r>
            <w:r w:rsidDel="00000000" w:rsidR="00000000" w:rsidRPr="00000000">
              <w:rPr>
                <w:rFonts w:ascii="Google Sans" w:cs="Google Sans" w:eastAsia="Google Sans" w:hAnsi="Google Sans"/>
                <w:color w:val="1f1f1f"/>
              </w:rPr>
              <w:drawing>
                <wp:inline distB="19050" distT="19050" distL="19050" distR="19050">
                  <wp:extent cx="823700" cy="181214"/>
                  <wp:effectExtent b="0" l="0" r="0" t="0"/>
                  <wp:docPr id="64"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823700" cy="181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24823" cy="178521"/>
                  <wp:effectExtent b="0" l="0" r="0" t="0"/>
                  <wp:docPr id="65"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624823" cy="178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severe pallor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Emergency Clinical Escalation:</w:t>
            </w:r>
            <w:r w:rsidDel="00000000" w:rsidR="00000000" w:rsidRPr="00000000">
              <w:rPr>
                <w:rFonts w:ascii="Google Sans" w:cs="Google Sans" w:eastAsia="Google Sans" w:hAnsi="Google Sans"/>
                <w:color w:val="1f1f1f"/>
                <w:rtl w:val="0"/>
              </w:rPr>
              <w:t xml:space="preserve"> Trigger a high-priority red alert banner on the CHW screen; generate an </w:t>
            </w:r>
            <w:r w:rsidDel="00000000" w:rsidR="00000000" w:rsidRPr="00000000">
              <w:rPr>
                <w:rFonts w:ascii="Google Sans" w:cs="Google Sans" w:eastAsia="Google Sans" w:hAnsi="Google Sans"/>
                <w:b w:val="1"/>
                <w:bCs w:val="1"/>
                <w:color w:val="1f1f1f"/>
                <w:rtl w:val="0"/>
              </w:rPr>
              <w:t xml:space="preserve">Urgent District Hospital Referral PDF</w:t>
            </w:r>
            <w:r w:rsidDel="00000000" w:rsidR="00000000" w:rsidRPr="00000000">
              <w:rPr>
                <w:rFonts w:ascii="Google Sans" w:cs="Google Sans" w:eastAsia="Google Sans" w:hAnsi="Google Sans"/>
                <w:color w:val="1f1f1f"/>
                <w:rtl w:val="0"/>
              </w:rPr>
              <w:t xml:space="preserve"> for immediate laboratory CBC verification and clinical evaluation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24-Hour Hackathon Prioritization Matrix and Execution Strategy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 in a 24-hour hackathon depends on ruthless scope management: prioritizing features that directly satisfy technical judging criteria while avoiding high-latency engineering traps that cause live stage demos to fail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 Engineering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Concrete Implementation Strategy (Hours 1–24)</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Value in Technical Judging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MUST-HAVE (Core Rubric — Non-Negotiable)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Base Scaffold &amp; Dual-Input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Fork RAHULPATEL2002/anemia-detection immediately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Retain its Flask backend, mobile rear-camera capture workflow, SQLite persistence, and dark-mode medical UI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Saves over 14 hours of full-stack boilerplate and immediately yields a working, mobile-responsive web application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MUST-HAVE (Core Rubric — Non-Negotiable)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Continuous </w:t>
            </w:r>
            <w:r w:rsidDel="00000000" w:rsidR="00000000" w:rsidRPr="00000000">
              <w:rPr>
                <w:rFonts w:ascii="Google Sans" w:cs="Google Sans" w:eastAsia="Google Sans" w:hAnsi="Google Sans"/>
                <w:b w:val="1"/>
                <w:bCs w:val="1"/>
                <w:color w:val="1f1f1f"/>
              </w:rPr>
              <w:drawing>
                <wp:inline distB="19050" distT="19050" distL="19050" distR="19050">
                  <wp:extent cx="262660" cy="196995"/>
                  <wp:effectExtent b="0" l="0" r="0" t="0"/>
                  <wp:docPr id="6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2660" cy="196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Pr>
              <w:drawing>
                <wp:inline distB="19050" distT="19050" distL="19050" distR="19050">
                  <wp:extent cx="433855" cy="196463"/>
                  <wp:effectExtent b="0" l="0" r="0" t="0"/>
                  <wp:docPr id="57"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 Joint Classification 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Modify model.py (EfficientNet-B3) and fuse with JetX-GT's 27 color ratios to output both binary class probability and continuous </w:t>
            </w:r>
            <w:r w:rsidDel="00000000" w:rsidR="00000000" w:rsidRPr="00000000">
              <w:rPr>
                <w:rFonts w:ascii="Google Sans" w:cs="Google Sans" w:eastAsia="Google Sans" w:hAnsi="Google Sans"/>
                <w:color w:val="1f1f1f"/>
              </w:rPr>
              <w:drawing>
                <wp:inline distB="19050" distT="19050" distL="19050" distR="19050">
                  <wp:extent cx="231917" cy="182220"/>
                  <wp:effectExtent b="0" l="0" r="0" t="0"/>
                  <wp:docPr id="58"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31917" cy="182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33855" cy="196463"/>
                  <wp:effectExtent b="0" l="0" r="0" t="0"/>
                  <wp:docPr id="59"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trained on CP-AnemiC (710 patients), Eyes-Defy-Anemia (217 patients), and Ghana Fingernails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Directly fulfills the primary prompt mandate to estimate hemoglobin levels and screen for anemia using public datasets with lab-measured hemoglobin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MUST-HAVE (Core Rubric — Non-Negotiable)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Lighting, Skin-Tone (ITA), and Camera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normalization.py: Grey-World White Balance </w:t>
            </w:r>
            <w:r w:rsidDel="00000000" w:rsidR="00000000" w:rsidRPr="00000000">
              <w:rPr>
                <w:rFonts w:ascii="Google Sans" w:cs="Google Sans" w:eastAsia="Google Sans" w:hAnsi="Google Sans"/>
                <w:color w:val="1f1f1f"/>
              </w:rPr>
              <w:drawing>
                <wp:inline distB="19050" distT="19050" distL="19050" distR="19050">
                  <wp:extent cx="172853" cy="181084"/>
                  <wp:effectExtent b="0" l="0" r="0" t="0"/>
                  <wp:docPr id="60"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172853" cy="1810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Specular Glare Masking </w:t>
            </w:r>
            <w:r w:rsidDel="00000000" w:rsidR="00000000" w:rsidRPr="00000000">
              <w:rPr>
                <w:rFonts w:ascii="Google Sans" w:cs="Google Sans" w:eastAsia="Google Sans" w:hAnsi="Google Sans"/>
                <w:color w:val="1f1f1f"/>
              </w:rPr>
              <w:drawing>
                <wp:inline distB="19050" distT="19050" distL="19050" distR="19050">
                  <wp:extent cx="172853" cy="181084"/>
                  <wp:effectExtent b="0" l="0" r="0" t="0"/>
                  <wp:docPr id="61"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172853" cy="1810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HSV+CLAHE </w:t>
            </w:r>
            <w:r w:rsidDel="00000000" w:rsidR="00000000" w:rsidRPr="00000000">
              <w:rPr>
                <w:rFonts w:ascii="Google Sans" w:cs="Google Sans" w:eastAsia="Google Sans" w:hAnsi="Google Sans"/>
                <w:color w:val="1f1f1f"/>
              </w:rPr>
              <w:drawing>
                <wp:inline distB="19050" distT="19050" distL="19050" distR="19050">
                  <wp:extent cx="172853" cy="181084"/>
                  <wp:effectExtent b="0" l="0" r="0" t="0"/>
                  <wp:docPr id="62"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172853" cy="1810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CIE LAB Individual Typology Angle (</w:t>
            </w:r>
            <w:r w:rsidDel="00000000" w:rsidR="00000000" w:rsidRPr="00000000">
              <w:rPr>
                <w:rFonts w:ascii="Google Sans" w:cs="Google Sans" w:eastAsia="Google Sans" w:hAnsi="Google Sans"/>
                <w:color w:val="1f1f1f"/>
              </w:rPr>
              <w:drawing>
                <wp:inline distB="19050" distT="19050" distL="19050" distR="19050">
                  <wp:extent cx="437427" cy="198080"/>
                  <wp:effectExtent b="0" l="0" r="0" t="0"/>
                  <wp:docPr id="6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37427" cy="198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calculation + dimensionless </w:t>
            </w:r>
            <w:r w:rsidDel="00000000" w:rsidR="00000000" w:rsidRPr="00000000">
              <w:rPr>
                <w:rFonts w:ascii="Google Sans" w:cs="Google Sans" w:eastAsia="Google Sans" w:hAnsi="Google Sans"/>
                <w:color w:val="1f1f1f"/>
              </w:rPr>
              <w:drawing>
                <wp:inline distB="19050" distT="19050" distL="19050" distR="19050">
                  <wp:extent cx="402091" cy="196943"/>
                  <wp:effectExtent b="0" l="0" r="0" t="0"/>
                  <wp:docPr id="5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02091" cy="196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6683" cy="195208"/>
                  <wp:effectExtent b="0" l="0" r="0" t="0"/>
                  <wp:docPr id="5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6683" cy="195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07334" cy="199607"/>
                  <wp:effectExtent b="0" l="0" r="0" t="0"/>
                  <wp:docPr id="5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07334" cy="199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color ratios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Display a 3-stage visual preview on the UI (Raw </w:t>
            </w:r>
            <w:r w:rsidDel="00000000" w:rsidR="00000000" w:rsidRPr="00000000">
              <w:rPr>
                <w:rFonts w:ascii="Google Sans" w:cs="Google Sans" w:eastAsia="Google Sans" w:hAnsi="Google Sans"/>
                <w:color w:val="1f1f1f"/>
              </w:rPr>
              <w:drawing>
                <wp:inline distB="19050" distT="19050" distL="19050" distR="19050">
                  <wp:extent cx="172853" cy="181084"/>
                  <wp:effectExtent b="0" l="0" r="0" t="0"/>
                  <wp:docPr id="56"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172853" cy="1810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Normalized </w:t>
            </w:r>
            <w:r w:rsidDel="00000000" w:rsidR="00000000" w:rsidRPr="00000000">
              <w:rPr>
                <w:rFonts w:ascii="Google Sans" w:cs="Google Sans" w:eastAsia="Google Sans" w:hAnsi="Google Sans"/>
                <w:color w:val="1f1f1f"/>
              </w:rPr>
              <w:drawing>
                <wp:inline distB="19050" distT="19050" distL="19050" distR="19050">
                  <wp:extent cx="172853" cy="181084"/>
                  <wp:effectExtent b="0" l="0" r="0" t="0"/>
                  <wp:docPr id="91"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172853" cy="1810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Grad-CAM)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Visually demonstrates that the system is not a naive black-box classifier, directly addressing lighting, skin-tone, and camera robustness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MUST-HAVE (Core Rubric — Non-Negotiable)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Calibrated Metrics &amp; Bland-Altman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a dedicated evaluation view displaying the </w:t>
            </w:r>
            <w:r w:rsidDel="00000000" w:rsidR="00000000" w:rsidRPr="00000000">
              <w:rPr>
                <w:rFonts w:ascii="Google Sans" w:cs="Google Sans" w:eastAsia="Google Sans" w:hAnsi="Google Sans"/>
                <w:b w:val="1"/>
                <w:bCs w:val="1"/>
                <w:color w:val="1f1f1f"/>
                <w:rtl w:val="0"/>
              </w:rPr>
              <w:t xml:space="preserve">Bland-Altman Plot</w:t>
            </w:r>
            <w:r w:rsidDel="00000000" w:rsidR="00000000" w:rsidRPr="00000000">
              <w:rPr>
                <w:rFonts w:ascii="Google Sans" w:cs="Google Sans" w:eastAsia="Google Sans" w:hAnsi="Google Sans"/>
                <w:color w:val="1f1f1f"/>
                <w:rtl w:val="0"/>
              </w:rPr>
              <w:t xml:space="preserve"> (Bias &amp; 95% LOA), </w:t>
            </w:r>
            <w:r w:rsidDel="00000000" w:rsidR="00000000" w:rsidRPr="00000000">
              <w:rPr>
                <w:rFonts w:ascii="Google Sans" w:cs="Google Sans" w:eastAsia="Google Sans" w:hAnsi="Google Sans"/>
                <w:b w:val="1"/>
                <w:bCs w:val="1"/>
                <w:color w:val="1f1f1f"/>
                <w:rtl w:val="0"/>
              </w:rPr>
              <w:t xml:space="preserve">MAE &amp; RMSE in </w:t>
            </w:r>
            <w:r w:rsidDel="00000000" w:rsidR="00000000" w:rsidRPr="00000000">
              <w:rPr>
                <w:rFonts w:ascii="Google Sans" w:cs="Google Sans" w:eastAsia="Google Sans" w:hAnsi="Google Sans"/>
                <w:b w:val="1"/>
                <w:bCs w:val="1"/>
                <w:color w:val="1f1f1f"/>
              </w:rPr>
              <w:drawing>
                <wp:inline distB="19050" distT="19050" distL="19050" distR="19050">
                  <wp:extent cx="433855" cy="196463"/>
                  <wp:effectExtent b="0" l="0" r="0" t="0"/>
                  <wp:docPr id="93"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Calibration Reliability Curve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Stratified Accuracy by Skin-Tone (ITA) &amp; Dataset (Ghana vs. India vs. Italy)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Differentiates a rigorous clinical engineering submission from baseline projects that report only uncalibrated accuracy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MUST-HAVE (Core Rubric — Non-Negotiable)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WHO-Driven CHW Referral Workflow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Upgrade pdf_report.py and the result screen into a 3-tier </w:t>
            </w:r>
            <w:r w:rsidDel="00000000" w:rsidR="00000000" w:rsidRPr="00000000">
              <w:rPr>
                <w:rFonts w:ascii="Google Sans" w:cs="Google Sans" w:eastAsia="Google Sans" w:hAnsi="Google Sans"/>
                <w:b w:val="1"/>
                <w:bCs w:val="1"/>
                <w:color w:val="1f1f1f"/>
                <w:rtl w:val="0"/>
              </w:rPr>
              <w:t xml:space="preserve">Green / Yellow / Red CHW Triage Card</w:t>
            </w:r>
            <w:r w:rsidDel="00000000" w:rsidR="00000000" w:rsidRPr="00000000">
              <w:rPr>
                <w:rFonts w:ascii="Google Sans" w:cs="Google Sans" w:eastAsia="Google Sans" w:hAnsi="Google Sans"/>
                <w:color w:val="1f1f1f"/>
                <w:rtl w:val="0"/>
              </w:rPr>
              <w:t xml:space="preserve"> incorporating age and sex WHO </w:t>
            </w:r>
            <w:r w:rsidDel="00000000" w:rsidR="00000000" w:rsidRPr="00000000">
              <w:rPr>
                <w:rFonts w:ascii="Google Sans" w:cs="Google Sans" w:eastAsia="Google Sans" w:hAnsi="Google Sans"/>
                <w:color w:val="1f1f1f"/>
              </w:rPr>
              <w:drawing>
                <wp:inline distB="19050" distT="19050" distL="19050" distR="19050">
                  <wp:extent cx="262660" cy="196995"/>
                  <wp:effectExtent b="0" l="0" r="0" t="0"/>
                  <wp:docPr id="9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2660" cy="196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cutoffs, a referral status tracker in SQLite, and one-click PDF Referral Slip export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Completes the end-to-end clinical workflow for frontline community health workers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GOOD-TO-HAVE (High-Impact Polish — Hours 18–22)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Dual-Modality Late Fusion (Eye + Nail Combined)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 the CHW to optionally capture both a conjunctiva photograph and a fingernail photograph for the same patient, combining their calibrated probabilities and </w:t>
            </w:r>
            <w:r w:rsidDel="00000000" w:rsidR="00000000" w:rsidRPr="00000000">
              <w:rPr>
                <w:rFonts w:ascii="Google Sans" w:cs="Google Sans" w:eastAsia="Google Sans" w:hAnsi="Google Sans"/>
                <w:color w:val="1f1f1f"/>
              </w:rPr>
              <w:drawing>
                <wp:inline distB="19050" distT="19050" distL="19050" distR="19050">
                  <wp:extent cx="231917" cy="182220"/>
                  <wp:effectExtent b="0" l="0" r="0" t="0"/>
                  <wp:docPr id="97"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31917" cy="182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estimates as validated in BPANet and NeoJaundice-AI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Multi-site fusion reduces single-image optical variance and leverages both anatomical modalities simultaneously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GOOD-TO-HAVE (High-Impact Polish — Hours 18–22)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High-Sensitivity Screening Toggle (0.255 Cutoff)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a UI toggle allowing the CHW to switch between </w:t>
            </w:r>
            <w:r w:rsidDel="00000000" w:rsidR="00000000" w:rsidRPr="00000000">
              <w:rPr>
                <w:rFonts w:ascii="Google Sans" w:cs="Google Sans" w:eastAsia="Google Sans" w:hAnsi="Google Sans"/>
                <w:b w:val="1"/>
                <w:bCs w:val="1"/>
                <w:color w:val="1f1f1f"/>
                <w:rtl w:val="0"/>
              </w:rPr>
              <w:t xml:space="preserve">Balanced Mode (96% Recall)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100% Recall Screening Mode (Threshold = 0.255)</w:t>
            </w:r>
            <w:r w:rsidDel="00000000" w:rsidR="00000000" w:rsidRPr="00000000">
              <w:rPr>
                <w:rFonts w:ascii="Google Sans" w:cs="Google Sans" w:eastAsia="Google Sans" w:hAnsi="Google Sans"/>
                <w:color w:val="1f1f1f"/>
                <w:rtl w:val="0"/>
              </w:rPr>
              <w:t xml:space="preserve"> derived from JetX-GT/nail-anemia-detector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Highlights a nuanced understanding of clinical screening sensitivity versus specificity trade-offs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GOOD-TO-HAVE (High-Impact Polish — Hours 18–22)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Duplicate-Leakage Audit Verification Badge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the duplicate-leakage audit and patient-level split verification from Pai-88/pallor-hb and JetX-GT and display a verification summary on the analytics dashboard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Preempts critiques regarding augmented image leakage across train and test splits in public medical datasets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GOOD-TO-HAVE (High-Impact Polish — Hours 18–22)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Offline Progressive Web App (PWA) Wrapper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a lightweight manifest.json and service worker to the Flask static/ folder in RAHULPATEL2002 so the web app installs natively onto a mobile home screen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Aligns with rural field realities where community health workers face intermittent connectivity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SKIP ENTIRELY (Time Traps — Do Not Touch)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Native Android/iOS App Development (Flutter/React 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SKIP:</w:t>
            </w:r>
            <w:r w:rsidDel="00000000" w:rsidR="00000000" w:rsidRPr="00000000">
              <w:rPr>
                <w:rFonts w:ascii="Google Sans" w:cs="Google Sans" w:eastAsia="Google Sans" w:hAnsi="Google Sans"/>
                <w:color w:val="1f1f1f"/>
                <w:rtl w:val="0"/>
              </w:rPr>
              <w:t xml:space="preserve"> Do not build a separate native mobile client from scratch. RAHULPATEL2002/anemia-detection already provides a mobile-first web UI with rear-camera capture preference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native camera wrappers in 24 hours frequently causes build and CORS failures; a mobile-responsive web application fully satisfies the prompt ("in a web or mobile app")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SKIP ENTIRELY (Time Traps — Do Not Touch)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Training U-Net / Mask R-CNN Segmentation from Scratch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SKIP:</w:t>
            </w:r>
            <w:r w:rsidDel="00000000" w:rsidR="00000000" w:rsidRPr="00000000">
              <w:rPr>
                <w:rFonts w:ascii="Google Sans" w:cs="Google Sans" w:eastAsia="Google Sans" w:hAnsi="Google Sans"/>
                <w:color w:val="1f1f1f"/>
                <w:rtl w:val="0"/>
              </w:rPr>
              <w:t xml:space="preserve"> Do not spend hours training heavy semantic segmentation networks (U-Net++ paired with EfficientNet reached only 81.3% accuracy in prior studies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Use the pre-segmented palpebral masks in CP-AnemiC and Eyes-Defy-Anemia for model training, and rely on an on-screen alignment guide plus thresholding/cropping for live uploads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segmentation models double inference latency and frequently fail on out-of-distribution backgrounds during live demonstrations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SKIP ENTIRELY (Time Traps — Do Not Touch)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Aggressive Post-Training Quantization (INT4)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SKIP:</w:t>
            </w:r>
            <w:r w:rsidDel="00000000" w:rsidR="00000000" w:rsidRPr="00000000">
              <w:rPr>
                <w:rFonts w:ascii="Google Sans" w:cs="Google Sans" w:eastAsia="Google Sans" w:hAnsi="Google Sans"/>
                <w:color w:val="1f1f1f"/>
                <w:rtl w:val="0"/>
              </w:rPr>
              <w:t xml:space="preserve"> Do not quantize neural network weights to INT4. Empirical benchmarks on CP-AnemiC prove that INT4 quantization causes catastrophic model collapse, dropping accuracy to </w:t>
            </w:r>
            <w:r w:rsidDel="00000000" w:rsidR="00000000" w:rsidRPr="00000000">
              <w:rPr>
                <w:rFonts w:ascii="Google Sans" w:cs="Google Sans" w:eastAsia="Google Sans" w:hAnsi="Google Sans"/>
                <w:b w:val="1"/>
                <w:bCs w:val="1"/>
                <w:color w:val="1f1f1f"/>
                <w:rtl w:val="0"/>
              </w:rPr>
              <w:t xml:space="preserve">43.13%</w:t>
            </w:r>
            <w:r w:rsidDel="00000000" w:rsidR="00000000" w:rsidRPr="00000000">
              <w:rPr>
                <w:rFonts w:ascii="Google Sans" w:cs="Google Sans" w:eastAsia="Google Sans" w:hAnsi="Google Sans"/>
                <w:color w:val="1f1f1f"/>
                <w:rtl w:val="0"/>
              </w:rPr>
              <w:t xml:space="preserve">, precision to </w:t>
            </w:r>
            <w:r w:rsidDel="00000000" w:rsidR="00000000" w:rsidRPr="00000000">
              <w:rPr>
                <w:rFonts w:ascii="Google Sans" w:cs="Google Sans" w:eastAsia="Google Sans" w:hAnsi="Google Sans"/>
                <w:b w:val="1"/>
                <w:bCs w:val="1"/>
                <w:color w:val="1f1f1f"/>
                <w:rtl w:val="0"/>
              </w:rPr>
              <w:t xml:space="preserve">20.00%</w:t>
            </w:r>
            <w:r w:rsidDel="00000000" w:rsidR="00000000" w:rsidRPr="00000000">
              <w:rPr>
                <w:rFonts w:ascii="Google Sans" w:cs="Google Sans" w:eastAsia="Google Sans" w:hAnsi="Google Sans"/>
                <w:color w:val="1f1f1f"/>
                <w:rtl w:val="0"/>
              </w:rPr>
              <w:t xml:space="preserve">, and recall to </w:t>
            </w:r>
            <w:r w:rsidDel="00000000" w:rsidR="00000000" w:rsidRPr="00000000">
              <w:rPr>
                <w:rFonts w:ascii="Google Sans" w:cs="Google Sans" w:eastAsia="Google Sans" w:hAnsi="Google Sans"/>
                <w:b w:val="1"/>
                <w:bCs w:val="1"/>
                <w:color w:val="1f1f1f"/>
                <w:rtl w:val="0"/>
              </w:rPr>
              <w:t xml:space="preserve">1.00%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Subtle hemoglobin-driven pallor gradients require floating-point (FP32/FP16) or at minimum INT8 precision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SKIP ENTIRELY (Time Traps — Do Not Touch)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Generative Adversarial Networks (GANs / Diffusion) for Augmentation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SKIP:</w:t>
            </w:r>
            <w:r w:rsidDel="00000000" w:rsidR="00000000" w:rsidRPr="00000000">
              <w:rPr>
                <w:rFonts w:ascii="Google Sans" w:cs="Google Sans" w:eastAsia="Google Sans" w:hAnsi="Google Sans"/>
                <w:color w:val="1f1f1f"/>
                <w:rtl w:val="0"/>
              </w:rPr>
              <w:t xml:space="preserve"> Although academic studies have experimented with cDCGAN, StyleGAN2-ADA, and Latent Diffusion Models on Eyes-Defy-Anemia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training generative models during a hackathon consumes excessive GPU time and risks introducing synthetic color distortions.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geometric transforms combined with TrivialAugmentWide and Mixup already achieve 94–97% validation accuracy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SKIP ENTIRELY (Time Traps — Do Not Touch)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Vercel Serverless Python Deployment for Inference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SKIP:</w:t>
            </w:r>
            <w:r w:rsidDel="00000000" w:rsidR="00000000" w:rsidRPr="00000000">
              <w:rPr>
                <w:rFonts w:ascii="Google Sans" w:cs="Google Sans" w:eastAsia="Google Sans" w:hAnsi="Google Sans"/>
                <w:color w:val="1f1f1f"/>
                <w:rtl w:val="0"/>
              </w:rPr>
              <w:t xml:space="preserve"> As explicitly documented in RAHULPATEL2002/anemia-detection, Vercel serverless Python functions are size- and request-body limited and cannot host PyTorch alongside trained model checkpoints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Deploy via Docker on Render, Hugging Face Spaces, or a local GPU server tunneled via ngrok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last-minute deployment crashes caused by serverless memory and slug-size limits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 Execution Roadmap</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this blueprint efficiently within 24 hours, the engineering team should divide responsibilities across three parallel workstreams immediately after cloning RAHULPATEL2002/anemia-detection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During the first eight hours, the data and optical normalization workstream should download CP-AnemiC V2 (5.06 MB from Mendeley)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EYES-DEFY-ANEMIA (from Kaggle)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and the Ghana Fingernails dataset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enforce a strict patient-level 70%/10%/20% train/validation/test split audited for duplicate leakage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and implement normalization.py encompassing Grey-World White Balance, specular glare removal, HSV+CLAHE, and CIE </w:t>
      </w:r>
      <w:r w:rsidDel="00000000" w:rsidR="00000000" w:rsidRPr="00000000">
        <w:rPr>
          <w:rFonts w:ascii="Google Sans" w:cs="Google Sans" w:eastAsia="Google Sans" w:hAnsi="Google Sans"/>
          <w:color w:val="1f1f1f"/>
        </w:rPr>
        <w:drawing>
          <wp:inline distB="19050" distT="19050" distL="19050" distR="19050">
            <wp:extent cx="556192" cy="199233"/>
            <wp:effectExtent b="0" l="0" r="0" t="0"/>
            <wp:docPr id="9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56192" cy="199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Individual Typology Angle (</w:t>
      </w:r>
      <w:r w:rsidDel="00000000" w:rsidR="00000000" w:rsidRPr="00000000">
        <w:rPr>
          <w:rFonts w:ascii="Google Sans" w:cs="Google Sans" w:eastAsia="Google Sans" w:hAnsi="Google Sans"/>
          <w:color w:val="1f1f1f"/>
        </w:rPr>
        <w:drawing>
          <wp:inline distB="19050" distT="19050" distL="19050" distR="19050">
            <wp:extent cx="437427" cy="198080"/>
            <wp:effectExtent b="0" l="0" r="0" t="0"/>
            <wp:docPr id="10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37427" cy="198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between hours 4 and 16, the modeling and calibration workstream should extract the 27 camera-invariant colorimetric ratios (</w:t>
      </w:r>
      <w:r w:rsidDel="00000000" w:rsidR="00000000" w:rsidRPr="00000000">
        <w:rPr>
          <w:rFonts w:ascii="Google Sans" w:cs="Google Sans" w:eastAsia="Google Sans" w:hAnsi="Google Sans"/>
          <w:color w:val="1f1f1f"/>
        </w:rPr>
        <w:drawing>
          <wp:inline distB="19050" distT="19050" distL="19050" distR="19050">
            <wp:extent cx="402091" cy="196943"/>
            <wp:effectExtent b="0" l="0" r="0" t="0"/>
            <wp:docPr id="1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02091" cy="196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6683" cy="195208"/>
            <wp:effectExtent b="0" l="0" r="0" t="0"/>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6683" cy="195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7334" cy="199607"/>
            <wp:effectExtent b="0" l="0" r="0" t="0"/>
            <wp:docPr id="21"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07334" cy="199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pallor indices)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and fuse them with the penultimate representation of EfficientNet-B3 inside model.py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track will train the dual classification and continuous </w:t>
      </w:r>
      <w:r w:rsidDel="00000000" w:rsidR="00000000" w:rsidRPr="00000000">
        <w:rPr>
          <w:rFonts w:ascii="Google Sans" w:cs="Google Sans" w:eastAsia="Google Sans" w:hAnsi="Google Sans"/>
          <w:color w:val="1f1f1f"/>
        </w:rPr>
        <w:drawing>
          <wp:inline distB="19050" distT="19050" distL="19050" distR="19050">
            <wp:extent cx="262660" cy="196995"/>
            <wp:effectExtent b="0" l="0" r="0" t="0"/>
            <wp:docPr id="1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2660" cy="196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33855" cy="196463"/>
            <wp:effectExtent b="0" l="0" r="0" t="0"/>
            <wp:docPr id="14"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regression heads under the composite loss </w:t>
      </w:r>
      <w:r w:rsidDel="00000000" w:rsidR="00000000" w:rsidRPr="00000000">
        <w:rPr>
          <w:rFonts w:ascii="Google Sans" w:cs="Google Sans" w:eastAsia="Google Sans" w:hAnsi="Google Sans"/>
          <w:color w:val="1f1f1f"/>
        </w:rPr>
        <w:drawing>
          <wp:inline distB="19050" distT="19050" distL="19050" distR="19050">
            <wp:extent cx="1992211" cy="196762"/>
            <wp:effectExtent b="0" l="0" r="0" t="0"/>
            <wp:docPr id="1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992211" cy="196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accuracy-first early stopping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fit post-hoc probability calibration on the validation set, and generate the Bland-Altman plot (statsmodels.graphics.agreement.mean_diff_plot), calibration reliability curve, normalized confusion matrices at both </w:t>
      </w:r>
      <w:r w:rsidDel="00000000" w:rsidR="00000000" w:rsidRPr="00000000">
        <w:rPr>
          <w:rFonts w:ascii="Google Sans" w:cs="Google Sans" w:eastAsia="Google Sans" w:hAnsi="Google Sans"/>
          <w:color w:val="1f1f1f"/>
        </w:rPr>
        <w:drawing>
          <wp:inline distB="19050" distT="19050" distL="19050" distR="19050">
            <wp:extent cx="348258" cy="194376"/>
            <wp:effectExtent b="0" l="0" r="0" t="0"/>
            <wp:docPr id="16"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348258" cy="194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46229" cy="198324"/>
            <wp:effectExtent b="0" l="0" r="0" t="0"/>
            <wp:docPr id="15"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446229" cy="198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thresholds, and ITA skin-tone subgroup tables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between hours 8 and 24, the clinical application workstream should update the Jinja2 and Vanilla JavaScript frontend (templates/ and static/ in RAHULPATEL2002) to render a three-stage visual pipeline inspection panel showing the raw upload, the glare-corrected and CLAHE-normalized ROI alongside its computed Skin-Tone ITA badge, and the interactive Grad-CAM vascular focus slider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wiring the continuous </w:t>
      </w:r>
      <w:r w:rsidDel="00000000" w:rsidR="00000000" w:rsidRPr="00000000">
        <w:rPr>
          <w:rFonts w:ascii="Google Sans" w:cs="Google Sans" w:eastAsia="Google Sans" w:hAnsi="Google Sans"/>
          <w:color w:val="1f1f1f"/>
        </w:rPr>
        <w:drawing>
          <wp:inline distB="19050" distT="19050" distL="19050" distR="19050">
            <wp:extent cx="962111" cy="197356"/>
            <wp:effectExtent b="0" l="0" r="0" t="0"/>
            <wp:docPr id="12"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962111" cy="1973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33855" cy="196463"/>
            <wp:effectExtent b="0" l="0" r="0" t="0"/>
            <wp:docPr id="11"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33855" cy="19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estimate and patient demographic inputs into the three-tier WHO referral engine and updating pdf_report.py to export a standardized CHW referral ticket, the team will deliver a cohesive, scientifically rigorous, and field-ready clinical screening 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anaemia · GitHub Topics, </w:t>
      </w:r>
      <w:hyperlink r:id="rId67">
        <w:r w:rsidDel="00000000" w:rsidR="00000000" w:rsidRPr="00000000">
          <w:rPr>
            <w:rFonts w:ascii="Google Sans" w:cs="Google Sans" w:eastAsia="Google Sans" w:hAnsi="Google Sans"/>
            <w:color w:val="0000ee"/>
            <w:sz w:val="24"/>
            <w:szCs w:val="24"/>
            <w:u w:val="single"/>
            <w:rtl w:val="0"/>
          </w:rPr>
          <w:t xml:space="preserve">https://github.com/topics/anaemia</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Vivisteria11/Anemia-detection-Model - GitHub, </w:t>
      </w:r>
      <w:hyperlink r:id="rId68">
        <w:r w:rsidDel="00000000" w:rsidR="00000000" w:rsidRPr="00000000">
          <w:rPr>
            <w:rFonts w:ascii="Google Sans" w:cs="Google Sans" w:eastAsia="Google Sans" w:hAnsi="Google Sans"/>
            <w:color w:val="0000ee"/>
            <w:sz w:val="24"/>
            <w:szCs w:val="24"/>
            <w:u w:val="single"/>
            <w:rtl w:val="0"/>
          </w:rPr>
          <w:t xml:space="preserve">https://github.com/Vivisteria11/Anemia-detection-Model</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TatianaUshakova/Anemia_detection: Anemia detection using deep, </w:t>
      </w:r>
      <w:hyperlink r:id="rId69">
        <w:r w:rsidDel="00000000" w:rsidR="00000000" w:rsidRPr="00000000">
          <w:rPr>
            <w:rFonts w:ascii="Google Sans" w:cs="Google Sans" w:eastAsia="Google Sans" w:hAnsi="Google Sans"/>
            <w:color w:val="0000ee"/>
            <w:sz w:val="24"/>
            <w:szCs w:val="24"/>
            <w:u w:val="single"/>
            <w:rtl w:val="0"/>
          </w:rPr>
          <w:t xml:space="preserve">https://github.com/TatianaUshakova/Anemia_detection</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anemia detection system using deep learning ... - GitHub, </w:t>
      </w:r>
      <w:hyperlink r:id="rId70">
        <w:r w:rsidDel="00000000" w:rsidR="00000000" w:rsidRPr="00000000">
          <w:rPr>
            <w:rFonts w:ascii="Google Sans" w:cs="Google Sans" w:eastAsia="Google Sans" w:hAnsi="Google Sans"/>
            <w:color w:val="0000ee"/>
            <w:sz w:val="24"/>
            <w:szCs w:val="24"/>
            <w:u w:val="single"/>
            <w:rtl w:val="0"/>
          </w:rPr>
          <w:t xml:space="preserve">https://github.com/RAHULPATEL2002/anemia-detection</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JetX-GT/nail-anemia-detector - Hugging Face, </w:t>
      </w:r>
      <w:hyperlink r:id="rId71">
        <w:r w:rsidDel="00000000" w:rsidR="00000000" w:rsidRPr="00000000">
          <w:rPr>
            <w:rFonts w:ascii="Google Sans" w:cs="Google Sans" w:eastAsia="Google Sans" w:hAnsi="Google Sans"/>
            <w:color w:val="0000ee"/>
            <w:sz w:val="24"/>
            <w:szCs w:val="24"/>
            <w:u w:val="single"/>
            <w:rtl w:val="0"/>
          </w:rPr>
          <w:t xml:space="preserve">https://huggingface.co/JetX-GT/nail-anemia-detector</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Learning Approach For Hemoglobin Estimation From, </w:t>
      </w:r>
      <w:hyperlink r:id="rId72">
        <w:r w:rsidDel="00000000" w:rsidR="00000000" w:rsidRPr="00000000">
          <w:rPr>
            <w:rFonts w:ascii="Google Sans" w:cs="Google Sans" w:eastAsia="Google Sans" w:hAnsi="Google Sans"/>
            <w:color w:val="0000ee"/>
            <w:sz w:val="24"/>
            <w:szCs w:val="24"/>
            <w:u w:val="single"/>
            <w:rtl w:val="0"/>
          </w:rPr>
          <w:t xml:space="preserve">https://www.ijert.org/research/a-deep-learning-approach-for-hemoglobin-estimation-from-fingernail-images-using-efficientnet-IJERTV15IS041973.pdf</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AnemiaVision: Non-Invasive Anemia Detection via ... - arXiv, </w:t>
      </w:r>
      <w:hyperlink r:id="rId73">
        <w:r w:rsidDel="00000000" w:rsidR="00000000" w:rsidRPr="00000000">
          <w:rPr>
            <w:rFonts w:ascii="Google Sans" w:cs="Google Sans" w:eastAsia="Google Sans" w:hAnsi="Google Sans"/>
            <w:color w:val="0000ee"/>
            <w:sz w:val="24"/>
            <w:szCs w:val="24"/>
            <w:u w:val="single"/>
            <w:rtl w:val="0"/>
          </w:rPr>
          <w:t xml:space="preserve">https://arxiv.org/html/2604.22964v1</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aymen-000/AIQuest_DATATHON: This project was ... - GitHub, </w:t>
      </w:r>
      <w:hyperlink r:id="rId74">
        <w:r w:rsidDel="00000000" w:rsidR="00000000" w:rsidRPr="00000000">
          <w:rPr>
            <w:rFonts w:ascii="Google Sans" w:cs="Google Sans" w:eastAsia="Google Sans" w:hAnsi="Google Sans"/>
            <w:color w:val="0000ee"/>
            <w:sz w:val="24"/>
            <w:szCs w:val="24"/>
            <w:u w:val="single"/>
            <w:rtl w:val="0"/>
          </w:rPr>
          <w:t xml:space="preserve">https://github.com/aymen-000/AIQuest_DATATHON</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turna1/Computer-Vision, </w:t>
      </w:r>
      <w:hyperlink r:id="rId75">
        <w:r w:rsidDel="00000000" w:rsidR="00000000" w:rsidRPr="00000000">
          <w:rPr>
            <w:rFonts w:ascii="Google Sans" w:cs="Google Sans" w:eastAsia="Google Sans" w:hAnsi="Google Sans"/>
            <w:color w:val="0000ee"/>
            <w:sz w:val="24"/>
            <w:szCs w:val="24"/>
            <w:u w:val="single"/>
            <w:rtl w:val="0"/>
          </w:rPr>
          <w:t xml:space="preserve">https://github.com/turna1/Computer-Vision</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AnemiaVision: Non-Invasive Anemia Detection via Smartphone, </w:t>
      </w:r>
      <w:hyperlink r:id="rId76">
        <w:r w:rsidDel="00000000" w:rsidR="00000000" w:rsidRPr="00000000">
          <w:rPr>
            <w:rFonts w:ascii="Google Sans" w:cs="Google Sans" w:eastAsia="Google Sans" w:hAnsi="Google Sans"/>
            <w:color w:val="0000ee"/>
            <w:sz w:val="24"/>
            <w:szCs w:val="24"/>
            <w:u w:val="single"/>
            <w:rtl w:val="0"/>
          </w:rPr>
          <w:t xml:space="preserve">https://arxiv.org/pdf/2604.22964</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AnemiaVision: Non-Invasive Anemia Detection via Smartphone, </w:t>
      </w:r>
      <w:hyperlink r:id="rId77">
        <w:r w:rsidDel="00000000" w:rsidR="00000000" w:rsidRPr="00000000">
          <w:rPr>
            <w:rFonts w:ascii="Google Sans" w:cs="Google Sans" w:eastAsia="Google Sans" w:hAnsi="Google Sans"/>
            <w:color w:val="0000ee"/>
            <w:sz w:val="24"/>
            <w:szCs w:val="24"/>
            <w:u w:val="single"/>
            <w:rtl w:val="0"/>
          </w:rPr>
          <w:t xml:space="preserve">https://www.researchgate.net/publication/404248060_AnemiaVision_Non-Invasive_Anemia_Detection_via_Smartphone_Imagery_Using_EfficientNet-B3_with_TrivialAugmentWide_Mixup_Augmentation_and_Persistent_Patient_History_Management</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NeoJaundice-AI: Smartphone-Based Neonatal Jaundice Detection, </w:t>
      </w:r>
      <w:hyperlink r:id="rId78">
        <w:r w:rsidDel="00000000" w:rsidR="00000000" w:rsidRPr="00000000">
          <w:rPr>
            <w:rFonts w:ascii="Google Sans" w:cs="Google Sans" w:eastAsia="Google Sans" w:hAnsi="Google Sans"/>
            <w:color w:val="0000ee"/>
            <w:sz w:val="24"/>
            <w:szCs w:val="24"/>
            <w:u w:val="single"/>
            <w:rtl w:val="0"/>
          </w:rPr>
          <w:t xml:space="preserve">https://arxiv.org/pdf/2606.20689</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NeoJaundice-AI: Smartphone-Based Neonatal Jaundice Detection, </w:t>
      </w:r>
      <w:hyperlink r:id="rId79">
        <w:r w:rsidDel="00000000" w:rsidR="00000000" w:rsidRPr="00000000">
          <w:rPr>
            <w:rFonts w:ascii="Google Sans" w:cs="Google Sans" w:eastAsia="Google Sans" w:hAnsi="Google Sans"/>
            <w:color w:val="0000ee"/>
            <w:sz w:val="24"/>
            <w:szCs w:val="24"/>
            <w:u w:val="single"/>
            <w:rtl w:val="0"/>
          </w:rPr>
          <w:t xml:space="preserve">https://arxiv.org/html/2606.20689v1</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Model-Based Detection of Anemia from Conjunctiva, </w:t>
      </w:r>
      <w:hyperlink r:id="rId80">
        <w:r w:rsidDel="00000000" w:rsidR="00000000" w:rsidRPr="00000000">
          <w:rPr>
            <w:rFonts w:ascii="Google Sans" w:cs="Google Sans" w:eastAsia="Google Sans" w:hAnsi="Google Sans"/>
            <w:color w:val="0000ee"/>
            <w:sz w:val="24"/>
            <w:szCs w:val="24"/>
            <w:u w:val="single"/>
            <w:rtl w:val="0"/>
          </w:rPr>
          <w:t xml:space="preserve">http://www.e-hir.org/journal/view.php?number=1237</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Anemia Detection Dataset - Kaggle, </w:t>
      </w:r>
      <w:hyperlink r:id="rId81">
        <w:r w:rsidDel="00000000" w:rsidR="00000000" w:rsidRPr="00000000">
          <w:rPr>
            <w:rFonts w:ascii="Google Sans" w:cs="Google Sans" w:eastAsia="Google Sans" w:hAnsi="Google Sans"/>
            <w:color w:val="0000ee"/>
            <w:sz w:val="24"/>
            <w:szCs w:val="24"/>
            <w:u w:val="single"/>
            <w:rtl w:val="0"/>
          </w:rPr>
          <w:t xml:space="preserve">https://www.kaggle.com/datasets/shahriar26s/anemia-detection-dataset</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Learning Approach For Hemoglobin Estimation From, </w:t>
      </w:r>
      <w:hyperlink r:id="rId82">
        <w:r w:rsidDel="00000000" w:rsidR="00000000" w:rsidRPr="00000000">
          <w:rPr>
            <w:rFonts w:ascii="Google Sans" w:cs="Google Sans" w:eastAsia="Google Sans" w:hAnsi="Google Sans"/>
            <w:color w:val="0000ee"/>
            <w:sz w:val="24"/>
            <w:szCs w:val="24"/>
            <w:u w:val="single"/>
            <w:rtl w:val="0"/>
          </w:rPr>
          <w:t xml:space="preserve">https://www.ijert.org/a-deep-learning-approach-for-hemoglobin-estimation-from-fingernail-images-using-efficientnet-ijertv15is041973</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INTRODUCTION 3- METHODS 4- RESULTS 2 - Vitalism, </w:t>
      </w:r>
      <w:hyperlink r:id="rId83">
        <w:r w:rsidDel="00000000" w:rsidR="00000000" w:rsidRPr="00000000">
          <w:rPr>
            <w:rFonts w:ascii="Google Sans" w:cs="Google Sans" w:eastAsia="Google Sans" w:hAnsi="Google Sans"/>
            <w:color w:val="0000ee"/>
            <w:sz w:val="24"/>
            <w:szCs w:val="24"/>
            <w:u w:val="single"/>
            <w:rtl w:val="0"/>
          </w:rPr>
          <w:t xml:space="preserve">https://vitalismsolution.github.io/Futurework/Vitalism%20Hemoglobin%20Poster.pdf</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Detection of anemia using conjunctiva images: A smartphone, </w:t>
      </w:r>
      <w:hyperlink r:id="rId84">
        <w:r w:rsidDel="00000000" w:rsidR="00000000" w:rsidRPr="00000000">
          <w:rPr>
            <w:rFonts w:ascii="Google Sans" w:cs="Google Sans" w:eastAsia="Google Sans" w:hAnsi="Google Sans"/>
            <w:color w:val="0000ee"/>
            <w:sz w:val="24"/>
            <w:szCs w:val="24"/>
            <w:u w:val="single"/>
            <w:rtl w:val="0"/>
          </w:rPr>
          <w:t xml:space="preserve">https://www.researchgate.net/publication/370587683_Detection_of_anemia_using_conjunctiva_images_A_smartphone_application_approach</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Processing to Quantitate Hemoglobin Level for Diagnostic, </w:t>
      </w:r>
      <w:hyperlink r:id="rId85">
        <w:r w:rsidDel="00000000" w:rsidR="00000000" w:rsidRPr="00000000">
          <w:rPr>
            <w:rFonts w:ascii="Google Sans" w:cs="Google Sans" w:eastAsia="Google Sans" w:hAnsi="Google Sans"/>
            <w:color w:val="0000ee"/>
            <w:sz w:val="24"/>
            <w:szCs w:val="24"/>
            <w:u w:val="single"/>
            <w:rtl w:val="0"/>
          </w:rPr>
          <w:t xml:space="preserve">https://helixscientific.pub/index.php/home/article/download/88/90/324</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on Eyes-Defy &amp; CP-AnemiC - ResearchGate, </w:t>
      </w:r>
      <w:hyperlink r:id="rId86">
        <w:r w:rsidDel="00000000" w:rsidR="00000000" w:rsidRPr="00000000">
          <w:rPr>
            <w:rFonts w:ascii="Google Sans" w:cs="Google Sans" w:eastAsia="Google Sans" w:hAnsi="Google Sans"/>
            <w:color w:val="0000ee"/>
            <w:sz w:val="24"/>
            <w:szCs w:val="24"/>
            <w:u w:val="single"/>
            <w:rtl w:val="0"/>
          </w:rPr>
          <w:t xml:space="preserve">https://www.researchgate.net/publication/406970002_Conjunctiva_Image_Analysis_for_Anemia_Detection_Evaluation_on_Eyes-Defy_CP-AnemiC</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Anemia Detection Using Convolutional Neural Network Based on, </w:t>
      </w:r>
      <w:hyperlink r:id="rId87">
        <w:r w:rsidDel="00000000" w:rsidR="00000000" w:rsidRPr="00000000">
          <w:rPr>
            <w:rFonts w:ascii="Google Sans" w:cs="Google Sans" w:eastAsia="Google Sans" w:hAnsi="Google Sans"/>
            <w:color w:val="0000ee"/>
            <w:sz w:val="24"/>
            <w:szCs w:val="24"/>
            <w:u w:val="single"/>
            <w:rtl w:val="0"/>
          </w:rPr>
          <w:t xml:space="preserve">https://www.researchgate.net/publication/376286415_Anemia_Detection_Using_Convolutional_Neural_Network_Based_on_Palpebral_Conjunctiva_Images</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anemia detection through multimodal data fusion, </w:t>
      </w:r>
      <w:hyperlink r:id="rId88">
        <w:r w:rsidDel="00000000" w:rsidR="00000000" w:rsidRPr="00000000">
          <w:rPr>
            <w:rFonts w:ascii="Google Sans" w:cs="Google Sans" w:eastAsia="Google Sans" w:hAnsi="Google Sans"/>
            <w:color w:val="0000ee"/>
            <w:sz w:val="24"/>
            <w:szCs w:val="24"/>
            <w:u w:val="single"/>
            <w:rtl w:val="0"/>
          </w:rPr>
          <w:t xml:space="preserve">https://d-nb.info/1356758703/34</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of anemia and estimation of hemoglobin concentration, </w:t>
      </w:r>
      <w:hyperlink r:id="rId89">
        <w:r w:rsidDel="00000000" w:rsidR="00000000" w:rsidRPr="00000000">
          <w:rPr>
            <w:rFonts w:ascii="Google Sans" w:cs="Google Sans" w:eastAsia="Google Sans" w:hAnsi="Google Sans"/>
            <w:color w:val="0000ee"/>
            <w:sz w:val="24"/>
            <w:szCs w:val="24"/>
            <w:u w:val="single"/>
            <w:rtl w:val="0"/>
          </w:rPr>
          <w:t xml:space="preserve">https://pmc.ncbi.nlm.nih.gov/articles/PMC8279386/</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Anemia Detection with Deep Neural Networks - Ovid, </w:t>
      </w:r>
      <w:hyperlink r:id="rId90">
        <w:r w:rsidDel="00000000" w:rsidR="00000000" w:rsidRPr="00000000">
          <w:rPr>
            <w:rFonts w:ascii="Google Sans" w:cs="Google Sans" w:eastAsia="Google Sans" w:hAnsi="Google Sans"/>
            <w:color w:val="0000ee"/>
            <w:sz w:val="24"/>
            <w:szCs w:val="24"/>
            <w:u w:val="single"/>
            <w:rtl w:val="0"/>
          </w:rPr>
          <w:t xml:space="preserve">https://www.ovid.com/journals/ajoh/pdf/10.1002/ajh.70143~advancing-anemia-detection-with-deep-neural-networks-a</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Learning-Based Model for Non-invasive Hemoglobin ... - PMC, </w:t>
      </w:r>
      <w:hyperlink r:id="rId91">
        <w:r w:rsidDel="00000000" w:rsidR="00000000" w:rsidRPr="00000000">
          <w:rPr>
            <w:rFonts w:ascii="Google Sans" w:cs="Google Sans" w:eastAsia="Google Sans" w:hAnsi="Google Sans"/>
            <w:color w:val="0000ee"/>
            <w:sz w:val="24"/>
            <w:szCs w:val="24"/>
            <w:u w:val="single"/>
            <w:rtl w:val="0"/>
          </w:rPr>
          <w:t xml:space="preserve">https://pmc.ncbi.nlm.nih.gov/articles/PMC11950610/</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CP-AnemiC (A Conjunctival Pallor) Dataset from Ghana, </w:t>
      </w:r>
      <w:hyperlink r:id="rId92">
        <w:r w:rsidDel="00000000" w:rsidR="00000000" w:rsidRPr="00000000">
          <w:rPr>
            <w:rFonts w:ascii="Google Sans" w:cs="Google Sans" w:eastAsia="Google Sans" w:hAnsi="Google Sans"/>
            <w:color w:val="0000ee"/>
            <w:sz w:val="24"/>
            <w:szCs w:val="24"/>
            <w:u w:val="single"/>
            <w:rtl w:val="0"/>
          </w:rPr>
          <w:t xml:space="preserve">https://data.mendeley.com/datasets/m53vz6b7fx/2</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EYES-DEFY-ANEMIA - Kaggle, </w:t>
      </w:r>
      <w:hyperlink r:id="rId93">
        <w:r w:rsidDel="00000000" w:rsidR="00000000" w:rsidRPr="00000000">
          <w:rPr>
            <w:rFonts w:ascii="Google Sans" w:cs="Google Sans" w:eastAsia="Google Sans" w:hAnsi="Google Sans"/>
            <w:color w:val="0000ee"/>
            <w:sz w:val="24"/>
            <w:szCs w:val="24"/>
            <w:u w:val="single"/>
            <w:rtl w:val="0"/>
          </w:rPr>
          <w:t xml:space="preserve">https://www.kaggle.com/datasets/harshwardhanfartale/eyes-defy-anemia/suggestions</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of Anemia using Colour of the Fingernails Image Datasets, </w:t>
      </w:r>
      <w:hyperlink r:id="rId94">
        <w:r w:rsidDel="00000000" w:rsidR="00000000" w:rsidRPr="00000000">
          <w:rPr>
            <w:rFonts w:ascii="Google Sans" w:cs="Google Sans" w:eastAsia="Google Sans" w:hAnsi="Google Sans"/>
            <w:color w:val="0000ee"/>
            <w:sz w:val="24"/>
            <w:szCs w:val="24"/>
            <w:u w:val="single"/>
            <w:rtl w:val="0"/>
          </w:rPr>
          <w:t xml:space="preserve">https://data.mendeley.com/datasets/2xx4j3kjg2/1</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CP-AnemiC: A conjunctival pallor dataset and benchmark for, </w:t>
      </w:r>
      <w:hyperlink r:id="rId95">
        <w:r w:rsidDel="00000000" w:rsidR="00000000" w:rsidRPr="00000000">
          <w:rPr>
            <w:rFonts w:ascii="Google Sans" w:cs="Google Sans" w:eastAsia="Google Sans" w:hAnsi="Google Sans"/>
            <w:color w:val="0000ee"/>
            <w:sz w:val="24"/>
            <w:szCs w:val="24"/>
            <w:u w:val="single"/>
            <w:rtl w:val="0"/>
          </w:rPr>
          <w:t xml:space="preserve">https://www.researchgate.net/publication/371260782_CP-AnemiC_A_conjunctival_pallor_dataset_and_benchmark_for_anemia_detection_in_children</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Analisis Performa Metode KNN, Yolov8, Dan Yolov11 Pada, </w:t>
      </w:r>
      <w:hyperlink r:id="rId96">
        <w:r w:rsidDel="00000000" w:rsidR="00000000" w:rsidRPr="00000000">
          <w:rPr>
            <w:rFonts w:ascii="Google Sans" w:cs="Google Sans" w:eastAsia="Google Sans" w:hAnsi="Google Sans"/>
            <w:color w:val="0000ee"/>
            <w:sz w:val="24"/>
            <w:szCs w:val="24"/>
            <w:u w:val="single"/>
            <w:rtl w:val="0"/>
          </w:rPr>
          <w:t xml:space="preserve">https://ejurnal.seminar-id.com/index.php/tin/article/view/8707</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Ensemble Deep Feature Fusion for Noninvasive Anemia, </w:t>
      </w:r>
      <w:hyperlink r:id="rId97">
        <w:r w:rsidDel="00000000" w:rsidR="00000000" w:rsidRPr="00000000">
          <w:rPr>
            <w:rFonts w:ascii="Google Sans" w:cs="Google Sans" w:eastAsia="Google Sans" w:hAnsi="Google Sans"/>
            <w:color w:val="0000ee"/>
            <w:sz w:val="24"/>
            <w:szCs w:val="24"/>
            <w:u w:val="single"/>
            <w:rtl w:val="0"/>
          </w:rPr>
          <w:t xml:space="preserve">https://ieeexplore.ieee.org/document/11200595/</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Analysis of Post-Training Quantization for CNN-based, </w:t>
      </w:r>
      <w:hyperlink r:id="rId98">
        <w:r w:rsidDel="00000000" w:rsidR="00000000" w:rsidRPr="00000000">
          <w:rPr>
            <w:rFonts w:ascii="Google Sans" w:cs="Google Sans" w:eastAsia="Google Sans" w:hAnsi="Google Sans"/>
            <w:color w:val="0000ee"/>
            <w:sz w:val="24"/>
            <w:szCs w:val="24"/>
            <w:u w:val="single"/>
            <w:rtl w:val="0"/>
          </w:rPr>
          <w:t xml:space="preserve">https://arxiv.org/pdf/2507.15151</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Latent Diffusion for Controllable Palpebral Conjunctiva, </w:t>
      </w:r>
      <w:hyperlink r:id="rId99">
        <w:r w:rsidDel="00000000" w:rsidR="00000000" w:rsidRPr="00000000">
          <w:rPr>
            <w:rFonts w:ascii="Google Sans" w:cs="Google Sans" w:eastAsia="Google Sans" w:hAnsi="Google Sans"/>
            <w:color w:val="0000ee"/>
            <w:sz w:val="24"/>
            <w:szCs w:val="24"/>
            <w:u w:val="single"/>
            <w:rtl w:val="0"/>
          </w:rPr>
          <w:t xml:space="preserve">https://www.mdpi.com/2075-4418/16/17/2715</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Non-invasive anemia detection from conjunctiva and sclera images, </w:t>
      </w:r>
      <w:hyperlink r:id="rId100">
        <w:r w:rsidDel="00000000" w:rsidR="00000000" w:rsidRPr="00000000">
          <w:rPr>
            <w:rFonts w:ascii="Google Sans" w:cs="Google Sans" w:eastAsia="Google Sans" w:hAnsi="Google Sans"/>
            <w:color w:val="0000ee"/>
            <w:sz w:val="24"/>
            <w:szCs w:val="24"/>
            <w:u w:val="single"/>
            <w:rtl w:val="0"/>
          </w:rPr>
          <w:t xml:space="preserve">https://pmc.ncbi.nlm.nih.gov/articles/PMC12717107/</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 Tone Estimation under Diverse Lighting Conditions - PMC, </w:t>
      </w:r>
      <w:hyperlink r:id="rId101">
        <w:r w:rsidDel="00000000" w:rsidR="00000000" w:rsidRPr="00000000">
          <w:rPr>
            <w:rFonts w:ascii="Google Sans" w:cs="Google Sans" w:eastAsia="Google Sans" w:hAnsi="Google Sans"/>
            <w:color w:val="0000ee"/>
            <w:sz w:val="24"/>
            <w:szCs w:val="24"/>
            <w:u w:val="single"/>
            <w:rtl w:val="0"/>
          </w:rPr>
          <w:t xml:space="preserve">https://pmc.ncbi.nlm.nih.gov/articles/PMC11122461/</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Bland Altman Analysis: Best Practices, FAQs, and Examples - Innolitics, </w:t>
      </w:r>
      <w:hyperlink r:id="rId102">
        <w:r w:rsidDel="00000000" w:rsidR="00000000" w:rsidRPr="00000000">
          <w:rPr>
            <w:rFonts w:ascii="Google Sans" w:cs="Google Sans" w:eastAsia="Google Sans" w:hAnsi="Google Sans"/>
            <w:color w:val="0000ee"/>
            <w:sz w:val="24"/>
            <w:szCs w:val="24"/>
            <w:u w:val="single"/>
            <w:rtl w:val="0"/>
          </w:rPr>
          <w:t xml:space="preserve">https://innolitics.com/articles/bland-altman-analysis-best-practices-faqs-and-examples/</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rodriguezarthur/EquiTone: Rebalance the skin-tone ... - GitHub, </w:t>
      </w:r>
      <w:hyperlink r:id="rId103">
        <w:r w:rsidDel="00000000" w:rsidR="00000000" w:rsidRPr="00000000">
          <w:rPr>
            <w:rFonts w:ascii="Google Sans" w:cs="Google Sans" w:eastAsia="Google Sans" w:hAnsi="Google Sans"/>
            <w:color w:val="0000ee"/>
            <w:sz w:val="24"/>
            <w:szCs w:val="24"/>
            <w:u w:val="single"/>
            <w:rtl w:val="0"/>
          </w:rPr>
          <w:t xml:space="preserve">https://github.com/rodriguezarthur/EquiTone</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GlowMatch AI: Makeup Recommender Final Year Project, </w:t>
      </w:r>
      <w:hyperlink r:id="rId104">
        <w:r w:rsidDel="00000000" w:rsidR="00000000" w:rsidRPr="00000000">
          <w:rPr>
            <w:rFonts w:ascii="Google Sans" w:cs="Google Sans" w:eastAsia="Google Sans" w:hAnsi="Google Sans"/>
            <w:color w:val="0000ee"/>
            <w:sz w:val="24"/>
            <w:szCs w:val="24"/>
            <w:u w:val="single"/>
            <w:rtl w:val="0"/>
          </w:rPr>
          <w:t xml:space="preserve">https://projects.codeaj.com/projects/glowmatch-ai-makeup-recommendation-system-django-final-year-project/?ref=LLG10</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​conjunctival pallor dataset and benchmark for anemia detection, </w:t>
      </w:r>
      <w:hyperlink r:id="rId105">
        <w:r w:rsidDel="00000000" w:rsidR="00000000" w:rsidRPr="00000000">
          <w:rPr>
            <w:rFonts w:ascii="Google Sans" w:cs="Google Sans" w:eastAsia="Google Sans" w:hAnsi="Google Sans"/>
            <w:color w:val="0000ee"/>
            <w:sz w:val="24"/>
            <w:szCs w:val="24"/>
            <w:u w:val="single"/>
            <w:rtl w:val="0"/>
          </w:rPr>
          <w:t xml:space="preserve">https://opus.lib.uts.edu.au/handle/10453/177704</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Explainable AI and Optimized Multi-Branch Convolutional Neural, </w:t>
      </w:r>
      <w:hyperlink r:id="rId106">
        <w:r w:rsidDel="00000000" w:rsidR="00000000" w:rsidRPr="00000000">
          <w:rPr>
            <w:rFonts w:ascii="Google Sans" w:cs="Google Sans" w:eastAsia="Google Sans" w:hAnsi="Google Sans"/>
            <w:color w:val="0000ee"/>
            <w:sz w:val="24"/>
            <w:szCs w:val="24"/>
            <w:u w:val="single"/>
            <w:rtl w:val="0"/>
          </w:rPr>
          <w:t xml:space="preserve">https://irjaeh.com/index.php/journal/article/view/1965</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Bland-Altman Plot Python: Agreement Analysis for Clinical ... - Plotivy, </w:t>
      </w:r>
      <w:hyperlink r:id="rId107">
        <w:r w:rsidDel="00000000" w:rsidR="00000000" w:rsidRPr="00000000">
          <w:rPr>
            <w:rFonts w:ascii="Google Sans" w:cs="Google Sans" w:eastAsia="Google Sans" w:hAnsi="Google Sans"/>
            <w:color w:val="0000ee"/>
            <w:sz w:val="24"/>
            <w:szCs w:val="24"/>
            <w:u w:val="single"/>
            <w:rtl w:val="0"/>
          </w:rPr>
          <w:t xml:space="preserve">https://plotivy.app/techniques/bland-altman-plot</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Bland-Altman Plot in Python - Statology, </w:t>
      </w:r>
      <w:hyperlink r:id="rId108">
        <w:r w:rsidDel="00000000" w:rsidR="00000000" w:rsidRPr="00000000">
          <w:rPr>
            <w:rFonts w:ascii="Google Sans" w:cs="Google Sans" w:eastAsia="Google Sans" w:hAnsi="Google Sans"/>
            <w:color w:val="0000ee"/>
            <w:sz w:val="24"/>
            <w:szCs w:val="24"/>
            <w:u w:val="single"/>
            <w:rtl w:val="0"/>
          </w:rPr>
          <w:t xml:space="preserve">https://www.statology.org/bland-altman-plot-python/</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statsmodels.graphics.agreement.mean_diff_plot, </w:t>
      </w:r>
      <w:hyperlink r:id="rId109">
        <w:r w:rsidDel="00000000" w:rsidR="00000000" w:rsidRPr="00000000">
          <w:rPr>
            <w:rFonts w:ascii="Google Sans" w:cs="Google Sans" w:eastAsia="Google Sans" w:hAnsi="Google Sans"/>
            <w:color w:val="0000ee"/>
            <w:sz w:val="24"/>
            <w:szCs w:val="24"/>
            <w:u w:val="single"/>
            <w:rtl w:val="0"/>
          </w:rPr>
          <w:t xml:space="preserve">https://www.statsmodels.org/devel/generated/statsmodels.graphics.agreement.mean_diff_plot.html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2.png"/><Relationship Id="rId41" Type="http://schemas.openxmlformats.org/officeDocument/2006/relationships/image" Target="media/image35.png"/><Relationship Id="rId44" Type="http://schemas.openxmlformats.org/officeDocument/2006/relationships/image" Target="media/image42.png"/><Relationship Id="rId43" Type="http://schemas.openxmlformats.org/officeDocument/2006/relationships/image" Target="media/image15.png"/><Relationship Id="rId46" Type="http://schemas.openxmlformats.org/officeDocument/2006/relationships/image" Target="media/image36.png"/><Relationship Id="rId45" Type="http://schemas.openxmlformats.org/officeDocument/2006/relationships/image" Target="media/image38.png"/><Relationship Id="rId107" Type="http://schemas.openxmlformats.org/officeDocument/2006/relationships/hyperlink" Target="https://plotivy.app/techniques/bland-altman-plot" TargetMode="External"/><Relationship Id="rId106" Type="http://schemas.openxmlformats.org/officeDocument/2006/relationships/hyperlink" Target="https://irjaeh.com/index.php/journal/article/view/1965" TargetMode="External"/><Relationship Id="rId105" Type="http://schemas.openxmlformats.org/officeDocument/2006/relationships/hyperlink" Target="https://opus.lib.uts.edu.au/handle/10453/177704" TargetMode="External"/><Relationship Id="rId104" Type="http://schemas.openxmlformats.org/officeDocument/2006/relationships/hyperlink" Target="https://projects.codeaj.com/projects/glowmatch-ai-makeup-recommendation-system-django-final-year-project/?ref=LLG10" TargetMode="External"/><Relationship Id="rId109" Type="http://schemas.openxmlformats.org/officeDocument/2006/relationships/hyperlink" Target="https://www.statsmodels.org/devel/generated/statsmodels.graphics.agreement.mean_diff_plot.html" TargetMode="External"/><Relationship Id="rId108" Type="http://schemas.openxmlformats.org/officeDocument/2006/relationships/hyperlink" Target="https://www.statology.org/bland-altman-plot-python/" TargetMode="External"/><Relationship Id="rId48" Type="http://schemas.openxmlformats.org/officeDocument/2006/relationships/image" Target="media/image28.png"/><Relationship Id="rId47" Type="http://schemas.openxmlformats.org/officeDocument/2006/relationships/image" Target="media/image34.png"/><Relationship Id="rId49" Type="http://schemas.openxmlformats.org/officeDocument/2006/relationships/image" Target="media/image23.png"/><Relationship Id="rId103" Type="http://schemas.openxmlformats.org/officeDocument/2006/relationships/hyperlink" Target="https://github.com/rodriguezarthur/EquiTone" TargetMode="External"/><Relationship Id="rId102" Type="http://schemas.openxmlformats.org/officeDocument/2006/relationships/hyperlink" Target="https://innolitics.com/articles/bland-altman-analysis-best-practices-faqs-and-examples/" TargetMode="External"/><Relationship Id="rId101" Type="http://schemas.openxmlformats.org/officeDocument/2006/relationships/hyperlink" Target="https://pmc.ncbi.nlm.nih.gov/articles/PMC11122461/" TargetMode="External"/><Relationship Id="rId100" Type="http://schemas.openxmlformats.org/officeDocument/2006/relationships/hyperlink" Target="https://pmc.ncbi.nlm.nih.gov/articles/PMC12717107/" TargetMode="External"/><Relationship Id="rId31" Type="http://schemas.openxmlformats.org/officeDocument/2006/relationships/image" Target="media/image21.png"/><Relationship Id="rId30" Type="http://schemas.openxmlformats.org/officeDocument/2006/relationships/image" Target="media/image30.png"/><Relationship Id="rId33" Type="http://schemas.openxmlformats.org/officeDocument/2006/relationships/image" Target="media/image5.png"/><Relationship Id="rId32" Type="http://schemas.openxmlformats.org/officeDocument/2006/relationships/image" Target="media/image22.png"/><Relationship Id="rId35" Type="http://schemas.openxmlformats.org/officeDocument/2006/relationships/image" Target="media/image9.png"/><Relationship Id="rId34" Type="http://schemas.openxmlformats.org/officeDocument/2006/relationships/image" Target="media/image8.png"/><Relationship Id="rId37" Type="http://schemas.openxmlformats.org/officeDocument/2006/relationships/image" Target="media/image17.png"/><Relationship Id="rId36" Type="http://schemas.openxmlformats.org/officeDocument/2006/relationships/image" Target="media/image11.png"/><Relationship Id="rId39" Type="http://schemas.openxmlformats.org/officeDocument/2006/relationships/image" Target="media/image13.png"/><Relationship Id="rId38" Type="http://schemas.openxmlformats.org/officeDocument/2006/relationships/image" Target="media/image4.png"/><Relationship Id="rId20" Type="http://schemas.openxmlformats.org/officeDocument/2006/relationships/image" Target="media/image10.png"/><Relationship Id="rId22" Type="http://schemas.openxmlformats.org/officeDocument/2006/relationships/image" Target="media/image47.png"/><Relationship Id="rId21" Type="http://schemas.openxmlformats.org/officeDocument/2006/relationships/image" Target="media/image56.png"/><Relationship Id="rId24" Type="http://schemas.openxmlformats.org/officeDocument/2006/relationships/image" Target="media/image49.png"/><Relationship Id="rId23" Type="http://schemas.openxmlformats.org/officeDocument/2006/relationships/image" Target="media/image20.png"/><Relationship Id="rId26" Type="http://schemas.openxmlformats.org/officeDocument/2006/relationships/image" Target="media/image6.png"/><Relationship Id="rId25" Type="http://schemas.openxmlformats.org/officeDocument/2006/relationships/image" Target="media/image52.png"/><Relationship Id="rId28" Type="http://schemas.openxmlformats.org/officeDocument/2006/relationships/image" Target="media/image19.png"/><Relationship Id="rId27" Type="http://schemas.openxmlformats.org/officeDocument/2006/relationships/image" Target="media/image18.png"/><Relationship Id="rId29" Type="http://schemas.openxmlformats.org/officeDocument/2006/relationships/image" Target="media/image16.png"/><Relationship Id="rId95" Type="http://schemas.openxmlformats.org/officeDocument/2006/relationships/hyperlink" Target="https://www.researchgate.net/publication/371260782_CP-AnemiC_A_conjunctival_pallor_dataset_and_benchmark_for_anemia_detection_in_children" TargetMode="External"/><Relationship Id="rId94" Type="http://schemas.openxmlformats.org/officeDocument/2006/relationships/hyperlink" Target="https://data.mendeley.com/datasets/2xx4j3kjg2/1" TargetMode="External"/><Relationship Id="rId97" Type="http://schemas.openxmlformats.org/officeDocument/2006/relationships/hyperlink" Target="https://ieeexplore.ieee.org/document/11200595/" TargetMode="External"/><Relationship Id="rId96" Type="http://schemas.openxmlformats.org/officeDocument/2006/relationships/hyperlink" Target="https://ejurnal.seminar-id.com/index.php/tin/article/view/8707" TargetMode="External"/><Relationship Id="rId11" Type="http://schemas.openxmlformats.org/officeDocument/2006/relationships/image" Target="media/image58.png"/><Relationship Id="rId99" Type="http://schemas.openxmlformats.org/officeDocument/2006/relationships/hyperlink" Target="https://www.mdpi.com/2075-4418/16/17/2715" TargetMode="External"/><Relationship Id="rId10" Type="http://schemas.openxmlformats.org/officeDocument/2006/relationships/image" Target="media/image60.png"/><Relationship Id="rId98" Type="http://schemas.openxmlformats.org/officeDocument/2006/relationships/hyperlink" Target="https://arxiv.org/pdf/2507.15151" TargetMode="External"/><Relationship Id="rId13" Type="http://schemas.openxmlformats.org/officeDocument/2006/relationships/image" Target="media/image14.png"/><Relationship Id="rId12" Type="http://schemas.openxmlformats.org/officeDocument/2006/relationships/image" Target="media/image54.png"/><Relationship Id="rId91" Type="http://schemas.openxmlformats.org/officeDocument/2006/relationships/hyperlink" Target="https://pmc.ncbi.nlm.nih.gov/articles/PMC11950610/" TargetMode="External"/><Relationship Id="rId90" Type="http://schemas.openxmlformats.org/officeDocument/2006/relationships/hyperlink" Target="https://www.ovid.com/journals/ajoh/pdf/10.1002/ajh.70143~advancing-anemia-detection-with-deep-neural-networks-a" TargetMode="External"/><Relationship Id="rId93" Type="http://schemas.openxmlformats.org/officeDocument/2006/relationships/hyperlink" Target="https://www.kaggle.com/datasets/harshwardhanfartale/eyes-defy-anemia/suggestions" TargetMode="External"/><Relationship Id="rId92" Type="http://schemas.openxmlformats.org/officeDocument/2006/relationships/hyperlink" Target="https://data.mendeley.com/datasets/m53vz6b7fx/2" TargetMode="External"/><Relationship Id="rId15" Type="http://schemas.openxmlformats.org/officeDocument/2006/relationships/image" Target="media/image59.png"/><Relationship Id="rId14" Type="http://schemas.openxmlformats.org/officeDocument/2006/relationships/image" Target="media/image51.png"/><Relationship Id="rId17" Type="http://schemas.openxmlformats.org/officeDocument/2006/relationships/image" Target="media/image55.png"/><Relationship Id="rId16" Type="http://schemas.openxmlformats.org/officeDocument/2006/relationships/image" Target="media/image57.png"/><Relationship Id="rId19" Type="http://schemas.openxmlformats.org/officeDocument/2006/relationships/image" Target="media/image53.png"/><Relationship Id="rId18" Type="http://schemas.openxmlformats.org/officeDocument/2006/relationships/image" Target="media/image41.png"/><Relationship Id="rId84" Type="http://schemas.openxmlformats.org/officeDocument/2006/relationships/hyperlink" Target="https://www.researchgate.net/publication/370587683_Detection_of_anemia_using_conjunctiva_images_A_smartphone_application_approach" TargetMode="External"/><Relationship Id="rId83" Type="http://schemas.openxmlformats.org/officeDocument/2006/relationships/hyperlink" Target="https://vitalismsolution.github.io/Futurework/Vitalism%20Hemoglobin%20Poster.pdf" TargetMode="External"/><Relationship Id="rId86" Type="http://schemas.openxmlformats.org/officeDocument/2006/relationships/hyperlink" Target="https://www.researchgate.net/publication/406970002_Conjunctiva_Image_Analysis_for_Anemia_Detection_Evaluation_on_Eyes-Defy_CP-AnemiC" TargetMode="External"/><Relationship Id="rId85" Type="http://schemas.openxmlformats.org/officeDocument/2006/relationships/hyperlink" Target="https://helixscientific.pub/index.php/home/article/download/88/90/324" TargetMode="External"/><Relationship Id="rId88" Type="http://schemas.openxmlformats.org/officeDocument/2006/relationships/hyperlink" Target="https://d-nb.info/1356758703/34" TargetMode="External"/><Relationship Id="rId87" Type="http://schemas.openxmlformats.org/officeDocument/2006/relationships/hyperlink" Target="https://www.researchgate.net/publication/376286415_Anemia_Detection_Using_Convolutional_Neural_Network_Based_on_Palpebral_Conjunctiva_Images" TargetMode="External"/><Relationship Id="rId89" Type="http://schemas.openxmlformats.org/officeDocument/2006/relationships/hyperlink" Target="https://pmc.ncbi.nlm.nih.gov/articles/PMC8279386/" TargetMode="External"/><Relationship Id="rId80" Type="http://schemas.openxmlformats.org/officeDocument/2006/relationships/hyperlink" Target="http://www.e-hir.org/journal/view.php?number=1237" TargetMode="External"/><Relationship Id="rId82" Type="http://schemas.openxmlformats.org/officeDocument/2006/relationships/hyperlink" Target="https://www.ijert.org/a-deep-learning-approach-for-hemoglobin-estimation-from-fingernail-images-using-efficientnet-ijertv15is041973" TargetMode="External"/><Relationship Id="rId81" Type="http://schemas.openxmlformats.org/officeDocument/2006/relationships/hyperlink" Target="https://www.kaggle.com/datasets/shahriar26s/anemia-detection-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4.png"/><Relationship Id="rId8" Type="http://schemas.openxmlformats.org/officeDocument/2006/relationships/image" Target="media/image12.png"/><Relationship Id="rId73" Type="http://schemas.openxmlformats.org/officeDocument/2006/relationships/hyperlink" Target="https://arxiv.org/html/2604.22964v1" TargetMode="External"/><Relationship Id="rId72" Type="http://schemas.openxmlformats.org/officeDocument/2006/relationships/hyperlink" Target="https://www.ijert.org/research/a-deep-learning-approach-for-hemoglobin-estimation-from-fingernail-images-using-efficientnet-IJERTV15IS041973.pdf" TargetMode="External"/><Relationship Id="rId75" Type="http://schemas.openxmlformats.org/officeDocument/2006/relationships/hyperlink" Target="https://github.com/turna1/Computer-Vision" TargetMode="External"/><Relationship Id="rId74" Type="http://schemas.openxmlformats.org/officeDocument/2006/relationships/hyperlink" Target="https://github.com/aymen-000/AIQuest_DATATHON" TargetMode="External"/><Relationship Id="rId77" Type="http://schemas.openxmlformats.org/officeDocument/2006/relationships/hyperlink" Target="https://www.researchgate.net/publication/404248060_AnemiaVision_Non-Invasive_Anemia_Detection_via_Smartphone_Imagery_Using_EfficientNet-B3_with_TrivialAugmentWide_Mixup_Augmentation_and_Persistent_Patient_History_Management" TargetMode="External"/><Relationship Id="rId76" Type="http://schemas.openxmlformats.org/officeDocument/2006/relationships/hyperlink" Target="https://arxiv.org/pdf/2604.22964" TargetMode="External"/><Relationship Id="rId79" Type="http://schemas.openxmlformats.org/officeDocument/2006/relationships/hyperlink" Target="https://arxiv.org/html/2606.20689v1" TargetMode="External"/><Relationship Id="rId78" Type="http://schemas.openxmlformats.org/officeDocument/2006/relationships/hyperlink" Target="https://arxiv.org/pdf/2606.20689" TargetMode="External"/><Relationship Id="rId71" Type="http://schemas.openxmlformats.org/officeDocument/2006/relationships/hyperlink" Target="https://huggingface.co/JetX-GT/nail-anemia-detector" TargetMode="External"/><Relationship Id="rId70" Type="http://schemas.openxmlformats.org/officeDocument/2006/relationships/hyperlink" Target="https://github.com/RAHULPATEL2002/anemia-detection" TargetMode="External"/><Relationship Id="rId62" Type="http://schemas.openxmlformats.org/officeDocument/2006/relationships/image" Target="media/image3.png"/><Relationship Id="rId61" Type="http://schemas.openxmlformats.org/officeDocument/2006/relationships/image" Target="media/image61.png"/><Relationship Id="rId64" Type="http://schemas.openxmlformats.org/officeDocument/2006/relationships/image" Target="media/image43.png"/><Relationship Id="rId63" Type="http://schemas.openxmlformats.org/officeDocument/2006/relationships/image" Target="media/image48.png"/><Relationship Id="rId66" Type="http://schemas.openxmlformats.org/officeDocument/2006/relationships/image" Target="media/image37.png"/><Relationship Id="rId65" Type="http://schemas.openxmlformats.org/officeDocument/2006/relationships/image" Target="media/image39.png"/><Relationship Id="rId68" Type="http://schemas.openxmlformats.org/officeDocument/2006/relationships/hyperlink" Target="https://github.com/Vivisteria11/Anemia-detection-Model" TargetMode="External"/><Relationship Id="rId67" Type="http://schemas.openxmlformats.org/officeDocument/2006/relationships/hyperlink" Target="https://github.com/topics/anaemia" TargetMode="External"/><Relationship Id="rId60" Type="http://schemas.openxmlformats.org/officeDocument/2006/relationships/image" Target="media/image50.png"/><Relationship Id="rId69" Type="http://schemas.openxmlformats.org/officeDocument/2006/relationships/hyperlink" Target="https://github.com/TatianaUshakova/Anemia_detection" TargetMode="External"/><Relationship Id="rId51" Type="http://schemas.openxmlformats.org/officeDocument/2006/relationships/image" Target="media/image27.png"/><Relationship Id="rId50" Type="http://schemas.openxmlformats.org/officeDocument/2006/relationships/image" Target="media/image26.png"/><Relationship Id="rId53" Type="http://schemas.openxmlformats.org/officeDocument/2006/relationships/image" Target="media/image32.png"/><Relationship Id="rId52" Type="http://schemas.openxmlformats.org/officeDocument/2006/relationships/image" Target="media/image25.png"/><Relationship Id="rId55" Type="http://schemas.openxmlformats.org/officeDocument/2006/relationships/image" Target="media/image24.png"/><Relationship Id="rId54" Type="http://schemas.openxmlformats.org/officeDocument/2006/relationships/image" Target="media/image31.png"/><Relationship Id="rId57" Type="http://schemas.openxmlformats.org/officeDocument/2006/relationships/image" Target="media/image45.png"/><Relationship Id="rId56" Type="http://schemas.openxmlformats.org/officeDocument/2006/relationships/image" Target="media/image29.png"/><Relationship Id="rId59" Type="http://schemas.openxmlformats.org/officeDocument/2006/relationships/image" Target="media/image46.png"/><Relationship Id="rId5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