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t>PERSON 1</w:t>
      </w:r>
    </w:p>
    <w:p>
      <w:pPr>
        <w:jc w:val="center"/>
      </w:pPr>
      <w:r>
        <w:rPr>
          <w:i/>
          <w:color w:val="595959"/>
          <w:sz w:val="22"/>
        </w:rPr>
        <w:t>Data, Computer Vision &amp; Optical Normalization</w:t>
      </w:r>
    </w:p>
    <w:p>
      <w:r>
        <w:t>24-hour hackathon • Deliverable implementation plan • Source-aligned to Anemia Screening Hackathon Project Guide</w:t>
      </w:r>
    </w:p>
    <w:p>
      <w:r>
        <w:t>Operating principle: fork-and-graft the existing RAHULPATEL2002/anemia-detection Flask application; do not rebuild the full stack from scratch.</w:t>
      </w:r>
    </w:p>
    <w:p>
      <w:pPr>
        <w:pStyle w:val="Heading1"/>
      </w:pPr>
      <w:r>
        <w:t>Mission</w:t>
      </w:r>
    </w:p>
    <w:p>
      <w:r>
        <w:t>Deliver a reproducible, leakage-aware dataset pipeline and a deterministic image-normalization module that reduces lighting and surrounding-skin/camera effects before model inference. Own the data and preprocessing workstream; do not modify the Flask UI or model architecture without agreement.</w:t>
      </w:r>
    </w:p>
    <w:p>
      <w:pPr>
        <w:pStyle w:val="Heading1"/>
      </w:pPr>
      <w:r>
        <w:t>Source-aligned requirements</w:t>
      </w:r>
    </w:p>
    <w:p>
      <w:pPr>
        <w:pStyle w:val="ListBullet"/>
      </w:pPr>
      <w:r>
        <w:t>Use the guide’s recommended datasets: CP-AnemiC V2 (conjunctiva), EYES-DEFY-ANEMIA (conjunctiva; includes Indian and Italian cohorts), and Ghana Fingernails (nail-bed images). The Kaggle conjunctiva/nail Hb tables are an optional tabular baseline if available.</w:t>
      </w:r>
    </w:p>
    <w:p>
      <w:pPr>
        <w:pStyle w:val="ListBullet"/>
      </w:pPr>
      <w:r>
        <w:t>Use patient-level splitting, targeting 70% train / 10% validation / 20% test, and audit duplicate/augmented-image leakage before splitting.</w:t>
      </w:r>
    </w:p>
    <w:p>
      <w:pPr>
        <w:pStyle w:val="ListBullet"/>
      </w:pPr>
      <w:r>
        <w:t>Implement the guide’s order of operations: ROI isolation/cropping and glare masking → Grey-World white balance → HSV Value-channel CLAHE → CIE LAB ITA calculation and colorimetric feature extraction.</w:t>
      </w:r>
    </w:p>
    <w:p>
      <w:pPr>
        <w:pStyle w:val="ListBullet"/>
      </w:pPr>
      <w:r>
        <w:t>Do not assume these transformations alone prove fairness or clinical validity; provide measurable outputs and document failure cases.</w:t>
      </w:r>
    </w:p>
    <w:p>
      <w:pPr>
        <w:pStyle w:val="Heading1"/>
      </w:pPr>
      <w:r>
        <w:t>Work plan by time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Tasks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Deliverable / exit check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H0–H2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Join repo kickoff; inspect image formats, labels, patient identifiers and existing validation. Agree image/body-part representation and function contract with Person 2.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Dataset inventory and agreed interface; no conflicting edits to model.py/app.py.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H2–H5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Download/verify CP-AnemiC V2; obtain EYES-DEFY-ANEMIA and Ghana Fingernails if access permits. Record provenance, labels, patient IDs and missing fields.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data_manifest.csv or equivalent; dataset availability/status recorded.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H4–H8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Implement duplicate detection/leakage checks and patient-level 70/10/20 split. Keep all images from one patient in one partition; do not split augmented copies across partitions.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split manifest; duplicate/leakage audit summary; split counts by dataset and class.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H5–H10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Implement ROI crop/mask using supplied masks where available; otherwise use simple threshold/crop or a manual alignment fallback. Add image-quality checks and glare mask/inpainting where feasible.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normalization.py functions and before/after examples.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H8–H12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Implement Grey-World white balance then HSV+CLAHE on Value channel. Compute ITA from surrounding epidermis where the relevant pixels/ROI exist; extract R/G, R/B, HHR and pallor/gradient features as feasible.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Stable feature vector, metadata and normalization tests.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H12–H16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Integrate directly with Person 2’s input contract; test on images from both anatomical modalities and diverse available lighting/skin-tone examples.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Pass/fail tests; feature names/order documented.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H16–H20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Help generate raw → normalized → Grad-CAM UI assets; inspect preprocessing failures and add a safe rejection/warning path for unusable images.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Demo-ready visual examples and quality warning cases.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H20–H24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Freeze changes; provide final manifest, audit summary, module usage notes and known limitations. Support integration/debugging only.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Tagged/committed module and concise handoff.</w:t>
            </w:r>
          </w:p>
        </w:tc>
      </w:tr>
    </w:tbl>
    <w:p/>
    <w:p>
      <w:pPr>
        <w:pStyle w:val="Heading1"/>
      </w:pPr>
      <w:r>
        <w:t>Implementation checklist</w:t>
      </w:r>
    </w:p>
    <w:p>
      <w:pPr>
        <w:pStyle w:val="ListBullet"/>
      </w:pPr>
      <w:r>
        <w:t>Create a clear function boundary such as normalize_image(image, body_part) returning normalized_image, feature_vector and metadata. Confirm the exact signature with Person 2 before coding.</w:t>
      </w:r>
    </w:p>
    <w:p>
      <w:pPr>
        <w:pStyle w:val="ListBullet"/>
      </w:pPr>
      <w:r>
        <w:t>Keep feature order stable and document units/ranges; handle missing ITA or missing masks explicitly rather than silently inventing values.</w:t>
      </w:r>
    </w:p>
    <w:p>
      <w:pPr>
        <w:pStyle w:val="ListBullet"/>
      </w:pPr>
      <w:r>
        <w:t>Add tests for unreadable files, tiny/incorrect dimensions, glare-heavy images, grayscale/incorrect color channels and unsupported body-part values.</w:t>
      </w:r>
    </w:p>
    <w:p>
      <w:pPr>
        <w:pStyle w:val="ListBullet"/>
      </w:pPr>
      <w:r>
        <w:t>Retain original image and normalized image separately for the UI’s visual inspection panel.</w:t>
      </w:r>
    </w:p>
    <w:p>
      <w:pPr>
        <w:pStyle w:val="ListBullet"/>
      </w:pPr>
      <w:r>
        <w:t>Record whether each dataset has patient identifiers and laboratory Hb labels; do not infer missing ground truth from image appearance.</w:t>
      </w:r>
    </w:p>
    <w:p>
      <w:pPr>
        <w:pStyle w:val="Heading1"/>
      </w:pPr>
      <w:r>
        <w:t>Dependencies and handoffs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Needs from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Need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Provide to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Person 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Expected image tensor/color format, feature-vector order, body-part encoding and model input shape.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Person 2: normalized image, features, ITA/quality metadata, split manifest and leakage report.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Person 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UI requirements for raw/normalized preview and quality warnings.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Person 3: preview images/metadata and stable preprocessing callable.</w:t>
            </w:r>
          </w:p>
        </w:tc>
      </w:tr>
    </w:tbl>
    <w:p/>
    <w:p>
      <w:pPr>
        <w:pStyle w:val="Heading1"/>
      </w:pPr>
      <w:r>
        <w:t>Acceptance criteria</w:t>
      </w:r>
    </w:p>
    <w:p>
      <w:pPr>
        <w:pStyle w:val="ListBullet"/>
      </w:pPr>
      <w:r>
        <w:t>A clean command or test can load a sample image and produce a normalized image plus documented features.</w:t>
      </w:r>
    </w:p>
    <w:p>
      <w:pPr>
        <w:pStyle w:val="ListBullet"/>
      </w:pPr>
      <w:r>
        <w:t>Train/validation/test assignment is patient-level; duplicates/augmented copies are checked and no known patient crosses partitions.</w:t>
      </w:r>
    </w:p>
    <w:p>
      <w:pPr>
        <w:pStyle w:val="ListBullet"/>
      </w:pPr>
      <w:r>
        <w:t>The pipeline demonstrates raw and normalized examples and logs failure/warning cases.</w:t>
      </w:r>
    </w:p>
    <w:p>
      <w:pPr>
        <w:pStyle w:val="ListBullet"/>
      </w:pPr>
      <w:r>
        <w:t>No preprocessing output is represented as proof of anemia or as a validated Hb estimate.</w:t>
      </w:r>
    </w:p>
    <w:p>
      <w:pPr>
        <w:pStyle w:val="Heading1"/>
      </w:pPr>
      <w:r>
        <w:t>Definition of done and handoff</w:t>
      </w:r>
    </w:p>
    <w:p>
      <w:pPr>
        <w:pStyle w:val="ListBullet"/>
      </w:pPr>
      <w:r>
        <w:t>Commit working code to the agreed branch and include a short README section with setup/run instructions.</w:t>
      </w:r>
    </w:p>
    <w:p>
      <w:pPr>
        <w:pStyle w:val="ListBullet"/>
      </w:pPr>
      <w:r>
        <w:t>Provide one reproducible test or example input and record observed output; never label mock output as a real model result.</w:t>
      </w:r>
    </w:p>
    <w:p>
      <w:pPr>
        <w:pStyle w:val="ListBullet"/>
      </w:pPr>
      <w:r>
        <w:t>Tell the integration owner what is implemented, what is incomplete, known limitations, and exact files changed.</w:t>
      </w:r>
    </w:p>
    <w:p>
      <w:pPr>
        <w:pStyle w:val="ListBullet"/>
      </w:pPr>
      <w:r>
        <w:t>Do not claim clinical diagnostic performance without evaluation against laboratory-measured hemoglobin and a leakage-safe test set.</w:t>
      </w:r>
    </w:p>
    <w:p>
      <w:pPr>
        <w:pStyle w:val="Heading1"/>
      </w:pPr>
      <w:r>
        <w:t>Scope guardrails from the source guide</w:t>
      </w:r>
    </w:p>
    <w:p>
      <w:pPr>
        <w:pStyle w:val="ListBullet"/>
      </w:pPr>
      <w:r>
        <w:t>Do not build a native Android/iOS app; use the existing mobile-responsive web application.</w:t>
      </w:r>
    </w:p>
    <w:p>
      <w:pPr>
        <w:pStyle w:val="ListBullet"/>
      </w:pPr>
      <w:r>
        <w:t>Do not train U-Net/Mask R-CNN from scratch, attempt INT4 quantization, train GAN/diffusion augmentation, or deploy PyTorch inference as Vercel serverless functions.</w:t>
      </w:r>
    </w:p>
    <w:p>
      <w:pPr>
        <w:pStyle w:val="ListBullet"/>
      </w:pPr>
      <w:r>
        <w:t>Treat dual-modality eye+nail fusion, the high-sensitivity toggle, leakage audit badge, and PWA as stretch goals only after the end-to-end core works.</w:t>
      </w:r>
    </w:p>
    <w:p>
      <w:pPr>
        <w:pStyle w:val="ListBullet"/>
      </w:pPr>
      <w:r>
        <w:t>The system is a screening aid/prototype, not a substitute for confirmatory CBC testing or professional clinical judgment.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