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t>PERSON 2</w:t>
      </w:r>
    </w:p>
    <w:p>
      <w:pPr>
        <w:jc w:val="center"/>
      </w:pPr>
      <w:r>
        <w:rPr>
          <w:i/>
          <w:color w:val="595959"/>
          <w:sz w:val="22"/>
        </w:rPr>
        <w:t>AI/ML, Hemoglobin Estimation &amp; Evaluation</w:t>
      </w:r>
    </w:p>
    <w:p>
      <w:r>
        <w:t>24-hour hackathon • Deliverable implementation plan • Source-aligned to Anemia Screening Hackathon Project Guide</w:t>
      </w:r>
    </w:p>
    <w:p>
      <w:r>
        <w:t>Operating principle: fork-and-graft the existing RAHULPATEL2002/anemia-detection Flask application; do not rebuild the full stack from scratch.</w:t>
      </w:r>
    </w:p>
    <w:p>
      <w:pPr>
        <w:pStyle w:val="Heading1"/>
      </w:pPr>
      <w:r>
        <w:t>Mission</w:t>
      </w:r>
    </w:p>
    <w:p>
      <w:r>
        <w:t>Own the model/inference/evaluation workstream. Adapt the EfficientNet-B3-based scaffold rather than starting a model from scratch; aim for joint anemia classification and continuous hemoglobin regression, and report only metrics that the available labelled data and time actually support.</w:t>
      </w:r>
    </w:p>
    <w:p>
      <w:pPr>
        <w:pStyle w:val="Heading1"/>
      </w:pPr>
      <w:r>
        <w:t>Source-aligned requirements</w:t>
      </w:r>
    </w:p>
    <w:p>
      <w:pPr>
        <w:pStyle w:val="ListBullet"/>
      </w:pPr>
      <w:r>
        <w:t>The source repository’s existing head is binary classification; continuous Hb regression in g/dL is a required architectural change, not an existing guaranteed capability.</w:t>
      </w:r>
    </w:p>
    <w:p>
      <w:pPr>
        <w:pStyle w:val="ListBullet"/>
      </w:pPr>
      <w:r>
        <w:t>Use a dual-head design: classification probabilities plus a positive continuous Hb estimate. Fuse the visual embedding with Person 1’s colorimetric features and body-part encoding if feasible.</w:t>
      </w:r>
    </w:p>
    <w:p>
      <w:pPr>
        <w:pStyle w:val="ListBullet"/>
      </w:pPr>
      <w:r>
        <w:t>The guide proposes a weighted joint loss: L_total = 0.7 × L_CE + 0.3 × L_MSE, inverse-frequency class weighting, and accuracy-first early stopping. Treat these as starting settings to validate, not guaranteed optimal values.</w:t>
      </w:r>
    </w:p>
    <w:p>
      <w:pPr>
        <w:pStyle w:val="ListBullet"/>
      </w:pPr>
      <w:r>
        <w:t>Evaluation must go beyond accuracy: MAE/RMSE for Hb regression, calibration diagnostics for probabilities, confusion matrices/sensitivity/specificity, and Bland–Altman bias/95% limits of agreement when paired Hb predictions and laboratory measurements are available.</w:t>
      </w:r>
    </w:p>
    <w:p>
      <w:pPr>
        <w:pStyle w:val="Heading1"/>
      </w:pPr>
      <w:r>
        <w:t>Work plan by time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Tasks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Deliverable / exit check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H0–H2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Run the forked repository; inspect model.py, train.py, predict.py, existing checkpoints, dependencies and data assumptions. Establish a fallback using the existing classifier.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Baseline inference works or a specific blocker is documented.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H2–H5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Agree with Person 1 on normalized image shape, feature-vector length/order and body-part encoding. Agree with Person 3 on JSON/API output fields.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Written model input/output contract.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H4–H8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Build data loader for the leakage-safe split; confirm laboratory Hb units/labels and mapping. Inspect class balance and missing labels.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Dataset loads reproducibly; label and unit audit recorded.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H6–H11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Implement/adapt model with classification and regression heads. Fuse EfficientNet-B3 embedding with colorimetric features where feasible; use Softplus or another positive-output constraint for Hb.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Model forward pass returns class logits/probabilities and Hb estimate.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H8–H14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Train/fine-tune only if data, compute and time allow. Use validation-only model selection/early stopping; do not tune on test set. Preserve best checkpoint.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Checkpoint or clearly documented baseline/fallback; training logs.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H12–H16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Implement inference callable and connect normalization/features. Add probability calibration using validation data if feasible; never fit calibration on test data.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Stable prediction API with errors handled.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H14–H19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Generate evaluation: MAE, RMSE, classification confusion matrix, sensitivity/specificity, calibration/reliability plot and Bland–Altman plot when data supports them. Stratify by dataset/ITA only where sample sizes support interpretation.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Metrics and plots with test split provenance and caveats.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H19–H21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Freeze model and interfaces; run end-to-end test with Person 3. Verify the response schema and no placeholder values escape into the live result.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Reproducible inference command and integrated test.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H21–H24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Support demo and explain model limitations, dataset scope, calibration status and next steps.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Model handoff, metrics summary and limitations.</w:t>
            </w:r>
          </w:p>
        </w:tc>
      </w:tr>
    </w:tbl>
    <w:p/>
    <w:p>
      <w:pPr>
        <w:pStyle w:val="Heading1"/>
      </w:pPr>
      <w:r>
        <w:t>Implementation checklist</w:t>
      </w:r>
    </w:p>
    <w:p>
      <w:pPr>
        <w:pStyle w:val="ListBullet"/>
      </w:pPr>
      <w:r>
        <w:t>Keep binary classification and Hb regression outputs separate; do not derive a numeric Hb value from a class label.</w:t>
      </w:r>
    </w:p>
    <w:p>
      <w:pPr>
        <w:pStyle w:val="ListBullet"/>
      </w:pPr>
      <w:r>
        <w:t>Use patient-level split manifests from Person 1. Prevent image-level leakage and do not use the test split for early stopping or calibration.</w:t>
      </w:r>
    </w:p>
    <w:p>
      <w:pPr>
        <w:pStyle w:val="ListBullet"/>
      </w:pPr>
      <w:r>
        <w:t>Report the actual dataset sizes and actual achieved metrics; do not reuse published repository metrics as if they were this team’s results.</w:t>
      </w:r>
    </w:p>
    <w:p>
      <w:pPr>
        <w:pStyle w:val="ListBullet"/>
      </w:pPr>
      <w:r>
        <w:t>If the labelled data cannot support regression within 24 hours, preserve the working classifier and clearly mark Hb regression as unvalidated/unavailable rather than fabricate a result.</w:t>
      </w:r>
    </w:p>
    <w:p>
      <w:pPr>
        <w:pStyle w:val="ListBullet"/>
      </w:pPr>
      <w:r>
        <w:t>Grad-CAM is an explanatory visualization, not proof that the model is clinically correct.</w:t>
      </w:r>
    </w:p>
    <w:p>
      <w:pPr>
        <w:pStyle w:val="Heading1"/>
      </w:pPr>
      <w:r>
        <w:t>Proposed interface contract</w:t>
      </w:r>
    </w:p>
    <w:p>
      <w:r>
        <w:t>Agree the final signature with teammates before implementation. Suggested shape: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normalized_image; feature_vector; body_part; optional metadata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hb_estimate_g_dl (nullable if unavailable); anemia_probability; predicted_class; model_version; calibration_status; explanation/Grad-CAM reference when available; warnings/errors</w:t>
            </w:r>
          </w:p>
        </w:tc>
      </w:tr>
    </w:tbl>
    <w:p/>
    <w:p>
      <w:pPr>
        <w:pStyle w:val="Heading1"/>
      </w:pPr>
      <w:r>
        <w:t>Dependencies and handoffs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Needs from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Need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Provide to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Person 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Stable preprocessing, feature vector order, body-part label and leakage-safe split manifest.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Person 3: callable/API and response schema; evaluation metrics/plots; model checkpoint.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  <w:t>Person 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Endpoint contract, error-handling expectations and UI display requirements.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Person 1: model input requirements and feature feedback.</w:t>
            </w:r>
          </w:p>
        </w:tc>
      </w:tr>
    </w:tbl>
    <w:p/>
    <w:p>
      <w:pPr>
        <w:pStyle w:val="Heading1"/>
      </w:pPr>
      <w:r>
        <w:t>Acceptance criteria</w:t>
      </w:r>
    </w:p>
    <w:p>
      <w:pPr>
        <w:pStyle w:val="ListBullet"/>
      </w:pPr>
      <w:r>
        <w:t>The inference interface returns a structured response on a valid sample and a useful error/warning on invalid input.</w:t>
      </w:r>
    </w:p>
    <w:p>
      <w:pPr>
        <w:pStyle w:val="ListBullet"/>
      </w:pPr>
      <w:r>
        <w:t>Any Hb estimate shown is generated by the implemented regression head and labelled with appropriate limitations.</w:t>
      </w:r>
    </w:p>
    <w:p>
      <w:pPr>
        <w:pStyle w:val="ListBullet"/>
      </w:pPr>
      <w:r>
        <w:t>Metrics are computed on a held-out, leakage-aware test split when labels permit; validation and test data are not conflated.</w:t>
      </w:r>
    </w:p>
    <w:p>
      <w:pPr>
        <w:pStyle w:val="ListBullet"/>
      </w:pPr>
      <w:r>
        <w:t>Calibration and Bland–Altman diagnostics are shown only when methodologically supported by available data.</w:t>
      </w:r>
    </w:p>
    <w:p>
      <w:pPr>
        <w:pStyle w:val="Heading1"/>
      </w:pPr>
      <w:r>
        <w:t>Definition of done and handoff</w:t>
      </w:r>
    </w:p>
    <w:p>
      <w:pPr>
        <w:pStyle w:val="ListBullet"/>
      </w:pPr>
      <w:r>
        <w:t>Commit working code to the agreed branch and include a short README section with setup/run instructions.</w:t>
      </w:r>
    </w:p>
    <w:p>
      <w:pPr>
        <w:pStyle w:val="ListBullet"/>
      </w:pPr>
      <w:r>
        <w:t>Provide one reproducible test or example input and record observed output; never label mock output as a real model result.</w:t>
      </w:r>
    </w:p>
    <w:p>
      <w:pPr>
        <w:pStyle w:val="ListBullet"/>
      </w:pPr>
      <w:r>
        <w:t>Tell the integration owner what is implemented, what is incomplete, known limitations, and exact files changed.</w:t>
      </w:r>
    </w:p>
    <w:p>
      <w:pPr>
        <w:pStyle w:val="ListBullet"/>
      </w:pPr>
      <w:r>
        <w:t>Do not claim clinical diagnostic performance without evaluation against laboratory-measured hemoglobin and a leakage-safe test set.</w:t>
      </w:r>
    </w:p>
    <w:p>
      <w:pPr>
        <w:pStyle w:val="Heading1"/>
      </w:pPr>
      <w:r>
        <w:t>Scope guardrails from the source guide</w:t>
      </w:r>
    </w:p>
    <w:p>
      <w:pPr>
        <w:pStyle w:val="ListBullet"/>
      </w:pPr>
      <w:r>
        <w:t>Do not build a native Android/iOS app; use the existing mobile-responsive web application.</w:t>
      </w:r>
    </w:p>
    <w:p>
      <w:pPr>
        <w:pStyle w:val="ListBullet"/>
      </w:pPr>
      <w:r>
        <w:t>Do not train U-Net/Mask R-CNN from scratch, attempt INT4 quantization, train GAN/diffusion augmentation, or deploy PyTorch inference as Vercel serverless functions.</w:t>
      </w:r>
    </w:p>
    <w:p>
      <w:pPr>
        <w:pStyle w:val="ListBullet"/>
      </w:pPr>
      <w:r>
        <w:t>Treat dual-modality eye+nail fusion, the high-sensitivity toggle, leakage audit badge, and PWA as stretch goals only after the end-to-end core works.</w:t>
      </w:r>
    </w:p>
    <w:p>
      <w:pPr>
        <w:pStyle w:val="ListBullet"/>
      </w:pPr>
      <w:r>
        <w:t>The system is a screening aid/prototype, not a substitute for confirmatory CBC testing or professional clinical judgment.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