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0" w:after="60"/>
        <w:rPr/>
      </w:pPr>
      <w:r>
        <w:rPr>
          <w:rFonts w:eastAsia="Calibri" w:cs="Calibri" w:ascii="Calibri" w:hAnsi="Calibri"/>
          <w:b/>
          <w:bCs/>
          <w:color w:val="1F4E79"/>
          <w:sz w:val="40"/>
          <w:szCs w:val="40"/>
        </w:rPr>
        <w:t>Sensor Fusion &amp; EKF Localization Stack</w:t>
      </w:r>
    </w:p>
    <w:p>
      <w:pPr>
        <w:pStyle w:val="Normal"/>
        <w:spacing w:before="0" w:after="400"/>
        <w:rPr/>
      </w:pPr>
      <w:r>
        <w:rPr>
          <w:rFonts w:eastAsia="Calibri" w:cs="Calibri" w:ascii="Calibri" w:hAnsi="Calibri"/>
          <w:i/>
          <w:iCs/>
          <w:color w:val="555555"/>
          <w:sz w:val="26"/>
          <w:szCs w:val="26"/>
        </w:rPr>
        <w:t>Technical Concepts Document</w:t>
      </w:r>
    </w:p>
    <w:p>
      <w:pPr>
        <w:pStyle w:val="Heading1"/>
        <w:spacing w:before="300" w:after="150"/>
        <w:rPr/>
      </w:pPr>
      <w:r>
        <w:rPr/>
        <w:t>1. System Overview</w:t>
      </w:r>
    </w:p>
    <w:p>
      <w:pPr>
        <w:pStyle w:val="Normal"/>
        <w:spacing w:before="0" w:after="120"/>
        <w:rPr/>
      </w:pPr>
      <w:r>
        <w:rPr>
          <w:rFonts w:eastAsia="Calibri" w:cs="Calibri" w:ascii="Calibri" w:hAnsi="Calibri"/>
          <w:sz w:val="22"/>
          <w:szCs w:val="22"/>
        </w:rPr>
        <w:t xml:space="preserve">This </w:t>
      </w:r>
      <w:r>
        <w:rPr>
          <w:rFonts w:eastAsia="Calibri" w:cs="Calibri" w:ascii="Calibri" w:hAnsi="Calibri"/>
          <w:sz w:val="22"/>
          <w:szCs w:val="22"/>
        </w:rPr>
        <w:t>vehicle/</w:t>
      </w:r>
      <w:r>
        <w:rPr>
          <w:rFonts w:eastAsia="Calibri" w:cs="Calibri" w:ascii="Calibri" w:hAnsi="Calibri"/>
          <w:sz w:val="22"/>
          <w:szCs w:val="22"/>
        </w:rPr>
        <w:t>robot uses two chained Extended Kalman Filters (EKF), provided by the robot_localization package, to fuse odometry from multiple sensors into a single, continuous state estimate. Two filters are used instead of one because they serve different purposes: one produces a smooth, continuous local estimate for control and obstacle avoidance, and the other produces a globally-consistent estimate for map-based navigation.</w:t>
      </w:r>
    </w:p>
    <w:p>
      <w:pPr>
        <w:pStyle w:val="Normal"/>
        <w:spacing w:before="0" w:after="120"/>
        <w:rPr/>
      </w:pPr>
      <w:r>
        <w:rPr>
          <w:rFonts w:eastAsia="Calibri" w:cs="Calibri" w:ascii="Calibri" w:hAnsi="Calibri"/>
          <w:sz w:val="22"/>
          <w:szCs w:val="22"/>
        </w:rPr>
        <w:t>The high-level data flow is:</w:t>
      </w:r>
    </w:p>
    <w:p>
      <w:pPr>
        <w:pStyle w:val="ListParagraph"/>
        <w:numPr>
          <w:ilvl w:val="0"/>
          <w:numId w:val="3"/>
        </w:numPr>
        <w:spacing w:before="0" w:after="60"/>
        <w:rPr/>
      </w:pPr>
      <w:r>
        <w:rPr>
          <w:rFonts w:eastAsia="Calibri" w:cs="Calibri" w:ascii="Calibri" w:hAnsi="Calibri"/>
          <w:sz w:val="22"/>
          <w:szCs w:val="22"/>
        </w:rPr>
        <w:t>Wheel odometry (VESC) and Visual Odometry (OAK-D camera) → Local EKF → /odometry/filtered</w:t>
      </w:r>
    </w:p>
    <w:p>
      <w:pPr>
        <w:pStyle w:val="ListParagraph"/>
        <w:numPr>
          <w:ilvl w:val="0"/>
          <w:numId w:val="1"/>
        </w:numPr>
        <w:spacing w:before="0" w:after="60"/>
        <w:rPr/>
      </w:pPr>
      <w:r>
        <w:rPr>
          <w:rFonts w:eastAsia="Calibri" w:cs="Calibri" w:ascii="Calibri" w:hAnsi="Calibri"/>
          <w:sz w:val="22"/>
          <w:szCs w:val="22"/>
        </w:rPr>
        <w:t>Local EKF output (/odometry/filtered) and AprilTag/IPS global position (/odometry/ips) → Global EKF → /global/odometry/filtered</w:t>
      </w:r>
    </w:p>
    <w:p>
      <w:pPr>
        <w:pStyle w:val="ListParagraph"/>
        <w:numPr>
          <w:ilvl w:val="0"/>
          <w:numId w:val="1"/>
        </w:numPr>
        <w:spacing w:before="0" w:after="60"/>
        <w:rPr/>
      </w:pPr>
      <w:r>
        <w:rPr>
          <w:rFonts w:eastAsia="Calibri" w:cs="Calibri" w:ascii="Calibri" w:hAnsi="Calibri"/>
          <w:sz w:val="22"/>
          <w:szCs w:val="22"/>
        </w:rPr>
        <w:t>Global EKF publishes the map → odom transform; Local EKF publishes odom → base_link</w:t>
      </w:r>
    </w:p>
    <w:p>
      <w:pPr>
        <w:pStyle w:val="Heading1"/>
        <w:spacing w:before="300" w:after="150"/>
        <w:rPr/>
      </w:pPr>
      <w:r>
        <w:rPr/>
        <w:t>2. What an Extended Kalman Filter Does Here</w:t>
      </w:r>
    </w:p>
    <w:p>
      <w:pPr>
        <w:pStyle w:val="Normal"/>
        <w:spacing w:before="0" w:after="120"/>
        <w:rPr/>
      </w:pPr>
      <w:r>
        <w:rPr>
          <w:rFonts w:eastAsia="Calibri" w:cs="Calibri" w:ascii="Calibri" w:hAnsi="Calibri"/>
          <w:sz w:val="22"/>
          <w:szCs w:val="22"/>
        </w:rPr>
        <w:t>An EKF is a recursive estimator: at every timestep it predicts the robot's state (position, orientation, velocity) forward using a motion model, then corrects that prediction using whatever sensor measurements have arrived, weighted by each sensor's reported covariance (uncertainty). Sensors with lower uncertainty pull the estimate toward them more strongly. The output is smoother and more consistent than any single raw sensor feed, and it lets contradictory or noisy sensors be blended sensibly rather than simply switched between.</w:t>
      </w:r>
    </w:p>
    <w:p>
      <w:pPr>
        <w:pStyle w:val="Normal"/>
        <w:spacing w:before="0" w:after="120"/>
        <w:rPr/>
      </w:pPr>
      <w:r>
        <w:rPr>
          <w:rFonts w:eastAsia="Calibri" w:cs="Calibri" w:ascii="Calibri" w:hAnsi="Calibri"/>
          <w:sz w:val="22"/>
          <w:szCs w:val="22"/>
        </w:rPr>
        <w:t>robot_localization's ekf_node implements this generically: any number of odometry, IMU, or pose sources can be fed in, each with a per-axis configuration mask that says which state variables that source is allowed to update.</w:t>
      </w:r>
    </w:p>
    <w:p>
      <w:pPr>
        <w:pStyle w:val="Heading1"/>
        <w:spacing w:before="300" w:after="150"/>
        <w:rPr/>
      </w:pPr>
      <w:r>
        <w:rPr/>
        <w:t>3. Why Two EKF Instances (Local + Global)</w:t>
      </w:r>
    </w:p>
    <w:p>
      <w:pPr>
        <w:pStyle w:val="Normal"/>
        <w:spacing w:before="0" w:after="120"/>
        <w:rPr/>
      </w:pPr>
      <w:r>
        <w:rPr>
          <w:rFonts w:eastAsia="Calibri" w:cs="Calibri" w:ascii="Calibri" w:hAnsi="Calibri"/>
          <w:sz w:val="22"/>
          <w:szCs w:val="22"/>
        </w:rPr>
        <w:t>This is the standard robot_localization dual-EKF pattern:</w:t>
      </w:r>
    </w:p>
    <w:tbl>
      <w:tblPr>
        <w:tblW w:w="9350" w:type="dxa"/>
        <w:jc w:val="left"/>
        <w:tblInd w:w="0" w:type="dxa"/>
        <w:tblCellMar>
          <w:top w:w="60" w:type="dxa"/>
          <w:left w:w="100" w:type="dxa"/>
          <w:bottom w:w="60" w:type="dxa"/>
          <w:right w:w="100" w:type="dxa"/>
        </w:tblCellMar>
      </w:tblPr>
      <w:tblGrid>
        <w:gridCol w:w="3000"/>
        <w:gridCol w:w="3199"/>
        <w:gridCol w:w="3151"/>
      </w:tblGrid>
      <w:tr>
        <w:trPr/>
        <w:tc>
          <w:tcPr>
            <w:tcW w:w="3000"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Aspect</w:t>
            </w:r>
          </w:p>
        </w:tc>
        <w:tc>
          <w:tcPr>
            <w:tcW w:w="3199"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Local EKF (ekf_local_node)</w:t>
            </w:r>
          </w:p>
        </w:tc>
        <w:tc>
          <w:tcPr>
            <w:tcW w:w="3151"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Global EKF (ekf_global_node)</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color w:val="000000"/>
                <w:sz w:val="20"/>
                <w:szCs w:val="20"/>
              </w:rPr>
              <w:t>Estimates transform</w:t>
            </w:r>
          </w:p>
        </w:tc>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odom → base_link</w:t>
            </w:r>
          </w:p>
        </w:tc>
        <w:tc>
          <w:tcPr>
            <w:tcW w:w="315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map → base_link</w:t>
            </w:r>
          </w:p>
        </w:tc>
      </w:tr>
      <w:tr>
        <w:trPr/>
        <w:tc>
          <w:tcPr>
            <w:tcW w:w="30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onsolas" w:cs="Consolas" w:ascii="Consolas" w:hAnsi="Consolas"/>
                <w:b w:val="false"/>
                <w:bCs w:val="false"/>
                <w:color w:val="000000"/>
                <w:sz w:val="20"/>
                <w:szCs w:val="20"/>
              </w:rPr>
              <w:t>world_frame</w:t>
            </w:r>
          </w:p>
        </w:tc>
        <w:tc>
          <w:tcPr>
            <w:tcW w:w="3199"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odom</w:t>
            </w:r>
          </w:p>
        </w:tc>
        <w:tc>
          <w:tcPr>
            <w:tcW w:w="3151"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map</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color w:val="000000"/>
                <w:sz w:val="20"/>
                <w:szCs w:val="20"/>
              </w:rPr>
              <w:t>Continuity</w:t>
            </w:r>
          </w:p>
        </w:tc>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Continuous, never jumps</w:t>
            </w:r>
          </w:p>
        </w:tc>
        <w:tc>
          <w:tcPr>
            <w:tcW w:w="315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Can jump when a correction arrives</w:t>
            </w:r>
          </w:p>
        </w:tc>
      </w:tr>
      <w:tr>
        <w:trPr/>
        <w:tc>
          <w:tcPr>
            <w:tcW w:w="30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onsolas" w:cs="Consolas" w:ascii="Consolas" w:hAnsi="Consolas"/>
                <w:b w:val="false"/>
                <w:bCs w:val="false"/>
                <w:color w:val="000000"/>
                <w:sz w:val="20"/>
                <w:szCs w:val="20"/>
              </w:rPr>
              <w:t>Inputs</w:t>
            </w:r>
          </w:p>
        </w:tc>
        <w:tc>
          <w:tcPr>
            <w:tcW w:w="3199"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Wheel odom (disabled), Visual odometry</w:t>
            </w:r>
          </w:p>
        </w:tc>
        <w:tc>
          <w:tcPr>
            <w:tcW w:w="3151"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Local EKF output, AprilTag/IPS</w:t>
            </w:r>
          </w:p>
        </w:tc>
      </w:tr>
      <w:tr>
        <w:trPr/>
        <w:tc>
          <w:tcPr>
            <w:tcW w:w="30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color w:val="000000"/>
                <w:sz w:val="20"/>
                <w:szCs w:val="20"/>
              </w:rPr>
              <w:t>Used for</w:t>
            </w:r>
          </w:p>
        </w:tc>
        <w:tc>
          <w:tcPr>
            <w:tcW w:w="31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Control loops, local planning, collision avoidance</w:t>
            </w:r>
          </w:p>
        </w:tc>
        <w:tc>
          <w:tcPr>
            <w:tcW w:w="3151"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Global path planning, map alignment</w:t>
            </w:r>
          </w:p>
        </w:tc>
      </w:tr>
    </w:tbl>
    <w:p>
      <w:pPr>
        <w:pStyle w:val="Normal"/>
        <w:spacing w:before="0" w:after="120"/>
        <w:rPr/>
      </w:pPr>
      <w:r>
        <w:rPr>
          <w:rFonts w:eastAsia="Calibri" w:cs="Calibri" w:ascii="Calibri" w:hAnsi="Calibri"/>
          <w:sz w:val="22"/>
          <w:szCs w:val="22"/>
        </w:rPr>
        <w:t>The key idea: the local filter must never receive a sensor that can jump (like AprilTag detections), because a sudden jump in position feedback to a control loop causes jerky, unsafe motion. Jump-capable corrections are only allowed into the global filter, whose output feeds path planning rather than low-level control.</w:t>
      </w:r>
    </w:p>
    <w:p>
      <w:pPr>
        <w:pStyle w:val="Heading1"/>
        <w:spacing w:before="300" w:after="150"/>
        <w:rPr/>
      </w:pPr>
      <w:r>
        <w:rPr/>
        <w:t>4. Coordinate Frames</w:t>
      </w:r>
    </w:p>
    <w:tbl>
      <w:tblPr>
        <w:tblW w:w="9350" w:type="dxa"/>
        <w:jc w:val="left"/>
        <w:tblInd w:w="0" w:type="dxa"/>
        <w:tblCellMar>
          <w:top w:w="60" w:type="dxa"/>
          <w:left w:w="100" w:type="dxa"/>
          <w:bottom w:w="60" w:type="dxa"/>
          <w:right w:w="100" w:type="dxa"/>
        </w:tblCellMar>
      </w:tblPr>
      <w:tblGrid>
        <w:gridCol w:w="2500"/>
        <w:gridCol w:w="6849"/>
      </w:tblGrid>
      <w:tr>
        <w:trPr/>
        <w:tc>
          <w:tcPr>
            <w:tcW w:w="2500"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Frame</w:t>
            </w:r>
          </w:p>
        </w:tc>
        <w:tc>
          <w:tcPr>
            <w:tcW w:w="6849"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Meaning</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color w:val="000000"/>
                <w:sz w:val="20"/>
                <w:szCs w:val="20"/>
              </w:rPr>
              <w:t>map</w:t>
            </w:r>
          </w:p>
        </w:tc>
        <w:tc>
          <w:tcPr>
            <w:tcW w:w="68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Fixed, globally consistent frame. Anchored by AprilTag/IPS detections.</w:t>
            </w:r>
          </w:p>
        </w:tc>
      </w:tr>
      <w:tr>
        <w:trPr/>
        <w:tc>
          <w:tcPr>
            <w:tcW w:w="25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onsolas" w:cs="Consolas" w:ascii="Consolas" w:hAnsi="Consolas"/>
                <w:b w:val="false"/>
                <w:bCs w:val="false"/>
                <w:color w:val="000000"/>
                <w:sz w:val="20"/>
                <w:szCs w:val="20"/>
              </w:rPr>
              <w:t>odom</w:t>
            </w:r>
          </w:p>
        </w:tc>
        <w:tc>
          <w:tcPr>
            <w:tcW w:w="6849"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Fixed at startup, drifts over time; anchored by continuous odometry.</w:t>
            </w:r>
          </w:p>
        </w:tc>
      </w:tr>
      <w:tr>
        <w:trPr/>
        <w:tc>
          <w:tcPr>
            <w:tcW w:w="25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color w:val="000000"/>
                <w:sz w:val="20"/>
                <w:szCs w:val="20"/>
              </w:rPr>
              <w:t>base_link</w:t>
            </w:r>
          </w:p>
        </w:tc>
        <w:tc>
          <w:tcPr>
            <w:tcW w:w="68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The robot chassis itself; frame everything is expressed relative to.</w:t>
            </w:r>
          </w:p>
        </w:tc>
      </w:tr>
    </w:tbl>
    <w:p>
      <w:pPr>
        <w:pStyle w:val="Normal"/>
        <w:spacing w:before="0" w:after="120"/>
        <w:rPr/>
      </w:pPr>
      <w:r>
        <w:rPr>
          <w:rFonts w:eastAsia="Calibri" w:cs="Calibri" w:ascii="Calibri" w:hAnsi="Calibri"/>
          <w:sz w:val="22"/>
          <w:szCs w:val="22"/>
        </w:rPr>
        <w:t>The resulting TF tree is map → odom → base_link. The global EKF (world_frame: map) publishes map → odom; the local EKF (world_frame: odom) publishes odom → base_link. Both nodes have publish_tf: true, which is what makes this split possible — each is only responsible for its own link in the chain.</w:t>
      </w:r>
    </w:p>
    <w:p>
      <w:pPr>
        <w:pStyle w:val="Heading1"/>
        <w:spacing w:before="300" w:after="150"/>
        <w:rPr/>
      </w:pPr>
      <w:r>
        <w:rPr/>
        <w:t>5. Sensor Inputs in This Configuration</w:t>
      </w:r>
    </w:p>
    <w:tbl>
      <w:tblPr>
        <w:tblW w:w="9350" w:type="dxa"/>
        <w:jc w:val="left"/>
        <w:tblInd w:w="0" w:type="dxa"/>
        <w:tblCellMar>
          <w:top w:w="60" w:type="dxa"/>
          <w:left w:w="100" w:type="dxa"/>
          <w:bottom w:w="60" w:type="dxa"/>
          <w:right w:w="100" w:type="dxa"/>
        </w:tblCellMar>
      </w:tblPr>
      <w:tblGrid>
        <w:gridCol w:w="2600"/>
        <w:gridCol w:w="2200"/>
        <w:gridCol w:w="2200"/>
        <w:gridCol w:w="2349"/>
      </w:tblGrid>
      <w:tr>
        <w:trPr/>
        <w:tc>
          <w:tcPr>
            <w:tcW w:w="2600"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Source</w:t>
            </w:r>
          </w:p>
        </w:tc>
        <w:tc>
          <w:tcPr>
            <w:tcW w:w="2200"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Topic</w:t>
            </w:r>
          </w:p>
        </w:tc>
        <w:tc>
          <w:tcPr>
            <w:tcW w:w="2200"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Feeds</w:t>
            </w:r>
          </w:p>
        </w:tc>
        <w:tc>
          <w:tcPr>
            <w:tcW w:w="2349"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Status</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color w:val="000000"/>
                <w:sz w:val="20"/>
                <w:szCs w:val="20"/>
              </w:rPr>
              <w:t>VESC wheel odometry</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/odom/vesc</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Local EKF odom0</w:t>
            </w:r>
          </w:p>
        </w:tc>
        <w:tc>
          <w:tcPr>
            <w:tcW w:w="23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Commented out (inactive)</w:t>
            </w:r>
          </w:p>
        </w:tc>
      </w:tr>
      <w:tr>
        <w:trPr/>
        <w:tc>
          <w:tcPr>
            <w:tcW w:w="26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onsolas" w:cs="Consolas" w:ascii="Consolas" w:hAnsi="Consolas"/>
                <w:b w:val="false"/>
                <w:bCs w:val="false"/>
                <w:color w:val="000000"/>
                <w:sz w:val="20"/>
                <w:szCs w:val="20"/>
              </w:rPr>
              <w:t>Visual odometry (OAK-D)</w:t>
            </w:r>
          </w:p>
        </w:tc>
        <w:tc>
          <w:tcPr>
            <w:tcW w:w="22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/visual_odometry</w:t>
            </w:r>
          </w:p>
        </w:tc>
        <w:tc>
          <w:tcPr>
            <w:tcW w:w="22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Local EKF odom0</w:t>
            </w:r>
          </w:p>
        </w:tc>
        <w:tc>
          <w:tcPr>
            <w:tcW w:w="2349"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Active</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color w:val="000000"/>
                <w:sz w:val="20"/>
                <w:szCs w:val="20"/>
              </w:rPr>
              <w:t>AprilTag / IPS</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/odometry/ips</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Global EKF odom1</w:t>
            </w:r>
          </w:p>
        </w:tc>
        <w:tc>
          <w:tcPr>
            <w:tcW w:w="23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Active</w:t>
            </w:r>
          </w:p>
        </w:tc>
      </w:tr>
      <w:tr>
        <w:trPr/>
        <w:tc>
          <w:tcPr>
            <w:tcW w:w="26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onsolas" w:cs="Consolas" w:ascii="Consolas" w:hAnsi="Consolas"/>
                <w:b w:val="false"/>
                <w:bCs w:val="false"/>
                <w:color w:val="000000"/>
                <w:sz w:val="20"/>
                <w:szCs w:val="20"/>
              </w:rPr>
              <w:t>Local EKF output</w:t>
            </w:r>
          </w:p>
        </w:tc>
        <w:tc>
          <w:tcPr>
            <w:tcW w:w="22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/odometry/filtered</w:t>
            </w:r>
          </w:p>
        </w:tc>
        <w:tc>
          <w:tcPr>
            <w:tcW w:w="22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Global EKF odom0</w:t>
            </w:r>
          </w:p>
        </w:tc>
        <w:tc>
          <w:tcPr>
            <w:tcW w:w="2349"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Active</w:t>
            </w:r>
          </w:p>
        </w:tc>
      </w:tr>
      <w:tr>
        <w:trPr/>
        <w:tc>
          <w:tcPr>
            <w:tcW w:w="26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color w:val="000000"/>
                <w:sz w:val="20"/>
                <w:szCs w:val="20"/>
              </w:rPr>
              <w:t>IMU (bno_test_pkg)</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/imu</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Local EKF imu0</w:t>
            </w:r>
          </w:p>
        </w:tc>
        <w:tc>
          <w:tcPr>
            <w:tcW w:w="23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Commented out (inactive)</w:t>
            </w:r>
          </w:p>
        </w:tc>
      </w:tr>
    </w:tbl>
    <w:p>
      <w:pPr>
        <w:pStyle w:val="Normal"/>
        <w:pBdr>
          <w:top w:val="single" w:sz="2" w:space="0" w:color="F0C36D"/>
          <w:left w:val="single" w:sz="2" w:space="0" w:color="F0C36D"/>
          <w:bottom w:val="single" w:sz="2" w:space="0" w:color="F0C36D"/>
          <w:right w:val="single" w:sz="2" w:space="0" w:color="F0C36D"/>
        </w:pBdr>
        <w:shd w:val="clear" w:fill="FFF2CC"/>
        <w:spacing w:before="100" w:after="200"/>
        <w:rPr/>
      </w:pPr>
      <w:r>
        <w:rPr>
          <w:rFonts w:eastAsia="Calibri" w:cs="Calibri" w:ascii="Calibri" w:hAnsi="Calibri"/>
          <w:b/>
          <w:bCs/>
          <w:color w:val="9C5700"/>
          <w:sz w:val="22"/>
          <w:szCs w:val="22"/>
        </w:rPr>
        <w:t xml:space="preserve">NOTE: </w:t>
      </w:r>
      <w:r>
        <w:rPr>
          <w:rFonts w:eastAsia="Calibri" w:cs="Calibri" w:ascii="Calibri" w:hAnsi="Calibri"/>
          <w:color w:val="9C5700"/>
          <w:sz w:val="22"/>
          <w:szCs w:val="22"/>
        </w:rPr>
        <w:t xml:space="preserve">In the current YAML files, only Visual Odometry feeds the local EKF; the VESC wheel-odometry and IMU blocks are present but commented out. </w:t>
      </w:r>
    </w:p>
    <w:p>
      <w:pPr>
        <w:pStyle w:val="Heading1"/>
        <w:spacing w:before="300" w:after="150"/>
        <w:rPr/>
      </w:pPr>
      <w:r>
        <w:rPr/>
        <w:t>6. Reading the *_config Vectors</w:t>
      </w:r>
    </w:p>
    <w:p>
      <w:pPr>
        <w:pStyle w:val="Normal"/>
        <w:spacing w:before="0" w:after="120"/>
        <w:rPr/>
      </w:pPr>
      <w:r>
        <w:rPr>
          <w:rFonts w:eastAsia="Calibri" w:cs="Calibri" w:ascii="Calibri" w:hAnsi="Calibri"/>
          <w:sz w:val="22"/>
          <w:szCs w:val="22"/>
        </w:rPr>
        <w:t>Each odomN_config / imuN_config is a 15-element boolean mask, always in this fixed order:</w:t>
      </w:r>
    </w:p>
    <w:p>
      <w:pPr>
        <w:pStyle w:val="Normal"/>
        <w:pBdr>
          <w:top w:val="single" w:sz="2" w:space="0" w:color="CCCCCC"/>
          <w:left w:val="single" w:sz="2" w:space="0" w:color="CCCCCC"/>
          <w:bottom w:val="single" w:sz="2" w:space="0" w:color="CCCCCC"/>
          <w:right w:val="single" w:sz="2" w:space="0" w:color="CCCCCC"/>
        </w:pBdr>
        <w:shd w:val="clear" w:fill="F2F2F2"/>
        <w:spacing w:before="0" w:after="100"/>
        <w:rPr/>
      </w:pPr>
      <w:r>
        <w:rPr>
          <w:rFonts w:eastAsia="Consolas" w:cs="Consolas" w:ascii="Consolas" w:hAnsi="Consolas"/>
          <w:sz w:val="20"/>
          <w:szCs w:val="20"/>
        </w:rPr>
        <w:t>[ X, Y, Z,  roll, pitch, yaw,  vX, vY, vZ,  vroll, vpitch, vyaw,  aX, aY, aZ ]</w:t>
      </w:r>
    </w:p>
    <w:p>
      <w:pPr>
        <w:pStyle w:val="Normal"/>
        <w:spacing w:before="0" w:after="120"/>
        <w:rPr/>
      </w:pPr>
      <w:r>
        <w:rPr>
          <w:rFonts w:eastAsia="Calibri" w:cs="Calibri" w:ascii="Calibri" w:hAnsi="Calibri"/>
          <w:sz w:val="22"/>
          <w:szCs w:val="22"/>
        </w:rPr>
        <w:t>A true at a given position means "let this sensor update that state variable"; false means the sensor's value for that variable is ignored, even if the sensor publishes something there. In this configuration, both odom0_config (local) and odom1_config (global) enable only X, Y and yaw — meaning both sources are trusted for 2D position and heading only, consistent with two_d_mode: true. Nothing here is using velocity or acceleration terms from these sources; they are all pose-only updates.</w:t>
      </w:r>
    </w:p>
    <w:p>
      <w:pPr>
        <w:pStyle w:val="Heading1"/>
        <w:spacing w:before="300" w:after="150"/>
        <w:rPr/>
      </w:pPr>
      <w:r>
        <w:rPr/>
        <w:t>7. Other Parameters Worth Understanding</w:t>
      </w:r>
    </w:p>
    <w:tbl>
      <w:tblPr>
        <w:tblW w:w="9350" w:type="dxa"/>
        <w:jc w:val="left"/>
        <w:tblInd w:w="0" w:type="dxa"/>
        <w:tblCellMar>
          <w:top w:w="60" w:type="dxa"/>
          <w:left w:w="100" w:type="dxa"/>
          <w:bottom w:w="60" w:type="dxa"/>
          <w:right w:w="100" w:type="dxa"/>
        </w:tblCellMar>
      </w:tblPr>
      <w:tblGrid>
        <w:gridCol w:w="2400"/>
        <w:gridCol w:w="6949"/>
      </w:tblGrid>
      <w:tr>
        <w:trPr/>
        <w:tc>
          <w:tcPr>
            <w:tcW w:w="2400"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Parameter</w:t>
            </w:r>
          </w:p>
        </w:tc>
        <w:tc>
          <w:tcPr>
            <w:tcW w:w="6949"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Effect</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color w:val="000000"/>
                <w:sz w:val="20"/>
                <w:szCs w:val="20"/>
              </w:rPr>
              <w:t>frequency</w:t>
            </w:r>
          </w:p>
        </w:tc>
        <w:tc>
          <w:tcPr>
            <w:tcW w:w="69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Rate (Hz) the filter runs and publishes its estimate at, independent of sensor rates.</w:t>
            </w:r>
          </w:p>
        </w:tc>
      </w:tr>
      <w:tr>
        <w:trPr/>
        <w:tc>
          <w:tcPr>
            <w:tcW w:w="24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onsolas" w:cs="Consolas" w:ascii="Consolas" w:hAnsi="Consolas"/>
                <w:b w:val="false"/>
                <w:bCs w:val="false"/>
                <w:color w:val="000000"/>
                <w:sz w:val="20"/>
                <w:szCs w:val="20"/>
              </w:rPr>
              <w:t>sensor_timeout</w:t>
            </w:r>
          </w:p>
        </w:tc>
        <w:tc>
          <w:tcPr>
            <w:tcW w:w="6949"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Seconds without a measurement before that sensor is considered stale and excluded from updates.</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color w:val="000000"/>
                <w:sz w:val="20"/>
                <w:szCs w:val="20"/>
              </w:rPr>
              <w:t>two_d_mode</w:t>
            </w:r>
          </w:p>
        </w:tc>
        <w:tc>
          <w:tcPr>
            <w:tcW w:w="69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Locks Z, roll, pitch, and their derivatives to zero; the robot is assumed planar.</w:t>
            </w:r>
          </w:p>
        </w:tc>
      </w:tr>
      <w:tr>
        <w:trPr/>
        <w:tc>
          <w:tcPr>
            <w:tcW w:w="24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onsolas" w:cs="Consolas" w:ascii="Consolas" w:hAnsi="Consolas"/>
                <w:b w:val="false"/>
                <w:bCs w:val="false"/>
                <w:color w:val="000000"/>
                <w:sz w:val="20"/>
                <w:szCs w:val="20"/>
              </w:rPr>
              <w:t>odomN_differential</w:t>
            </w:r>
          </w:p>
        </w:tc>
        <w:tc>
          <w:tcPr>
            <w:tcW w:w="6949"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If true, uses the change in pose since the last message rather than absolute pose — avoids double-counting a sensor's own absolute drift.</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color w:val="000000"/>
                <w:sz w:val="20"/>
                <w:szCs w:val="20"/>
              </w:rPr>
              <w:t>odomN_relative</w:t>
            </w:r>
          </w:p>
        </w:tc>
        <w:tc>
          <w:tcPr>
            <w:tcW w:w="69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If true, transforms measurements to be relative to the first reading received (a local baseline).</w:t>
            </w:r>
          </w:p>
        </w:tc>
      </w:tr>
      <w:tr>
        <w:trPr/>
        <w:tc>
          <w:tcPr>
            <w:tcW w:w="24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onsolas" w:cs="Consolas" w:ascii="Consolas" w:hAnsi="Consolas"/>
                <w:b w:val="false"/>
                <w:bCs w:val="false"/>
                <w:color w:val="000000"/>
                <w:sz w:val="20"/>
                <w:szCs w:val="20"/>
              </w:rPr>
              <w:t>smooth_lagged_data</w:t>
            </w:r>
          </w:p>
        </w:tc>
        <w:tc>
          <w:tcPr>
            <w:tcW w:w="6949"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If true, allows the filter to accept and re-integrate out-of-order (delayed) measurements.</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color w:val="000000"/>
                <w:sz w:val="20"/>
                <w:szCs w:val="20"/>
              </w:rPr>
              <w:t>print_diagnostics</w:t>
            </w:r>
          </w:p>
        </w:tc>
        <w:tc>
          <w:tcPr>
            <w:tcW w:w="694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Publishes a /diagnostics feed useful for confirming each sensor is actually being fused, not just received.</w:t>
            </w:r>
          </w:p>
        </w:tc>
      </w:tr>
    </w:tbl>
    <w:p>
      <w:pPr>
        <w:pStyle w:val="Heading1"/>
        <w:spacing w:before="300" w:after="150"/>
        <w:rPr/>
      </w:pPr>
      <w:r>
        <w:rPr/>
        <w:t>8. Node &amp; Namespace Summary</w:t>
      </w:r>
    </w:p>
    <w:p>
      <w:pPr>
        <w:pStyle w:val="Normal"/>
        <w:spacing w:before="0" w:after="120"/>
        <w:rPr/>
      </w:pPr>
      <w:r>
        <w:rPr>
          <w:rFonts w:eastAsia="Calibri" w:cs="Calibri" w:ascii="Calibri" w:hAnsi="Calibri"/>
          <w:sz w:val="22"/>
          <w:szCs w:val="22"/>
        </w:rPr>
        <w:t>ekf.launch.py starts both filters from a single launch file:</w:t>
      </w:r>
    </w:p>
    <w:tbl>
      <w:tblPr>
        <w:tblW w:w="9350" w:type="dxa"/>
        <w:jc w:val="left"/>
        <w:tblInd w:w="0" w:type="dxa"/>
        <w:tblCellMar>
          <w:top w:w="60" w:type="dxa"/>
          <w:left w:w="100" w:type="dxa"/>
          <w:bottom w:w="60" w:type="dxa"/>
          <w:right w:w="100" w:type="dxa"/>
        </w:tblCellMar>
      </w:tblPr>
      <w:tblGrid>
        <w:gridCol w:w="2400"/>
        <w:gridCol w:w="2000"/>
        <w:gridCol w:w="2899"/>
        <w:gridCol w:w="2050"/>
      </w:tblGrid>
      <w:tr>
        <w:trPr/>
        <w:tc>
          <w:tcPr>
            <w:tcW w:w="2400"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Node name</w:t>
            </w:r>
          </w:p>
        </w:tc>
        <w:tc>
          <w:tcPr>
            <w:tcW w:w="2000"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Namespace</w:t>
            </w:r>
          </w:p>
        </w:tc>
        <w:tc>
          <w:tcPr>
            <w:tcW w:w="2899"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Package/executable</w:t>
            </w:r>
          </w:p>
        </w:tc>
        <w:tc>
          <w:tcPr>
            <w:tcW w:w="2050" w:type="dxa"/>
            <w:tcBorders>
              <w:top w:val="single" w:sz="4" w:space="0" w:color="000000"/>
              <w:left w:val="single" w:sz="4" w:space="0" w:color="000000"/>
              <w:bottom w:val="single" w:sz="4" w:space="0" w:color="000000"/>
              <w:right w:val="single" w:sz="4" w:space="0" w:color="000000"/>
            </w:tcBorders>
            <w:shd w:fill="1F4E79" w:val="clear"/>
          </w:tcPr>
          <w:p>
            <w:pPr>
              <w:pStyle w:val="Normal"/>
              <w:rPr/>
            </w:pPr>
            <w:r>
              <w:rPr>
                <w:rFonts w:eastAsia="Calibri" w:cs="Calibri" w:ascii="Calibri" w:hAnsi="Calibri"/>
                <w:b/>
                <w:bCs/>
                <w:color w:val="FFFFFF"/>
                <w:sz w:val="21"/>
                <w:szCs w:val="21"/>
              </w:rPr>
              <w:t>Params file</w:t>
            </w:r>
          </w:p>
        </w:tc>
      </w:tr>
      <w:tr>
        <w:trPr/>
        <w:tc>
          <w:tcPr>
            <w:tcW w:w="2400" w:type="dxa"/>
            <w:tcBorders>
              <w:top w:val="single" w:sz="4" w:space="0" w:color="000000"/>
              <w:left w:val="single" w:sz="4" w:space="0" w:color="000000"/>
              <w:bottom w:val="single" w:sz="4" w:space="0" w:color="000000"/>
              <w:right w:val="single" w:sz="4" w:space="0" w:color="000000"/>
            </w:tcBorders>
          </w:tcPr>
          <w:p>
            <w:pPr>
              <w:pStyle w:val="Normal"/>
              <w:rPr/>
            </w:pPr>
            <w:r>
              <w:rPr>
                <w:rFonts w:eastAsia="Consolas" w:cs="Consolas" w:ascii="Consolas" w:hAnsi="Consolas"/>
                <w:b w:val="false"/>
                <w:bCs w:val="false"/>
                <w:color w:val="000000"/>
                <w:sz w:val="20"/>
                <w:szCs w:val="20"/>
              </w:rPr>
              <w:t>ekf_local_node</w:t>
            </w:r>
          </w:p>
        </w:tc>
        <w:tc>
          <w:tcPr>
            <w:tcW w:w="200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(default/root)</w:t>
            </w:r>
          </w:p>
        </w:tc>
        <w:tc>
          <w:tcPr>
            <w:tcW w:w="2899"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robot_localization / ekf_node</w:t>
            </w:r>
          </w:p>
        </w:tc>
        <w:tc>
          <w:tcPr>
            <w:tcW w:w="2050" w:type="dxa"/>
            <w:tcBorders>
              <w:top w:val="single" w:sz="4" w:space="0" w:color="000000"/>
              <w:left w:val="single" w:sz="4" w:space="0" w:color="000000"/>
              <w:bottom w:val="single" w:sz="4" w:space="0" w:color="000000"/>
              <w:right w:val="single" w:sz="4" w:space="0" w:color="000000"/>
            </w:tcBorders>
          </w:tcPr>
          <w:p>
            <w:pPr>
              <w:pStyle w:val="Normal"/>
              <w:rPr/>
            </w:pPr>
            <w:r>
              <w:rPr>
                <w:rFonts w:eastAsia="Calibri" w:cs="Calibri" w:ascii="Calibri" w:hAnsi="Calibri"/>
                <w:b w:val="false"/>
                <w:bCs w:val="false"/>
                <w:color w:val="000000"/>
                <w:sz w:val="20"/>
                <w:szCs w:val="20"/>
              </w:rPr>
              <w:t>ekf_local.yaml</w:t>
            </w:r>
          </w:p>
        </w:tc>
      </w:tr>
      <w:tr>
        <w:trPr/>
        <w:tc>
          <w:tcPr>
            <w:tcW w:w="24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onsolas" w:cs="Consolas" w:ascii="Consolas" w:hAnsi="Consolas"/>
                <w:b w:val="false"/>
                <w:bCs w:val="false"/>
                <w:color w:val="000000"/>
                <w:sz w:val="20"/>
                <w:szCs w:val="20"/>
              </w:rPr>
              <w:t>ekf_global_node</w:t>
            </w:r>
          </w:p>
        </w:tc>
        <w:tc>
          <w:tcPr>
            <w:tcW w:w="200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/global</w:t>
            </w:r>
          </w:p>
        </w:tc>
        <w:tc>
          <w:tcPr>
            <w:tcW w:w="2899"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robot_localization / ekf_node</w:t>
            </w:r>
          </w:p>
        </w:tc>
        <w:tc>
          <w:tcPr>
            <w:tcW w:w="2050" w:type="dxa"/>
            <w:tcBorders>
              <w:top w:val="single" w:sz="4" w:space="0" w:color="000000"/>
              <w:left w:val="single" w:sz="4" w:space="0" w:color="000000"/>
              <w:bottom w:val="single" w:sz="4" w:space="0" w:color="000000"/>
              <w:right w:val="single" w:sz="4" w:space="0" w:color="000000"/>
            </w:tcBorders>
            <w:shd w:fill="F7FAFC" w:val="clear"/>
          </w:tcPr>
          <w:p>
            <w:pPr>
              <w:pStyle w:val="Normal"/>
              <w:rPr/>
            </w:pPr>
            <w:r>
              <w:rPr>
                <w:rFonts w:eastAsia="Calibri" w:cs="Calibri" w:ascii="Calibri" w:hAnsi="Calibri"/>
                <w:b w:val="false"/>
                <w:bCs w:val="false"/>
                <w:color w:val="000000"/>
                <w:sz w:val="20"/>
                <w:szCs w:val="20"/>
              </w:rPr>
              <w:t>ekf_global.yaml</w:t>
            </w:r>
          </w:p>
        </w:tc>
      </w:tr>
    </w:tbl>
    <w:p>
      <w:pPr>
        <w:pStyle w:val="Normal"/>
        <w:spacing w:before="0" w:after="120"/>
        <w:rPr/>
      </w:pPr>
      <w:r>
        <w:rPr>
          <w:rFonts w:eastAsia="Calibri" w:cs="Calibri" w:ascii="Calibri" w:hAnsi="Calibri"/>
          <w:sz w:val="22"/>
          <w:szCs w:val="22"/>
        </w:rPr>
        <w:t>Note the namespace mismatch to be aware of: ekf_global.yaml declares its parameters under the key /global/ekf_global_node, which matches the namespace: "global" set on that Node in the launch file — this is required for robot_localization to find its parameters at runtime. If the namespace or the YAML top-level key are ever changed independently, they must be changed together.</w:t>
      </w:r>
    </w:p>
    <w:p>
      <w:pPr>
        <w:pStyle w:val="Heading1"/>
        <w:spacing w:before="300" w:after="150"/>
        <w:rPr/>
      </w:pPr>
      <w:r>
        <w:rPr/>
        <w:t>9. Where to Go Next</w:t>
      </w:r>
    </w:p>
    <w:p>
      <w:pPr>
        <w:pStyle w:val="Normal"/>
        <w:spacing w:before="0" w:after="120"/>
        <w:rPr/>
      </w:pPr>
      <w:r>
        <w:rPr>
          <w:rFonts w:eastAsia="Calibri" w:cs="Calibri" w:ascii="Calibri" w:hAnsi="Calibri"/>
          <w:sz w:val="22"/>
          <w:szCs w:val="22"/>
        </w:rPr>
        <w:t>See the companion Implementation Document for the exact command sequence to bring the whole stack up, plus the verification checks (ros2 topic hz, ros2 node list, ros2 topic echo, TF checks) to confirm each stage is healthy before moving on.</w:t>
      </w:r>
    </w:p>
    <w:sectPr>
      <w:type w:val="nextPage"/>
      <w:pgSz w:w="12240" w:h="15840"/>
      <w:pgMar w:left="1100" w:right="1100" w:header="0" w:top="1000" w:footer="0" w:bottom="1000" w:gutter="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0"/>
        </w:tabs>
        <w:ind w:left="480" w:hanging="260"/>
      </w:pPr>
      <w:rPr>
        <w:rFonts w:ascii="Symbol" w:hAnsi="Symbol" w:cs="Symbol" w:hint="default"/>
      </w:rPr>
    </w:lvl>
    <w:lvl w:ilvl="1">
      <w:start w:val="1"/>
      <w:numFmt w:val="bullet"/>
      <w:lvlText w:val="◦"/>
      <w:lvlJc w:val="left"/>
      <w:pPr>
        <w:tabs>
          <w:tab w:val="num" w:pos="0"/>
        </w:tabs>
        <w:ind w:left="86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204"/>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Lohit Devanagari"/>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Times New Roman" w:hAnsi="Times New Roman" w:eastAsia="Noto Serif CJK SC" w:cs="Lohit Devanagari"/>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Times New Roman" w:hAnsi="Times New Roman" w:eastAsia="Noto Serif CJK SC" w:cs="Lohit Devanagari"/>
      <w:color w:val="auto"/>
      <w:kern w:val="0"/>
      <w:sz w:val="20"/>
      <w:szCs w:val="20"/>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7</TotalTime>
  <Application>LibreOffice/6.4.7.2$Linux_X86_64 LibreOffice_project/40$Build-2</Application>
  <Pages>3</Pages>
  <Words>912</Words>
  <Characters>5264</Characters>
  <CharactersWithSpaces>6076</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2026-08-05T09:31:05Z</dcterms:created>
  <dc:creator>Un-named</dc:creator>
  <dc:description/>
  <dc:language>en-IN</dc:language>
  <cp:lastModifiedBy/>
  <dcterms:modified xsi:type="dcterms:W3CDTF">2026-08-05T15:16:08Z</dcterms:modified>
  <cp:revision>2</cp:revision>
  <dc:subject/>
  <dc:title/>
</cp:coreProperties>
</file>