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pPr>
    </w:p>
    <w:p>
      <w:pPr>
        <w:pStyle w:val="Title"/>
        <w:jc w:val="center"/>
      </w:pPr>
      <w:r>
        <w:t>cubic AI Insurance</w:t>
      </w:r>
    </w:p>
    <w:p>
      <w:pPr>
        <w:jc w:val="center"/>
      </w:pPr>
      <w:r>
        <w:rPr>
          <w:b/>
          <w:color w:val="2457A7"/>
          <w:sz w:val="36"/>
        </w:rPr>
        <w:t>Technical Documentation</w:t>
      </w:r>
    </w:p>
    <w:p>
      <w:pPr>
        <w:spacing w:before="440"/>
        <w:jc w:val="center"/>
      </w:pPr>
      <w:r>
        <w:rPr>
          <w:i/>
        </w:rPr>
        <w:t>Policy Q&amp;A, coverage analysis and claims guidance in the cubic.ai chat interface</w:t>
      </w:r>
    </w:p>
    <w:p>
      <w:pPr>
        <w:pStyle w:val="Subtitle"/>
        <w:jc w:val="center"/>
      </w:pPr>
      <w:r>
        <w:t>Prepared for the competition submission</w:t>
      </w:r>
    </w:p>
    <w:p>
      <w:r>
        <w:br w:type="page"/>
      </w:r>
    </w:p>
    <w:p>
      <w:pPr>
        <w:pStyle w:val="Heading1"/>
        <w:spacing w:before="260" w:after="100"/>
      </w:pPr>
      <w:r>
        <w:t>1  Executive summary</w:t>
      </w:r>
    </w:p>
    <w:p>
      <w:pPr>
        <w:spacing w:after="120" w:line="269" w:lineRule="auto"/>
      </w:pPr>
      <w:r>
        <w:t>cubic.ai Insurance adds a policy-aware workflow to the existing cubic.ai interface. A user uploads a policy PDF, reviews the extracted clause labels, asks questions with citations, checks described situations for potential coverage, and creates claim guidance. The selected policy and recent analysis can then continue in the normal cubic chat without another upload.</w:t>
      </w:r>
    </w:p>
    <w:p>
      <w:pPr>
        <w:spacing w:after="120" w:line="269" w:lineRule="auto"/>
      </w:pPr>
      <w:r>
        <w:t>The system is local-first. It uses the existing local cubic.ai server and optionally an Ollama model running on localhost. The policy assistant can return an extractive answer when the policy contains the needed evidence. It abstains when retrieval confidence is insufficient. Claim submission targets a mock insurer sandbox only.</w:t>
      </w:r>
    </w:p>
    <w:p>
      <w:pPr>
        <w:pStyle w:val="Heading1"/>
        <w:spacing w:before="260" w:after="100"/>
      </w:pPr>
      <w:r>
        <w:t>Scope</w:t>
      </w:r>
    </w:p>
    <w:tbl>
      <w:tblPr>
        <w:tblStyle w:val="TableGrid"/>
        <w:tblW w:type="auto" w:w="0"/>
        <w:jc w:val="center"/>
        <w:tblLook w:firstColumn="1" w:firstRow="1" w:lastColumn="0" w:lastRow="0" w:noHBand="0" w:noVBand="1" w:val="04A0"/>
      </w:tblPr>
      <w:tblGrid>
        <w:gridCol w:w="4968"/>
        <w:gridCol w:w="4968"/>
      </w:tblGrid>
      <w:tr>
        <w:tc>
          <w:tcPr>
            <w:tcW w:type="dxa" w:w="4968"/>
            <w:shd w:fill="102A56"/>
            <w:tcBorders>
              <w:top w:val="single" w:sz="4" w:color="D9E1EA"/>
              <w:left w:val="single" w:sz="4" w:color="D9E1EA"/>
              <w:bottom w:val="single" w:sz="4" w:color="D9E1EA"/>
              <w:right w:val="single" w:sz="4" w:color="D9E1EA"/>
            </w:tcBorders>
            <w:vAlign w:val="center"/>
          </w:tcPr>
          <w:p>
            <w:r>
              <w:rPr>
                <w:b/>
                <w:color w:val="FFFFFF"/>
              </w:rPr>
              <w:t>Included</w:t>
            </w:r>
          </w:p>
        </w:tc>
        <w:tc>
          <w:tcPr>
            <w:tcW w:type="dxa" w:w="4968"/>
            <w:shd w:fill="102A56"/>
            <w:tcBorders>
              <w:top w:val="single" w:sz="4" w:color="D9E1EA"/>
              <w:left w:val="single" w:sz="4" w:color="D9E1EA"/>
              <w:bottom w:val="single" w:sz="4" w:color="D9E1EA"/>
              <w:right w:val="single" w:sz="4" w:color="D9E1EA"/>
            </w:tcBorders>
            <w:vAlign w:val="center"/>
          </w:tcPr>
          <w:p>
            <w:r>
              <w:rPr>
                <w:b/>
                <w:color w:val="FFFFFF"/>
              </w:rPr>
              <w:t>Out of scope</w:t>
            </w:r>
          </w:p>
        </w:tc>
      </w:tr>
      <w:tr>
        <w:tc>
          <w:tcPr>
            <w:tcW w:type="dxa" w:w="4968"/>
            <w:tcBorders>
              <w:top w:val="single" w:sz="4" w:color="D9E1EA"/>
              <w:left w:val="single" w:sz="4" w:color="D9E1EA"/>
              <w:bottom w:val="single" w:sz="4" w:color="D9E1EA"/>
              <w:right w:val="single" w:sz="4" w:color="D9E1EA"/>
            </w:tcBorders>
            <w:vAlign w:val="center"/>
          </w:tcPr>
          <w:p>
            <w:r>
              <w:t>Policy PDF ingestion and clause extraction</w:t>
            </w:r>
          </w:p>
        </w:tc>
        <w:tc>
          <w:tcPr>
            <w:tcW w:type="dxa" w:w="4968"/>
            <w:tcBorders>
              <w:top w:val="single" w:sz="4" w:color="D9E1EA"/>
              <w:left w:val="single" w:sz="4" w:color="D9E1EA"/>
              <w:bottom w:val="single" w:sz="4" w:color="D9E1EA"/>
              <w:right w:val="single" w:sz="4" w:color="D9E1EA"/>
            </w:tcBorders>
            <w:vAlign w:val="center"/>
          </w:tcPr>
          <w:p>
            <w:r>
              <w:t>Connection to a production insurer</w:t>
            </w:r>
          </w:p>
        </w:tc>
      </w:tr>
      <w:tr>
        <w:tc>
          <w:tcPr>
            <w:tcW w:type="dxa" w:w="4968"/>
            <w:tcBorders>
              <w:top w:val="single" w:sz="4" w:color="D9E1EA"/>
              <w:left w:val="single" w:sz="4" w:color="D9E1EA"/>
              <w:bottom w:val="single" w:sz="4" w:color="D9E1EA"/>
              <w:right w:val="single" w:sz="4" w:color="D9E1EA"/>
            </w:tcBorders>
            <w:vAlign w:val="center"/>
            <w:shd w:fill="EEF3FA"/>
          </w:tcPr>
          <w:p>
            <w:r>
              <w:t>Cited policy Q&amp;A and coverage checks</w:t>
            </w:r>
          </w:p>
        </w:tc>
        <w:tc>
          <w:tcPr>
            <w:tcW w:type="dxa" w:w="4968"/>
            <w:tcBorders>
              <w:top w:val="single" w:sz="4" w:color="D9E1EA"/>
              <w:left w:val="single" w:sz="4" w:color="D9E1EA"/>
              <w:bottom w:val="single" w:sz="4" w:color="D9E1EA"/>
              <w:right w:val="single" w:sz="4" w:color="D9E1EA"/>
            </w:tcBorders>
            <w:vAlign w:val="center"/>
            <w:shd w:fill="EEF3FA"/>
          </w:tcPr>
          <w:p>
            <w:r>
              <w:t>Real claim adjudication or payment</w:t>
            </w:r>
          </w:p>
        </w:tc>
      </w:tr>
      <w:tr>
        <w:tc>
          <w:tcPr>
            <w:tcW w:type="dxa" w:w="4968"/>
            <w:tcBorders>
              <w:top w:val="single" w:sz="4" w:color="D9E1EA"/>
              <w:left w:val="single" w:sz="4" w:color="D9E1EA"/>
              <w:bottom w:val="single" w:sz="4" w:color="D9E1EA"/>
              <w:right w:val="single" w:sz="4" w:color="D9E1EA"/>
            </w:tcBorders>
            <w:vAlign w:val="center"/>
          </w:tcPr>
          <w:p>
            <w:r>
              <w:t>Claims checklist, draft and sandbox submission</w:t>
            </w:r>
          </w:p>
        </w:tc>
        <w:tc>
          <w:tcPr>
            <w:tcW w:type="dxa" w:w="4968"/>
            <w:tcBorders>
              <w:top w:val="single" w:sz="4" w:color="D9E1EA"/>
              <w:left w:val="single" w:sz="4" w:color="D9E1EA"/>
              <w:bottom w:val="single" w:sz="4" w:color="D9E1EA"/>
              <w:right w:val="single" w:sz="4" w:color="D9E1EA"/>
            </w:tcBorders>
            <w:vAlign w:val="center"/>
          </w:tcPr>
          <w:p>
            <w:r>
              <w:t>Legal, financial or insurance advice</w:t>
            </w:r>
          </w:p>
        </w:tc>
      </w:tr>
      <w:tr>
        <w:tc>
          <w:tcPr>
            <w:tcW w:type="dxa" w:w="4968"/>
            <w:tcBorders>
              <w:top w:val="single" w:sz="4" w:color="D9E1EA"/>
              <w:left w:val="single" w:sz="4" w:color="D9E1EA"/>
              <w:bottom w:val="single" w:sz="4" w:color="D9E1EA"/>
              <w:right w:val="single" w:sz="4" w:color="D9E1EA"/>
            </w:tcBorders>
            <w:vAlign w:val="center"/>
            <w:shd w:fill="EEF3FA"/>
          </w:tcPr>
          <w:p>
            <w:r>
              <w:t>Permission tiers and audit records</w:t>
            </w:r>
          </w:p>
        </w:tc>
        <w:tc>
          <w:tcPr>
            <w:tcW w:type="dxa" w:w="4968"/>
            <w:tcBorders>
              <w:top w:val="single" w:sz="4" w:color="D9E1EA"/>
              <w:left w:val="single" w:sz="4" w:color="D9E1EA"/>
              <w:bottom w:val="single" w:sz="4" w:color="D9E1EA"/>
              <w:right w:val="single" w:sz="4" w:color="D9E1EA"/>
            </w:tcBorders>
            <w:vAlign w:val="center"/>
            <w:shd w:fill="EEF3FA"/>
          </w:tcPr>
          <w:p>
            <w:r>
              <w:t>Guarantees that a claim will be accepted</w:t>
            </w:r>
          </w:p>
        </w:tc>
      </w:tr>
    </w:tbl>
    <w:p>
      <w:pPr>
        <w:spacing w:after="40"/>
      </w:pPr>
    </w:p>
    <w:p>
      <w:pPr>
        <w:pStyle w:val="Heading1"/>
        <w:spacing w:before="260" w:after="100"/>
      </w:pPr>
      <w:r>
        <w:t>2  User journey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02A56"/>
            <w:tcBorders>
              <w:top w:val="single" w:sz="4" w:color="D9E1EA"/>
              <w:left w:val="single" w:sz="4" w:color="D9E1EA"/>
              <w:bottom w:val="single" w:sz="4" w:color="D9E1EA"/>
              <w:right w:val="single" w:sz="4" w:color="D9E1EA"/>
            </w:tcBorders>
            <w:vAlign w:val="center"/>
          </w:tcPr>
          <w:p>
            <w:r>
              <w:rPr>
                <w:b/>
                <w:color w:val="FFFFFF"/>
              </w:rPr>
              <w:t>Step</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User action</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System behavior</w:t>
            </w:r>
          </w:p>
        </w:tc>
      </w:tr>
      <w:tr>
        <w:tc>
          <w:tcPr>
            <w:tcW w:type="dxa" w:w="3312"/>
            <w:tcBorders>
              <w:top w:val="single" w:sz="4" w:color="D9E1EA"/>
              <w:left w:val="single" w:sz="4" w:color="D9E1EA"/>
              <w:bottom w:val="single" w:sz="4" w:color="D9E1EA"/>
              <w:right w:val="single" w:sz="4" w:color="D9E1EA"/>
            </w:tcBorders>
            <w:vAlign w:val="center"/>
          </w:tcPr>
          <w:p>
            <w:r>
              <w:t>1</w:t>
            </w:r>
          </w:p>
        </w:tc>
        <w:tc>
          <w:tcPr>
            <w:tcW w:type="dxa" w:w="3312"/>
            <w:tcBorders>
              <w:top w:val="single" w:sz="4" w:color="D9E1EA"/>
              <w:left w:val="single" w:sz="4" w:color="D9E1EA"/>
              <w:bottom w:val="single" w:sz="4" w:color="D9E1EA"/>
              <w:right w:val="single" w:sz="4" w:color="D9E1EA"/>
            </w:tcBorders>
            <w:vAlign w:val="center"/>
          </w:tcPr>
          <w:p>
            <w:r>
              <w:t>Sign in to cubic.ai</w:t>
            </w:r>
          </w:p>
        </w:tc>
        <w:tc>
          <w:tcPr>
            <w:tcW w:type="dxa" w:w="3312"/>
            <w:tcBorders>
              <w:top w:val="single" w:sz="4" w:color="D9E1EA"/>
              <w:left w:val="single" w:sz="4" w:color="D9E1EA"/>
              <w:bottom w:val="single" w:sz="4" w:color="D9E1EA"/>
              <w:right w:val="single" w:sz="4" w:color="D9E1EA"/>
            </w:tcBorders>
            <w:vAlign w:val="center"/>
          </w:tcPr>
          <w:p>
            <w:r>
              <w:t>Loads data only for the signed-in local account.</w:t>
            </w:r>
          </w:p>
        </w:tc>
      </w:tr>
      <w:tr>
        <w:tc>
          <w:tcPr>
            <w:tcW w:type="dxa" w:w="3312"/>
            <w:tcBorders>
              <w:top w:val="single" w:sz="4" w:color="D9E1EA"/>
              <w:left w:val="single" w:sz="4" w:color="D9E1EA"/>
              <w:bottom w:val="single" w:sz="4" w:color="D9E1EA"/>
              <w:right w:val="single" w:sz="4" w:color="D9E1EA"/>
            </w:tcBorders>
            <w:vAlign w:val="center"/>
            <w:shd w:fill="EEF3FA"/>
          </w:tcPr>
          <w:p>
            <w:r>
              <w:t>2</w:t>
            </w:r>
          </w:p>
        </w:tc>
        <w:tc>
          <w:tcPr>
            <w:tcW w:type="dxa" w:w="3312"/>
            <w:tcBorders>
              <w:top w:val="single" w:sz="4" w:color="D9E1EA"/>
              <w:left w:val="single" w:sz="4" w:color="D9E1EA"/>
              <w:bottom w:val="single" w:sz="4" w:color="D9E1EA"/>
              <w:right w:val="single" w:sz="4" w:color="D9E1EA"/>
            </w:tcBorders>
            <w:vAlign w:val="center"/>
            <w:shd w:fill="EEF3FA"/>
          </w:tcPr>
          <w:p>
            <w:r>
              <w:t>Open Insurance and upload a policy PDF</w:t>
            </w:r>
          </w:p>
        </w:tc>
        <w:tc>
          <w:tcPr>
            <w:tcW w:type="dxa" w:w="3312"/>
            <w:tcBorders>
              <w:top w:val="single" w:sz="4" w:color="D9E1EA"/>
              <w:left w:val="single" w:sz="4" w:color="D9E1EA"/>
              <w:bottom w:val="single" w:sz="4" w:color="D9E1EA"/>
              <w:right w:val="single" w:sz="4" w:color="D9E1EA"/>
            </w:tcBorders>
            <w:vAlign w:val="center"/>
            <w:shd w:fill="EEF3FA"/>
          </w:tcPr>
          <w:p>
            <w:r>
              <w:t>Extracts policy text into clauses and assigns a simulated account.</w:t>
            </w:r>
          </w:p>
        </w:tc>
      </w:tr>
      <w:tr>
        <w:tc>
          <w:tcPr>
            <w:tcW w:type="dxa" w:w="3312"/>
            <w:tcBorders>
              <w:top w:val="single" w:sz="4" w:color="D9E1EA"/>
              <w:left w:val="single" w:sz="4" w:color="D9E1EA"/>
              <w:bottom w:val="single" w:sz="4" w:color="D9E1EA"/>
              <w:right w:val="single" w:sz="4" w:color="D9E1EA"/>
            </w:tcBorders>
            <w:vAlign w:val="center"/>
          </w:tcPr>
          <w:p>
            <w:r>
              <w:t>3</w:t>
            </w:r>
          </w:p>
        </w:tc>
        <w:tc>
          <w:tcPr>
            <w:tcW w:type="dxa" w:w="3312"/>
            <w:tcBorders>
              <w:top w:val="single" w:sz="4" w:color="D9E1EA"/>
              <w:left w:val="single" w:sz="4" w:color="D9E1EA"/>
              <w:bottom w:val="single" w:sz="4" w:color="D9E1EA"/>
              <w:right w:val="single" w:sz="4" w:color="D9E1EA"/>
            </w:tcBorders>
            <w:vAlign w:val="center"/>
          </w:tcPr>
          <w:p>
            <w:r>
              <w:t>Review extracted clause labels</w:t>
            </w:r>
          </w:p>
        </w:tc>
        <w:tc>
          <w:tcPr>
            <w:tcW w:type="dxa" w:w="3312"/>
            <w:tcBorders>
              <w:top w:val="single" w:sz="4" w:color="D9E1EA"/>
              <w:left w:val="single" w:sz="4" w:color="D9E1EA"/>
              <w:bottom w:val="single" w:sz="4" w:color="D9E1EA"/>
              <w:right w:val="single" w:sz="4" w:color="D9E1EA"/>
            </w:tcBorders>
            <w:vAlign w:val="center"/>
          </w:tcPr>
          <w:p>
            <w:r>
              <w:t>Allows correction of coverage, exclusion, condition, limit, claims and definition labels.</w:t>
            </w:r>
          </w:p>
        </w:tc>
      </w:tr>
      <w:tr>
        <w:tc>
          <w:tcPr>
            <w:tcW w:type="dxa" w:w="3312"/>
            <w:tcBorders>
              <w:top w:val="single" w:sz="4" w:color="D9E1EA"/>
              <w:left w:val="single" w:sz="4" w:color="D9E1EA"/>
              <w:bottom w:val="single" w:sz="4" w:color="D9E1EA"/>
              <w:right w:val="single" w:sz="4" w:color="D9E1EA"/>
            </w:tcBorders>
            <w:vAlign w:val="center"/>
            <w:shd w:fill="EEF3FA"/>
          </w:tcPr>
          <w:p>
            <w:r>
              <w:t>4</w:t>
            </w:r>
          </w:p>
        </w:tc>
        <w:tc>
          <w:tcPr>
            <w:tcW w:type="dxa" w:w="3312"/>
            <w:tcBorders>
              <w:top w:val="single" w:sz="4" w:color="D9E1EA"/>
              <w:left w:val="single" w:sz="4" w:color="D9E1EA"/>
              <w:bottom w:val="single" w:sz="4" w:color="D9E1EA"/>
              <w:right w:val="single" w:sz="4" w:color="D9E1EA"/>
            </w:tcBorders>
            <w:vAlign w:val="center"/>
            <w:shd w:fill="EEF3FA"/>
          </w:tcPr>
          <w:p>
            <w:r>
              <w:t>Ask or run coverage-gap analysis</w:t>
            </w:r>
          </w:p>
        </w:tc>
        <w:tc>
          <w:tcPr>
            <w:tcW w:type="dxa" w:w="3312"/>
            <w:tcBorders>
              <w:top w:val="single" w:sz="4" w:color="D9E1EA"/>
              <w:left w:val="single" w:sz="4" w:color="D9E1EA"/>
              <w:bottom w:val="single" w:sz="4" w:color="D9E1EA"/>
              <w:right w:val="single" w:sz="4" w:color="D9E1EA"/>
            </w:tcBorders>
            <w:vAlign w:val="center"/>
            <w:shd w:fill="EEF3FA"/>
          </w:tcPr>
          <w:p>
            <w:r>
              <w:t>Retrieves relevant clauses and returns cited results.</w:t>
            </w:r>
          </w:p>
        </w:tc>
      </w:tr>
      <w:tr>
        <w:tc>
          <w:tcPr>
            <w:tcW w:type="dxa" w:w="3312"/>
            <w:tcBorders>
              <w:top w:val="single" w:sz="4" w:color="D9E1EA"/>
              <w:left w:val="single" w:sz="4" w:color="D9E1EA"/>
              <w:bottom w:val="single" w:sz="4" w:color="D9E1EA"/>
              <w:right w:val="single" w:sz="4" w:color="D9E1EA"/>
            </w:tcBorders>
            <w:vAlign w:val="center"/>
          </w:tcPr>
          <w:p>
            <w:r>
              <w:t>5</w:t>
            </w:r>
          </w:p>
        </w:tc>
        <w:tc>
          <w:tcPr>
            <w:tcW w:type="dxa" w:w="3312"/>
            <w:tcBorders>
              <w:top w:val="single" w:sz="4" w:color="D9E1EA"/>
              <w:left w:val="single" w:sz="4" w:color="D9E1EA"/>
              <w:bottom w:val="single" w:sz="4" w:color="D9E1EA"/>
              <w:right w:val="single" w:sz="4" w:color="D9E1EA"/>
            </w:tcBorders>
            <w:vAlign w:val="center"/>
          </w:tcPr>
          <w:p>
            <w:r>
              <w:t>Continue in chat</w:t>
            </w:r>
          </w:p>
        </w:tc>
        <w:tc>
          <w:tcPr>
            <w:tcW w:type="dxa" w:w="3312"/>
            <w:tcBorders>
              <w:top w:val="single" w:sz="4" w:color="D9E1EA"/>
              <w:left w:val="single" w:sz="4" w:color="D9E1EA"/>
              <w:bottom w:val="single" w:sz="4" w:color="D9E1EA"/>
              <w:right w:val="single" w:sz="4" w:color="D9E1EA"/>
            </w:tcBorders>
            <w:vAlign w:val="center"/>
          </w:tcPr>
          <w:p>
            <w:r>
              <w:t>Carries the selected policy and recent analysis into a regular cubic conversation.</w:t>
            </w:r>
          </w:p>
        </w:tc>
      </w:tr>
      <w:tr>
        <w:tc>
          <w:tcPr>
            <w:tcW w:type="dxa" w:w="3312"/>
            <w:tcBorders>
              <w:top w:val="single" w:sz="4" w:color="D9E1EA"/>
              <w:left w:val="single" w:sz="4" w:color="D9E1EA"/>
              <w:bottom w:val="single" w:sz="4" w:color="D9E1EA"/>
              <w:right w:val="single" w:sz="4" w:color="D9E1EA"/>
            </w:tcBorders>
            <w:vAlign w:val="center"/>
            <w:shd w:fill="EEF3FA"/>
          </w:tcPr>
          <w:p>
            <w:r>
              <w:t>6</w:t>
            </w:r>
          </w:p>
        </w:tc>
        <w:tc>
          <w:tcPr>
            <w:tcW w:type="dxa" w:w="3312"/>
            <w:tcBorders>
              <w:top w:val="single" w:sz="4" w:color="D9E1EA"/>
              <w:left w:val="single" w:sz="4" w:color="D9E1EA"/>
              <w:bottom w:val="single" w:sz="4" w:color="D9E1EA"/>
              <w:right w:val="single" w:sz="4" w:color="D9E1EA"/>
            </w:tcBorders>
            <w:vAlign w:val="center"/>
            <w:shd w:fill="EEF3FA"/>
          </w:tcPr>
          <w:p>
            <w:r>
              <w:t>Create a claim draft</w:t>
            </w:r>
          </w:p>
        </w:tc>
        <w:tc>
          <w:tcPr>
            <w:tcW w:type="dxa" w:w="3312"/>
            <w:tcBorders>
              <w:top w:val="single" w:sz="4" w:color="D9E1EA"/>
              <w:left w:val="single" w:sz="4" w:color="D9E1EA"/>
              <w:bottom w:val="single" w:sz="4" w:color="D9E1EA"/>
              <w:right w:val="single" w:sz="4" w:color="D9E1EA"/>
            </w:tcBorders>
            <w:vAlign w:val="center"/>
            <w:shd w:fill="EEF3FA"/>
          </w:tcPr>
          <w:p>
            <w:r>
              <w:t>Builds a policy-based draft and identifies missing documents.</w:t>
            </w:r>
          </w:p>
        </w:tc>
      </w:tr>
      <w:tr>
        <w:tc>
          <w:tcPr>
            <w:tcW w:type="dxa" w:w="3312"/>
            <w:tcBorders>
              <w:top w:val="single" w:sz="4" w:color="D9E1EA"/>
              <w:left w:val="single" w:sz="4" w:color="D9E1EA"/>
              <w:bottom w:val="single" w:sz="4" w:color="D9E1EA"/>
              <w:right w:val="single" w:sz="4" w:color="D9E1EA"/>
            </w:tcBorders>
            <w:vAlign w:val="center"/>
          </w:tcPr>
          <w:p>
            <w:r>
              <w:t>7</w:t>
            </w:r>
          </w:p>
        </w:tc>
        <w:tc>
          <w:tcPr>
            <w:tcW w:type="dxa" w:w="3312"/>
            <w:tcBorders>
              <w:top w:val="single" w:sz="4" w:color="D9E1EA"/>
              <w:left w:val="single" w:sz="4" w:color="D9E1EA"/>
              <w:bottom w:val="single" w:sz="4" w:color="D9E1EA"/>
              <w:right w:val="single" w:sz="4" w:color="D9E1EA"/>
            </w:tcBorders>
            <w:vAlign w:val="center"/>
          </w:tcPr>
          <w:p>
            <w:r>
              <w:t>Submit sandbox claim</w:t>
            </w:r>
          </w:p>
        </w:tc>
        <w:tc>
          <w:tcPr>
            <w:tcW w:type="dxa" w:w="3312"/>
            <w:tcBorders>
              <w:top w:val="single" w:sz="4" w:color="D9E1EA"/>
              <w:left w:val="single" w:sz="4" w:color="D9E1EA"/>
              <w:bottom w:val="single" w:sz="4" w:color="D9E1EA"/>
              <w:right w:val="single" w:sz="4" w:color="D9E1EA"/>
            </w:tcBorders>
            <w:vAlign w:val="center"/>
          </w:tcPr>
          <w:p>
            <w:r>
              <w:t>Requires temporary submit permission and an explicit confirmation.</w:t>
            </w:r>
          </w:p>
        </w:tc>
      </w:tr>
    </w:tbl>
    <w:p>
      <w:pPr>
        <w:spacing w:after="40"/>
      </w:pPr>
    </w:p>
    <w:p>
      <w:r>
        <w:br w:type="page"/>
      </w:r>
    </w:p>
    <w:p>
      <w:pPr>
        <w:pStyle w:val="Heading1"/>
        <w:spacing w:before="260" w:after="100"/>
      </w:pPr>
      <w:r>
        <w:t>3  System architecture</w:t>
      </w:r>
    </w:p>
    <w:p>
      <w:pPr>
        <w:spacing w:after="120" w:line="269" w:lineRule="auto"/>
      </w:pPr>
      <w:r>
        <w:t>The web application runs as a FastAPI server. The existing document chat pipeline remains available for ordinary documents. Insurance routes use a separate policy store and tool agent, then adapt policy citations so an insurance conversation can appear inside the standard chat interface.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02A56"/>
            <w:tcBorders>
              <w:top w:val="single" w:sz="4" w:color="D9E1EA"/>
              <w:left w:val="single" w:sz="4" w:color="D9E1EA"/>
              <w:bottom w:val="single" w:sz="4" w:color="D9E1EA"/>
              <w:right w:val="single" w:sz="4" w:color="D9E1EA"/>
            </w:tcBorders>
            <w:vAlign w:val="center"/>
          </w:tcPr>
          <w:p>
            <w:r>
              <w:rPr>
                <w:b/>
                <w:color w:val="FFFFFF"/>
              </w:rPr>
              <w:t>Layer</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Main files</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Responsibility</w:t>
            </w:r>
          </w:p>
        </w:tc>
      </w:tr>
      <w:tr>
        <w:tc>
          <w:tcPr>
            <w:tcW w:type="dxa" w:w="3312"/>
            <w:tcBorders>
              <w:top w:val="single" w:sz="4" w:color="D9E1EA"/>
              <w:left w:val="single" w:sz="4" w:color="D9E1EA"/>
              <w:bottom w:val="single" w:sz="4" w:color="D9E1EA"/>
              <w:right w:val="single" w:sz="4" w:color="D9E1EA"/>
            </w:tcBorders>
            <w:vAlign w:val="center"/>
          </w:tcPr>
          <w:p>
            <w:r>
              <w:t>Interface</w:t>
            </w:r>
          </w:p>
        </w:tc>
        <w:tc>
          <w:tcPr>
            <w:tcW w:type="dxa" w:w="3312"/>
            <w:tcBorders>
              <w:top w:val="single" w:sz="4" w:color="D9E1EA"/>
              <w:left w:val="single" w:sz="4" w:color="D9E1EA"/>
              <w:bottom w:val="single" w:sz="4" w:color="D9E1EA"/>
              <w:right w:val="single" w:sz="4" w:color="D9E1EA"/>
            </w:tcBorders>
            <w:vAlign w:val="center"/>
          </w:tcPr>
          <w:p>
            <w:r>
              <w:t>frontend_quietly.html</w:t>
            </w:r>
          </w:p>
        </w:tc>
        <w:tc>
          <w:tcPr>
            <w:tcW w:type="dxa" w:w="3312"/>
            <w:tcBorders>
              <w:top w:val="single" w:sz="4" w:color="D9E1EA"/>
              <w:left w:val="single" w:sz="4" w:color="D9E1EA"/>
              <w:bottom w:val="single" w:sz="4" w:color="D9E1EA"/>
              <w:right w:val="single" w:sz="4" w:color="D9E1EA"/>
            </w:tcBorders>
            <w:vAlign w:val="center"/>
          </w:tcPr>
          <w:p>
            <w:r>
              <w:t>Insurance workspace, policy selection, handoff to chat and result display.</w:t>
            </w:r>
          </w:p>
        </w:tc>
      </w:tr>
      <w:tr>
        <w:tc>
          <w:tcPr>
            <w:tcW w:type="dxa" w:w="3312"/>
            <w:tcBorders>
              <w:top w:val="single" w:sz="4" w:color="D9E1EA"/>
              <w:left w:val="single" w:sz="4" w:color="D9E1EA"/>
              <w:bottom w:val="single" w:sz="4" w:color="D9E1EA"/>
              <w:right w:val="single" w:sz="4" w:color="D9E1EA"/>
            </w:tcBorders>
            <w:vAlign w:val="center"/>
            <w:shd w:fill="EEF3FA"/>
          </w:tcPr>
          <w:p>
            <w:r>
              <w:t>Application API</w:t>
            </w:r>
          </w:p>
        </w:tc>
        <w:tc>
          <w:tcPr>
            <w:tcW w:type="dxa" w:w="3312"/>
            <w:tcBorders>
              <w:top w:val="single" w:sz="4" w:color="D9E1EA"/>
              <w:left w:val="single" w:sz="4" w:color="D9E1EA"/>
              <w:bottom w:val="single" w:sz="4" w:color="D9E1EA"/>
              <w:right w:val="single" w:sz="4" w:color="D9E1EA"/>
            </w:tcBorders>
            <w:vAlign w:val="center"/>
            <w:shd w:fill="EEF3FA"/>
          </w:tcPr>
          <w:p>
            <w:r>
              <w:t>app_backend.py, insurance_api.py</w:t>
            </w:r>
          </w:p>
        </w:tc>
        <w:tc>
          <w:tcPr>
            <w:tcW w:type="dxa" w:w="3312"/>
            <w:tcBorders>
              <w:top w:val="single" w:sz="4" w:color="D9E1EA"/>
              <w:left w:val="single" w:sz="4" w:color="D9E1EA"/>
              <w:bottom w:val="single" w:sz="4" w:color="D9E1EA"/>
              <w:right w:val="single" w:sz="4" w:color="D9E1EA"/>
            </w:tcBorders>
            <w:vAlign w:val="center"/>
            <w:shd w:fill="EEF3FA"/>
          </w:tcPr>
          <w:p>
            <w:r>
              <w:t>Authentication, request validation, normal chat and insurance routes.</w:t>
            </w:r>
          </w:p>
        </w:tc>
      </w:tr>
      <w:tr>
        <w:tc>
          <w:tcPr>
            <w:tcW w:type="dxa" w:w="3312"/>
            <w:tcBorders>
              <w:top w:val="single" w:sz="4" w:color="D9E1EA"/>
              <w:left w:val="single" w:sz="4" w:color="D9E1EA"/>
              <w:bottom w:val="single" w:sz="4" w:color="D9E1EA"/>
              <w:right w:val="single" w:sz="4" w:color="D9E1EA"/>
            </w:tcBorders>
            <w:vAlign w:val="center"/>
          </w:tcPr>
          <w:p>
            <w:r>
              <w:t>Insurance agent</w:t>
            </w:r>
          </w:p>
        </w:tc>
        <w:tc>
          <w:tcPr>
            <w:tcW w:type="dxa" w:w="3312"/>
            <w:tcBorders>
              <w:top w:val="single" w:sz="4" w:color="D9E1EA"/>
              <w:left w:val="single" w:sz="4" w:color="D9E1EA"/>
              <w:bottom w:val="single" w:sz="4" w:color="D9E1EA"/>
              <w:right w:val="single" w:sz="4" w:color="D9E1EA"/>
            </w:tcBorders>
            <w:vAlign w:val="center"/>
          </w:tcPr>
          <w:p>
            <w:r>
              <w:t>insure/agent.py, insure/tools.py</w:t>
            </w:r>
          </w:p>
        </w:tc>
        <w:tc>
          <w:tcPr>
            <w:tcW w:type="dxa" w:w="3312"/>
            <w:tcBorders>
              <w:top w:val="single" w:sz="4" w:color="D9E1EA"/>
              <w:left w:val="single" w:sz="4" w:color="D9E1EA"/>
              <w:bottom w:val="single" w:sz="4" w:color="D9E1EA"/>
              <w:right w:val="single" w:sz="4" w:color="D9E1EA"/>
            </w:tcBorders>
            <w:vAlign w:val="center"/>
          </w:tcPr>
          <w:p>
            <w:r>
              <w:t>Intent routing, permission checks, citations, coverage checks and claim tooling.</w:t>
            </w:r>
          </w:p>
        </w:tc>
      </w:tr>
      <w:tr>
        <w:tc>
          <w:tcPr>
            <w:tcW w:type="dxa" w:w="3312"/>
            <w:tcBorders>
              <w:top w:val="single" w:sz="4" w:color="D9E1EA"/>
              <w:left w:val="single" w:sz="4" w:color="D9E1EA"/>
              <w:bottom w:val="single" w:sz="4" w:color="D9E1EA"/>
              <w:right w:val="single" w:sz="4" w:color="D9E1EA"/>
            </w:tcBorders>
            <w:vAlign w:val="center"/>
            <w:shd w:fill="EEF3FA"/>
          </w:tcPr>
          <w:p>
            <w:r>
              <w:t>Policy data</w:t>
            </w:r>
          </w:p>
        </w:tc>
        <w:tc>
          <w:tcPr>
            <w:tcW w:type="dxa" w:w="3312"/>
            <w:tcBorders>
              <w:top w:val="single" w:sz="4" w:color="D9E1EA"/>
              <w:left w:val="single" w:sz="4" w:color="D9E1EA"/>
              <w:bottom w:val="single" w:sz="4" w:color="D9E1EA"/>
              <w:right w:val="single" w:sz="4" w:color="D9E1EA"/>
            </w:tcBorders>
            <w:vAlign w:val="center"/>
            <w:shd w:fill="EEF3FA"/>
          </w:tcPr>
          <w:p>
            <w:r>
              <w:t>insure/policy_store.py, insure/ingest_policy.py</w:t>
            </w:r>
          </w:p>
        </w:tc>
        <w:tc>
          <w:tcPr>
            <w:tcW w:type="dxa" w:w="3312"/>
            <w:tcBorders>
              <w:top w:val="single" w:sz="4" w:color="D9E1EA"/>
              <w:left w:val="single" w:sz="4" w:color="D9E1EA"/>
              <w:bottom w:val="single" w:sz="4" w:color="D9E1EA"/>
              <w:right w:val="single" w:sz="4" w:color="D9E1EA"/>
            </w:tcBorders>
            <w:vAlign w:val="center"/>
            <w:shd w:fill="EEF3FA"/>
          </w:tcPr>
          <w:p>
            <w:r>
              <w:t>Clause representation, BM25 retrieval and uploaded PDF parsing.</w:t>
            </w:r>
          </w:p>
        </w:tc>
      </w:tr>
      <w:tr>
        <w:tc>
          <w:tcPr>
            <w:tcW w:type="dxa" w:w="3312"/>
            <w:tcBorders>
              <w:top w:val="single" w:sz="4" w:color="D9E1EA"/>
              <w:left w:val="single" w:sz="4" w:color="D9E1EA"/>
              <w:bottom w:val="single" w:sz="4" w:color="D9E1EA"/>
              <w:right w:val="single" w:sz="4" w:color="D9E1EA"/>
            </w:tcBorders>
            <w:vAlign w:val="center"/>
          </w:tcPr>
          <w:p>
            <w:r>
              <w:t>Sandbox and audit</w:t>
            </w:r>
          </w:p>
        </w:tc>
        <w:tc>
          <w:tcPr>
            <w:tcW w:type="dxa" w:w="3312"/>
            <w:tcBorders>
              <w:top w:val="single" w:sz="4" w:color="D9E1EA"/>
              <w:left w:val="single" w:sz="4" w:color="D9E1EA"/>
              <w:bottom w:val="single" w:sz="4" w:color="D9E1EA"/>
              <w:right w:val="single" w:sz="4" w:color="D9E1EA"/>
            </w:tcBorders>
            <w:vAlign w:val="center"/>
          </w:tcPr>
          <w:p>
            <w:r>
              <w:t>insure/sandbox_insurer.py, insure/permissions.py</w:t>
            </w:r>
          </w:p>
        </w:tc>
        <w:tc>
          <w:tcPr>
            <w:tcW w:type="dxa" w:w="3312"/>
            <w:tcBorders>
              <w:top w:val="single" w:sz="4" w:color="D9E1EA"/>
              <w:left w:val="single" w:sz="4" w:color="D9E1EA"/>
              <w:bottom w:val="single" w:sz="4" w:color="D9E1EA"/>
              <w:right w:val="single" w:sz="4" w:color="D9E1EA"/>
            </w:tcBorders>
            <w:vAlign w:val="center"/>
          </w:tcPr>
          <w:p>
            <w:r>
              <w:t>Simulated claims state and hash-chained audit events.</w:t>
            </w:r>
          </w:p>
        </w:tc>
      </w:tr>
      <w:tr>
        <w:tc>
          <w:tcPr>
            <w:tcW w:type="dxa" w:w="3312"/>
            <w:tcBorders>
              <w:top w:val="single" w:sz="4" w:color="D9E1EA"/>
              <w:left w:val="single" w:sz="4" w:color="D9E1EA"/>
              <w:bottom w:val="single" w:sz="4" w:color="D9E1EA"/>
              <w:right w:val="single" w:sz="4" w:color="D9E1EA"/>
            </w:tcBorders>
            <w:vAlign w:val="center"/>
            <w:shd w:fill="EEF3FA"/>
          </w:tcPr>
          <w:p>
            <w:r>
              <w:t>Local model runtime</w:t>
            </w:r>
          </w:p>
        </w:tc>
        <w:tc>
          <w:tcPr>
            <w:tcW w:type="dxa" w:w="3312"/>
            <w:tcBorders>
              <w:top w:val="single" w:sz="4" w:color="D9E1EA"/>
              <w:left w:val="single" w:sz="4" w:color="D9E1EA"/>
              <w:bottom w:val="single" w:sz="4" w:color="D9E1EA"/>
              <w:right w:val="single" w:sz="4" w:color="D9E1EA"/>
            </w:tcBorders>
            <w:vAlign w:val="center"/>
            <w:shd w:fill="EEF3FA"/>
          </w:tcPr>
          <w:p>
            <w:r>
              <w:t>start_ollama_lowpower.ps1, insure/llm.py</w:t>
            </w:r>
          </w:p>
        </w:tc>
        <w:tc>
          <w:tcPr>
            <w:tcW w:type="dxa" w:w="3312"/>
            <w:tcBorders>
              <w:top w:val="single" w:sz="4" w:color="D9E1EA"/>
              <w:left w:val="single" w:sz="4" w:color="D9E1EA"/>
              <w:bottom w:val="single" w:sz="4" w:color="D9E1EA"/>
              <w:right w:val="single" w:sz="4" w:color="D9E1EA"/>
            </w:tcBorders>
            <w:vAlign w:val="center"/>
            <w:shd w:fill="EEF3FA"/>
          </w:tcPr>
          <w:p>
            <w:r>
              <w:t>Optional Ollama model calls on localhost.</w:t>
            </w:r>
          </w:p>
        </w:tc>
      </w:tr>
    </w:tbl>
    <w:p>
      <w:pPr>
        <w:spacing w:after="40"/>
      </w:pPr>
    </w:p>
    <w:p>
      <w:pPr>
        <w:spacing w:after="120" w:line="269" w:lineRule="auto"/>
      </w:pPr>
      <w:r>
        <w:t>Runtime data stays outside source control: user accounts, policy uploads, claim drafts, audit records and local model environments are ignored by Git. This keeps the published repository free of personal policy material and local secrets.</w:t>
      </w:r>
    </w:p>
    <w:p>
      <w:pPr>
        <w:pStyle w:val="Heading1"/>
        <w:spacing w:before="260" w:after="100"/>
      </w:pPr>
      <w:r>
        <w:t>4  Policy ingestion and retrieval</w:t>
      </w:r>
    </w:p>
    <w:p>
      <w:pPr>
        <w:spacing w:after="120" w:line="269" w:lineRule="auto"/>
      </w:pPr>
      <w:r>
        <w:t>The policy upload route accepts a PDF, creates a per-user policy identifier, extracts text with PyMuPDF, and stores the normalized policy in the user policy folder. The interface exposes a clause review step before the user relies on analysis results.</w:t>
      </w:r>
    </w:p>
    <w:p>
      <w:pPr>
        <w:pStyle w:val="ListBullet"/>
        <w:spacing w:after="40"/>
      </w:pPr>
      <w:r>
        <w:t>Each clause retains an identifier, page number, title, text and category.</w:t>
      </w:r>
    </w:p>
    <w:p>
      <w:pPr>
        <w:pStyle w:val="ListBullet"/>
        <w:spacing w:after="40"/>
      </w:pPr>
      <w:r>
        <w:t>The default retriever scores clauses with BM25 over the selected policy only.</w:t>
      </w:r>
    </w:p>
    <w:p>
      <w:pPr>
        <w:pStyle w:val="ListBullet"/>
        <w:spacing w:after="40"/>
      </w:pPr>
      <w:r>
        <w:t>Q&amp;A checks both retrieval score and term overlap. If confidence is below the threshold, it responds that the policy does not say.</w:t>
      </w:r>
    </w:p>
    <w:p>
      <w:pPr>
        <w:pStyle w:val="ListBullet"/>
        <w:spacing w:after="40"/>
      </w:pPr>
      <w:r>
        <w:t>When an optional local model is available, the answer must cite retrieved clauses and cannot introduce unsupported numbers.</w:t>
      </w:r>
    </w:p>
    <w:p>
      <w:r>
        <w:br w:type="page"/>
      </w:r>
    </w:p>
    <w:p>
      <w:pPr>
        <w:pStyle w:val="Heading1"/>
        <w:spacing w:before="260" w:after="100"/>
      </w:pPr>
      <w:r>
        <w:t>5  Insurance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02A56"/>
            <w:tcBorders>
              <w:top w:val="single" w:sz="4" w:color="D9E1EA"/>
              <w:left w:val="single" w:sz="4" w:color="D9E1EA"/>
              <w:bottom w:val="single" w:sz="4" w:color="D9E1EA"/>
              <w:right w:val="single" w:sz="4" w:color="D9E1EA"/>
            </w:tcBorders>
            <w:vAlign w:val="center"/>
          </w:tcPr>
          <w:p>
            <w:r>
              <w:rPr>
                <w:b/>
                <w:color w:val="FFFFFF"/>
              </w:rPr>
              <w:t>Tool</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What it returns</w:t>
            </w:r>
          </w:p>
        </w:tc>
        <w:tc>
          <w:tcPr>
            <w:tcW w:type="dxa" w:w="3312"/>
            <w:shd w:fill="102A56"/>
            <w:tcBorders>
              <w:top w:val="single" w:sz="4" w:color="D9E1EA"/>
              <w:left w:val="single" w:sz="4" w:color="D9E1EA"/>
              <w:bottom w:val="single" w:sz="4" w:color="D9E1EA"/>
              <w:right w:val="single" w:sz="4" w:color="D9E1EA"/>
            </w:tcBorders>
            <w:vAlign w:val="center"/>
          </w:tcPr>
          <w:p>
            <w:r>
              <w:rPr>
                <w:b/>
                <w:color w:val="FFFFFF"/>
              </w:rPr>
              <w:t>Safety controls</w:t>
            </w:r>
          </w:p>
        </w:tc>
      </w:tr>
      <w:tr>
        <w:tc>
          <w:tcPr>
            <w:tcW w:type="dxa" w:w="3312"/>
            <w:tcBorders>
              <w:top w:val="single" w:sz="4" w:color="D9E1EA"/>
              <w:left w:val="single" w:sz="4" w:color="D9E1EA"/>
              <w:bottom w:val="single" w:sz="4" w:color="D9E1EA"/>
              <w:right w:val="single" w:sz="4" w:color="D9E1EA"/>
            </w:tcBorders>
            <w:vAlign w:val="center"/>
          </w:tcPr>
          <w:p>
            <w:r>
              <w:t>Policy Q&amp;A</w:t>
            </w:r>
          </w:p>
        </w:tc>
        <w:tc>
          <w:tcPr>
            <w:tcW w:type="dxa" w:w="3312"/>
            <w:tcBorders>
              <w:top w:val="single" w:sz="4" w:color="D9E1EA"/>
              <w:left w:val="single" w:sz="4" w:color="D9E1EA"/>
              <w:bottom w:val="single" w:sz="4" w:color="D9E1EA"/>
              <w:right w:val="single" w:sz="4" w:color="D9E1EA"/>
            </w:tcBorders>
            <w:vAlign w:val="center"/>
          </w:tcPr>
          <w:p>
            <w:r>
              <w:t>A cited answer or an abstention</w:t>
            </w:r>
          </w:p>
        </w:tc>
        <w:tc>
          <w:tcPr>
            <w:tcW w:type="dxa" w:w="3312"/>
            <w:tcBorders>
              <w:top w:val="single" w:sz="4" w:color="D9E1EA"/>
              <w:left w:val="single" w:sz="4" w:color="D9E1EA"/>
              <w:bottom w:val="single" w:sz="4" w:color="D9E1EA"/>
              <w:right w:val="single" w:sz="4" w:color="D9E1EA"/>
            </w:tcBorders>
            <w:vAlign w:val="center"/>
          </w:tcPr>
          <w:p>
            <w:r>
              <w:t>Selected policy only, retrieval thresholds, citation checks.</w:t>
            </w:r>
          </w:p>
        </w:tc>
      </w:tr>
      <w:tr>
        <w:tc>
          <w:tcPr>
            <w:tcW w:type="dxa" w:w="3312"/>
            <w:tcBorders>
              <w:top w:val="single" w:sz="4" w:color="D9E1EA"/>
              <w:left w:val="single" w:sz="4" w:color="D9E1EA"/>
              <w:bottom w:val="single" w:sz="4" w:color="D9E1EA"/>
              <w:right w:val="single" w:sz="4" w:color="D9E1EA"/>
            </w:tcBorders>
            <w:vAlign w:val="center"/>
            <w:shd w:fill="EEF3FA"/>
          </w:tcPr>
          <w:p>
            <w:r>
              <w:t>Coverage-gap analysis</w:t>
            </w:r>
          </w:p>
        </w:tc>
        <w:tc>
          <w:tcPr>
            <w:tcW w:type="dxa" w:w="3312"/>
            <w:tcBorders>
              <w:top w:val="single" w:sz="4" w:color="D9E1EA"/>
              <w:left w:val="single" w:sz="4" w:color="D9E1EA"/>
              <w:bottom w:val="single" w:sz="4" w:color="D9E1EA"/>
              <w:right w:val="single" w:sz="4" w:color="D9E1EA"/>
            </w:tcBorders>
            <w:vAlign w:val="center"/>
            <w:shd w:fill="EEF3FA"/>
          </w:tcPr>
          <w:p>
            <w:r>
              <w:t>Covered, excluded or unclear for each described situation</w:t>
            </w:r>
          </w:p>
        </w:tc>
        <w:tc>
          <w:tcPr>
            <w:tcW w:type="dxa" w:w="3312"/>
            <w:tcBorders>
              <w:top w:val="single" w:sz="4" w:color="D9E1EA"/>
              <w:left w:val="single" w:sz="4" w:color="D9E1EA"/>
              <w:bottom w:val="single" w:sz="4" w:color="D9E1EA"/>
              <w:right w:val="single" w:sz="4" w:color="D9E1EA"/>
            </w:tcBorders>
            <w:vAlign w:val="center"/>
            <w:shd w:fill="EEF3FA"/>
          </w:tcPr>
          <w:p>
            <w:r>
              <w:t>Coverage and exclusion clauses are scored separately; possible exclusions remain visible.</w:t>
            </w:r>
          </w:p>
        </w:tc>
      </w:tr>
      <w:tr>
        <w:tc>
          <w:tcPr>
            <w:tcW w:type="dxa" w:w="3312"/>
            <w:tcBorders>
              <w:top w:val="single" w:sz="4" w:color="D9E1EA"/>
              <w:left w:val="single" w:sz="4" w:color="D9E1EA"/>
              <w:bottom w:val="single" w:sz="4" w:color="D9E1EA"/>
              <w:right w:val="single" w:sz="4" w:color="D9E1EA"/>
            </w:tcBorders>
            <w:vAlign w:val="center"/>
          </w:tcPr>
          <w:p>
            <w:r>
              <w:t>Claims checklist</w:t>
            </w:r>
          </w:p>
        </w:tc>
        <w:tc>
          <w:tcPr>
            <w:tcW w:type="dxa" w:w="3312"/>
            <w:tcBorders>
              <w:top w:val="single" w:sz="4" w:color="D9E1EA"/>
              <w:left w:val="single" w:sz="4" w:color="D9E1EA"/>
              <w:bottom w:val="single" w:sz="4" w:color="D9E1EA"/>
              <w:right w:val="single" w:sz="4" w:color="D9E1EA"/>
            </w:tcBorders>
            <w:vAlign w:val="center"/>
          </w:tcPr>
          <w:p>
            <w:r>
              <w:t>Required documents, deadlines and policy-based steps</w:t>
            </w:r>
          </w:p>
        </w:tc>
        <w:tc>
          <w:tcPr>
            <w:tcW w:type="dxa" w:w="3312"/>
            <w:tcBorders>
              <w:top w:val="single" w:sz="4" w:color="D9E1EA"/>
              <w:left w:val="single" w:sz="4" w:color="D9E1EA"/>
              <w:bottom w:val="single" w:sz="4" w:color="D9E1EA"/>
              <w:right w:val="single" w:sz="4" w:color="D9E1EA"/>
            </w:tcBorders>
            <w:vAlign w:val="center"/>
          </w:tcPr>
          <w:p>
            <w:r>
              <w:t>Uses the policy type and claim clauses; does not claim insurer approval.</w:t>
            </w:r>
          </w:p>
        </w:tc>
      </w:tr>
      <w:tr>
        <w:tc>
          <w:tcPr>
            <w:tcW w:type="dxa" w:w="3312"/>
            <w:tcBorders>
              <w:top w:val="single" w:sz="4" w:color="D9E1EA"/>
              <w:left w:val="single" w:sz="4" w:color="D9E1EA"/>
              <w:bottom w:val="single" w:sz="4" w:color="D9E1EA"/>
              <w:right w:val="single" w:sz="4" w:color="D9E1EA"/>
            </w:tcBorders>
            <w:vAlign w:val="center"/>
            <w:shd w:fill="EEF3FA"/>
          </w:tcPr>
          <w:p>
            <w:r>
              <w:t>Claim draft</w:t>
            </w:r>
          </w:p>
        </w:tc>
        <w:tc>
          <w:tcPr>
            <w:tcW w:type="dxa" w:w="3312"/>
            <w:tcBorders>
              <w:top w:val="single" w:sz="4" w:color="D9E1EA"/>
              <w:left w:val="single" w:sz="4" w:color="D9E1EA"/>
              <w:bottom w:val="single" w:sz="4" w:color="D9E1EA"/>
              <w:right w:val="single" w:sz="4" w:color="D9E1EA"/>
            </w:tcBorders>
            <w:vAlign w:val="center"/>
            <w:shd w:fill="EEF3FA"/>
          </w:tcPr>
          <w:p>
            <w:r>
              <w:t>A draft text and list of missing documents</w:t>
            </w:r>
          </w:p>
        </w:tc>
        <w:tc>
          <w:tcPr>
            <w:tcW w:type="dxa" w:w="3312"/>
            <w:tcBorders>
              <w:top w:val="single" w:sz="4" w:color="D9E1EA"/>
              <w:left w:val="single" w:sz="4" w:color="D9E1EA"/>
              <w:bottom w:val="single" w:sz="4" w:color="D9E1EA"/>
              <w:right w:val="single" w:sz="4" w:color="D9E1EA"/>
            </w:tcBorders>
            <w:vAlign w:val="center"/>
            <w:shd w:fill="EEF3FA"/>
          </w:tcPr>
          <w:p>
            <w:r>
              <w:t>Draft tier only; never sends a claim.</w:t>
            </w:r>
          </w:p>
        </w:tc>
      </w:tr>
      <w:tr>
        <w:tc>
          <w:tcPr>
            <w:tcW w:type="dxa" w:w="3312"/>
            <w:tcBorders>
              <w:top w:val="single" w:sz="4" w:color="D9E1EA"/>
              <w:left w:val="single" w:sz="4" w:color="D9E1EA"/>
              <w:bottom w:val="single" w:sz="4" w:color="D9E1EA"/>
              <w:right w:val="single" w:sz="4" w:color="D9E1EA"/>
            </w:tcBorders>
            <w:vAlign w:val="center"/>
          </w:tcPr>
          <w:p>
            <w:r>
              <w:t>Sandbox claim submission</w:t>
            </w:r>
          </w:p>
        </w:tc>
        <w:tc>
          <w:tcPr>
            <w:tcW w:type="dxa" w:w="3312"/>
            <w:tcBorders>
              <w:top w:val="single" w:sz="4" w:color="D9E1EA"/>
              <w:left w:val="single" w:sz="4" w:color="D9E1EA"/>
              <w:bottom w:val="single" w:sz="4" w:color="D9E1EA"/>
              <w:right w:val="single" w:sz="4" w:color="D9E1EA"/>
            </w:tcBorders>
            <w:vAlign w:val="center"/>
          </w:tcPr>
          <w:p>
            <w:r>
              <w:t>Mock claim identifier and simulated decision</w:t>
            </w:r>
          </w:p>
        </w:tc>
        <w:tc>
          <w:tcPr>
            <w:tcW w:type="dxa" w:w="3312"/>
            <w:tcBorders>
              <w:top w:val="single" w:sz="4" w:color="D9E1EA"/>
              <w:left w:val="single" w:sz="4" w:color="D9E1EA"/>
              <w:bottom w:val="single" w:sz="4" w:color="D9E1EA"/>
              <w:right w:val="single" w:sz="4" w:color="D9E1EA"/>
            </w:tcBorders>
            <w:vAlign w:val="center"/>
          </w:tcPr>
          <w:p>
            <w:r>
              <w:t>Requires submit tier, temporary permission and explicit confirmation.</w:t>
            </w:r>
          </w:p>
        </w:tc>
      </w:tr>
    </w:tbl>
    <w:p>
      <w:pPr>
        <w:spacing w:after="40"/>
      </w:pPr>
    </w:p>
    <w:p>
      <w:pPr>
        <w:spacing w:after="120" w:line="269" w:lineRule="auto"/>
      </w:pPr>
      <w:r>
        <w:t>Coverage results are decision support. A result marked covered can still include conditions or possible exclusions. A result marked unclear directs the user to request clarification from the insurer in writing.</w:t>
      </w:r>
    </w:p>
    <w:p>
      <w:pPr>
        <w:pStyle w:val="Heading1"/>
        <w:spacing w:before="260" w:after="100"/>
      </w:pPr>
      <w:r>
        <w:t>6  Chat handoff</w:t>
      </w:r>
    </w:p>
    <w:p>
      <w:pPr>
        <w:spacing w:after="120" w:line="269" w:lineRule="auto"/>
      </w:pPr>
      <w:r>
        <w:t>The Insurance workspace includes a Continue in chat action. It starts a cubic conversation with the chosen policy attached. Recent Insurance workspace output is displayed as context in that conversation. Normal chat requests carry the selected policy identifier to the backend, which uses the same insurance agent and returns standard chat-shaped answers with policy citations.</w:t>
      </w:r>
    </w:p>
    <w:p>
      <w:pPr>
        <w:spacing w:after="120" w:line="269" w:lineRule="auto"/>
      </w:pPr>
      <w:r>
        <w:t>The handoff does not enable claim submission through chat. The sandbox submission flow remains in the Insurance workspace so the user sees the fields, permission state and confirmation action.</w:t>
      </w:r>
    </w:p>
    <w:p>
      <w:r>
        <w:br w:type="page"/>
      </w:r>
    </w:p>
    <w:p>
      <w:pPr>
        <w:pStyle w:val="Heading1"/>
        <w:spacing w:before="260" w:after="100"/>
      </w:pPr>
      <w:r>
        <w:t>7  Security and privacy</w:t>
      </w:r>
    </w:p>
    <w:tbl>
      <w:tblPr>
        <w:tblStyle w:val="TableGrid"/>
        <w:tblW w:type="auto" w:w="0"/>
        <w:jc w:val="center"/>
        <w:tblLook w:firstColumn="1" w:firstRow="1" w:lastColumn="0" w:lastRow="0" w:noHBand="0" w:noVBand="1" w:val="04A0"/>
      </w:tblPr>
      <w:tblGrid>
        <w:gridCol w:w="4968"/>
        <w:gridCol w:w="4968"/>
      </w:tblGrid>
      <w:tr>
        <w:tc>
          <w:tcPr>
            <w:tcW w:type="dxa" w:w="4968"/>
            <w:shd w:fill="102A56"/>
            <w:tcBorders>
              <w:top w:val="single" w:sz="4" w:color="D9E1EA"/>
              <w:left w:val="single" w:sz="4" w:color="D9E1EA"/>
              <w:bottom w:val="single" w:sz="4" w:color="D9E1EA"/>
              <w:right w:val="single" w:sz="4" w:color="D9E1EA"/>
            </w:tcBorders>
            <w:vAlign w:val="center"/>
          </w:tcPr>
          <w:p>
            <w:r>
              <w:rPr>
                <w:b/>
                <w:color w:val="FFFFFF"/>
              </w:rPr>
              <w:t>Control</w:t>
            </w:r>
          </w:p>
        </w:tc>
        <w:tc>
          <w:tcPr>
            <w:tcW w:type="dxa" w:w="4968"/>
            <w:shd w:fill="102A56"/>
            <w:tcBorders>
              <w:top w:val="single" w:sz="4" w:color="D9E1EA"/>
              <w:left w:val="single" w:sz="4" w:color="D9E1EA"/>
              <w:bottom w:val="single" w:sz="4" w:color="D9E1EA"/>
              <w:right w:val="single" w:sz="4" w:color="D9E1EA"/>
            </w:tcBorders>
            <w:vAlign w:val="center"/>
          </w:tcPr>
          <w:p>
            <w:r>
              <w:rPr>
                <w:b/>
                <w:color w:val="FFFFFF"/>
              </w:rPr>
              <w:t>Implementation</w:t>
            </w:r>
          </w:p>
        </w:tc>
      </w:tr>
      <w:tr>
        <w:tc>
          <w:tcPr>
            <w:tcW w:type="dxa" w:w="4968"/>
            <w:tcBorders>
              <w:top w:val="single" w:sz="4" w:color="D9E1EA"/>
              <w:left w:val="single" w:sz="4" w:color="D9E1EA"/>
              <w:bottom w:val="single" w:sz="4" w:color="D9E1EA"/>
              <w:right w:val="single" w:sz="4" w:color="D9E1EA"/>
            </w:tcBorders>
            <w:vAlign w:val="center"/>
          </w:tcPr>
          <w:p>
            <w:r>
              <w:t>Authentication</w:t>
            </w:r>
          </w:p>
        </w:tc>
        <w:tc>
          <w:tcPr>
            <w:tcW w:type="dxa" w:w="4968"/>
            <w:tcBorders>
              <w:top w:val="single" w:sz="4" w:color="D9E1EA"/>
              <w:left w:val="single" w:sz="4" w:color="D9E1EA"/>
              <w:bottom w:val="single" w:sz="4" w:color="D9E1EA"/>
              <w:right w:val="single" w:sz="4" w:color="D9E1EA"/>
            </w:tcBorders>
            <w:vAlign w:val="center"/>
          </w:tcPr>
          <w:p>
            <w:r>
              <w:t>Signed local session cookie with PBKDF2 password hashes and login throttling.</w:t>
            </w:r>
          </w:p>
        </w:tc>
      </w:tr>
      <w:tr>
        <w:tc>
          <w:tcPr>
            <w:tcW w:type="dxa" w:w="4968"/>
            <w:tcBorders>
              <w:top w:val="single" w:sz="4" w:color="D9E1EA"/>
              <w:left w:val="single" w:sz="4" w:color="D9E1EA"/>
              <w:bottom w:val="single" w:sz="4" w:color="D9E1EA"/>
              <w:right w:val="single" w:sz="4" w:color="D9E1EA"/>
            </w:tcBorders>
            <w:vAlign w:val="center"/>
            <w:shd w:fill="EEF3FA"/>
          </w:tcPr>
          <w:p>
            <w:r>
              <w:t>User separation</w:t>
            </w:r>
          </w:p>
        </w:tc>
        <w:tc>
          <w:tcPr>
            <w:tcW w:type="dxa" w:w="4968"/>
            <w:tcBorders>
              <w:top w:val="single" w:sz="4" w:color="D9E1EA"/>
              <w:left w:val="single" w:sz="4" w:color="D9E1EA"/>
              <w:bottom w:val="single" w:sz="4" w:color="D9E1EA"/>
              <w:right w:val="single" w:sz="4" w:color="D9E1EA"/>
            </w:tcBorders>
            <w:vAlign w:val="center"/>
            <w:shd w:fill="EEF3FA"/>
          </w:tcPr>
          <w:p>
            <w:r>
              <w:t>Uploaded policies, claims and audit records are namespaced by a hash of the signed-in user.</w:t>
            </w:r>
          </w:p>
        </w:tc>
      </w:tr>
      <w:tr>
        <w:tc>
          <w:tcPr>
            <w:tcW w:type="dxa" w:w="4968"/>
            <w:tcBorders>
              <w:top w:val="single" w:sz="4" w:color="D9E1EA"/>
              <w:left w:val="single" w:sz="4" w:color="D9E1EA"/>
              <w:bottom w:val="single" w:sz="4" w:color="D9E1EA"/>
              <w:right w:val="single" w:sz="4" w:color="D9E1EA"/>
            </w:tcBorders>
            <w:vAlign w:val="center"/>
          </w:tcPr>
          <w:p>
            <w:r>
              <w:t>Request validation</w:t>
            </w:r>
          </w:p>
        </w:tc>
        <w:tc>
          <w:tcPr>
            <w:tcW w:type="dxa" w:w="4968"/>
            <w:tcBorders>
              <w:top w:val="single" w:sz="4" w:color="D9E1EA"/>
              <w:left w:val="single" w:sz="4" w:color="D9E1EA"/>
              <w:bottom w:val="single" w:sz="4" w:color="D9E1EA"/>
              <w:right w:val="single" w:sz="4" w:color="D9E1EA"/>
            </w:tcBorders>
            <w:vAlign w:val="center"/>
          </w:tcPr>
          <w:p>
            <w:r>
              <w:t>FastAPI/Pydantic request models reject missing, malformed and unknown fields.</w:t>
            </w:r>
          </w:p>
        </w:tc>
      </w:tr>
      <w:tr>
        <w:tc>
          <w:tcPr>
            <w:tcW w:type="dxa" w:w="4968"/>
            <w:tcBorders>
              <w:top w:val="single" w:sz="4" w:color="D9E1EA"/>
              <w:left w:val="single" w:sz="4" w:color="D9E1EA"/>
              <w:bottom w:val="single" w:sz="4" w:color="D9E1EA"/>
              <w:right w:val="single" w:sz="4" w:color="D9E1EA"/>
            </w:tcBorders>
            <w:vAlign w:val="center"/>
            <w:shd w:fill="EEF3FA"/>
          </w:tcPr>
          <w:p>
            <w:r>
              <w:t>Permission tiers</w:t>
            </w:r>
          </w:p>
        </w:tc>
        <w:tc>
          <w:tcPr>
            <w:tcW w:type="dxa" w:w="4968"/>
            <w:tcBorders>
              <w:top w:val="single" w:sz="4" w:color="D9E1EA"/>
              <w:left w:val="single" w:sz="4" w:color="D9E1EA"/>
              <w:bottom w:val="single" w:sz="4" w:color="D9E1EA"/>
              <w:right w:val="single" w:sz="4" w:color="D9E1EA"/>
            </w:tcBorders>
            <w:vAlign w:val="center"/>
            <w:shd w:fill="EEF3FA"/>
          </w:tcPr>
          <w:p>
            <w:r>
              <w:t>Read, Draft and Submit tiers gate every agent tool invocation.</w:t>
            </w:r>
          </w:p>
        </w:tc>
      </w:tr>
      <w:tr>
        <w:tc>
          <w:tcPr>
            <w:tcW w:type="dxa" w:w="4968"/>
            <w:tcBorders>
              <w:top w:val="single" w:sz="4" w:color="D9E1EA"/>
              <w:left w:val="single" w:sz="4" w:color="D9E1EA"/>
              <w:bottom w:val="single" w:sz="4" w:color="D9E1EA"/>
              <w:right w:val="single" w:sz="4" w:color="D9E1EA"/>
            </w:tcBorders>
            <w:vAlign w:val="center"/>
          </w:tcPr>
          <w:p>
            <w:r>
              <w:t>Explicit submission</w:t>
            </w:r>
          </w:p>
        </w:tc>
        <w:tc>
          <w:tcPr>
            <w:tcW w:type="dxa" w:w="4968"/>
            <w:tcBorders>
              <w:top w:val="single" w:sz="4" w:color="D9E1EA"/>
              <w:left w:val="single" w:sz="4" w:color="D9E1EA"/>
              <w:bottom w:val="single" w:sz="4" w:color="D9E1EA"/>
              <w:right w:val="single" w:sz="4" w:color="D9E1EA"/>
            </w:tcBorders>
            <w:vAlign w:val="center"/>
          </w:tcPr>
          <w:p>
            <w:r>
              <w:t>Temporary submit permission plus a separate confirmed flag are required.</w:t>
            </w:r>
          </w:p>
        </w:tc>
      </w:tr>
      <w:tr>
        <w:tc>
          <w:tcPr>
            <w:tcW w:type="dxa" w:w="4968"/>
            <w:tcBorders>
              <w:top w:val="single" w:sz="4" w:color="D9E1EA"/>
              <w:left w:val="single" w:sz="4" w:color="D9E1EA"/>
              <w:bottom w:val="single" w:sz="4" w:color="D9E1EA"/>
              <w:right w:val="single" w:sz="4" w:color="D9E1EA"/>
            </w:tcBorders>
            <w:vAlign w:val="center"/>
            <w:shd w:fill="EEF3FA"/>
          </w:tcPr>
          <w:p>
            <w:r>
              <w:t>Audit integrity</w:t>
            </w:r>
          </w:p>
        </w:tc>
        <w:tc>
          <w:tcPr>
            <w:tcW w:type="dxa" w:w="4968"/>
            <w:tcBorders>
              <w:top w:val="single" w:sz="4" w:color="D9E1EA"/>
              <w:left w:val="single" w:sz="4" w:color="D9E1EA"/>
              <w:bottom w:val="single" w:sz="4" w:color="D9E1EA"/>
              <w:right w:val="single" w:sz="4" w:color="D9E1EA"/>
            </w:tcBorders>
            <w:vAlign w:val="center"/>
            <w:shd w:fill="EEF3FA"/>
          </w:tcPr>
          <w:p>
            <w:r>
              <w:t>Audit entries are chained with hashes and can be verified in the interface.</w:t>
            </w:r>
          </w:p>
        </w:tc>
      </w:tr>
      <w:tr>
        <w:tc>
          <w:tcPr>
            <w:tcW w:type="dxa" w:w="4968"/>
            <w:tcBorders>
              <w:top w:val="single" w:sz="4" w:color="D9E1EA"/>
              <w:left w:val="single" w:sz="4" w:color="D9E1EA"/>
              <w:bottom w:val="single" w:sz="4" w:color="D9E1EA"/>
              <w:right w:val="single" w:sz="4" w:color="D9E1EA"/>
            </w:tcBorders>
            <w:vAlign w:val="center"/>
          </w:tcPr>
          <w:p>
            <w:r>
              <w:t>Local operation</w:t>
            </w:r>
          </w:p>
        </w:tc>
        <w:tc>
          <w:tcPr>
            <w:tcW w:type="dxa" w:w="4968"/>
            <w:tcBorders>
              <w:top w:val="single" w:sz="4" w:color="D9E1EA"/>
              <w:left w:val="single" w:sz="4" w:color="D9E1EA"/>
              <w:bottom w:val="single" w:sz="4" w:color="D9E1EA"/>
              <w:right w:val="single" w:sz="4" w:color="D9E1EA"/>
            </w:tcBorders>
            <w:vAlign w:val="center"/>
          </w:tcPr>
          <w:p>
            <w:r>
              <w:t>The web app and Ollama model server communicate through localhost; source control ignores local user data.</w:t>
            </w:r>
          </w:p>
        </w:tc>
      </w:tr>
    </w:tbl>
    <w:p>
      <w:pPr>
        <w:spacing w:after="40"/>
      </w:pPr>
    </w:p>
    <w:p>
      <w:pPr>
        <w:spacing w:after="120" w:line="269" w:lineRule="auto"/>
      </w:pPr>
      <w:r>
        <w:t>Known limits: the sample sandbox contains simple rules, policy retrieval is keyword based, and a public or personal policy may contain wording that needs manual clause-label review. The system must not be presented as a replacement for an insurer, broker, lawyer or claims assessor.</w:t>
      </w:r>
    </w:p>
    <w:p>
      <w:pPr>
        <w:pStyle w:val="Heading1"/>
        <w:spacing w:before="260" w:after="100"/>
      </w:pPr>
      <w:r>
        <w:t>8  Evaluation approach</w:t>
      </w:r>
    </w:p>
    <w:p>
      <w:pPr>
        <w:spacing w:after="120" w:line="269" w:lineRule="auto"/>
      </w:pPr>
      <w:r>
        <w:t>The project includes deterministic tests for policy tools, validation and sandbox permission behavior. The most useful acceptance checks for a demonstration are: upload a policy, review a clause, ask a question with a citation, run several coverage situations, create a checklist, draft a claim, enable sandbox permission, submit only after confirmation, and verify the audit chain.</w:t>
      </w:r>
    </w:p>
    <w:p>
      <w:pPr>
        <w:spacing w:after="120" w:line="269" w:lineRule="auto"/>
      </w:pPr>
      <w:r>
        <w:t>Metrics created from synthetic policies must be treated as development evidence rather than independent performance claims. A future evaluation should use held-out public policy wordings, reviewers who did not build the rules, paraphrased questions, and a documented error taxonomy.</w:t>
      </w:r>
    </w:p>
    <w:p>
      <w:r>
        <w:br w:type="page"/>
      </w:r>
    </w:p>
    <w:p>
      <w:pPr>
        <w:pStyle w:val="Heading1"/>
        <w:spacing w:before="260" w:after="100"/>
      </w:pPr>
      <w:r>
        <w:t>9  Deployment and operation</w:t>
      </w:r>
    </w:p>
    <w:p>
      <w:pPr>
        <w:spacing w:after="120" w:line="269" w:lineRule="auto"/>
      </w:pPr>
      <w:r>
        <w:t>The project starts with start_all.ps1. It launches Ollama with local settings and starts app_backend.py on http://localhost:8000. stop_all.ps1 stops the web server and Ollama. The app has no cloud API dependency in its intended local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102A56"/>
            <w:tcBorders>
              <w:top w:val="single" w:sz="4" w:color="D9E1EA"/>
              <w:left w:val="single" w:sz="4" w:color="D9E1EA"/>
              <w:bottom w:val="single" w:sz="4" w:color="D9E1EA"/>
              <w:right w:val="single" w:sz="4" w:color="D9E1EA"/>
            </w:tcBorders>
            <w:vAlign w:val="center"/>
          </w:tcPr>
          <w:p>
            <w:r>
              <w:rPr>
                <w:b/>
                <w:color w:val="FFFFFF"/>
              </w:rPr>
              <w:t>Operational item</w:t>
            </w:r>
          </w:p>
        </w:tc>
        <w:tc>
          <w:tcPr>
            <w:tcW w:type="dxa" w:w="4968"/>
            <w:shd w:fill="102A56"/>
            <w:tcBorders>
              <w:top w:val="single" w:sz="4" w:color="D9E1EA"/>
              <w:left w:val="single" w:sz="4" w:color="D9E1EA"/>
              <w:bottom w:val="single" w:sz="4" w:color="D9E1EA"/>
              <w:right w:val="single" w:sz="4" w:color="D9E1EA"/>
            </w:tcBorders>
            <w:vAlign w:val="center"/>
          </w:tcPr>
          <w:p>
            <w:r>
              <w:rPr>
                <w:b/>
                <w:color w:val="FFFFFF"/>
              </w:rPr>
              <w:t>Guidance</w:t>
            </w:r>
          </w:p>
        </w:tc>
      </w:tr>
      <w:tr>
        <w:tc>
          <w:tcPr>
            <w:tcW w:type="dxa" w:w="4968"/>
            <w:tcBorders>
              <w:top w:val="single" w:sz="4" w:color="D9E1EA"/>
              <w:left w:val="single" w:sz="4" w:color="D9E1EA"/>
              <w:bottom w:val="single" w:sz="4" w:color="D9E1EA"/>
              <w:right w:val="single" w:sz="4" w:color="D9E1EA"/>
            </w:tcBorders>
            <w:vAlign w:val="center"/>
          </w:tcPr>
          <w:p>
            <w:r>
              <w:t>Start</w:t>
            </w:r>
          </w:p>
        </w:tc>
        <w:tc>
          <w:tcPr>
            <w:tcW w:type="dxa" w:w="4968"/>
            <w:tcBorders>
              <w:top w:val="single" w:sz="4" w:color="D9E1EA"/>
              <w:left w:val="single" w:sz="4" w:color="D9E1EA"/>
              <w:bottom w:val="single" w:sz="4" w:color="D9E1EA"/>
              <w:right w:val="single" w:sz="4" w:color="D9E1EA"/>
            </w:tcBorders>
            <w:vAlign w:val="center"/>
          </w:tcPr>
          <w:p>
            <w:r>
              <w:t>Run PowerShell: .\start_all.ps1</w:t>
            </w:r>
          </w:p>
        </w:tc>
      </w:tr>
      <w:tr>
        <w:tc>
          <w:tcPr>
            <w:tcW w:type="dxa" w:w="4968"/>
            <w:tcBorders>
              <w:top w:val="single" w:sz="4" w:color="D9E1EA"/>
              <w:left w:val="single" w:sz="4" w:color="D9E1EA"/>
              <w:bottom w:val="single" w:sz="4" w:color="D9E1EA"/>
              <w:right w:val="single" w:sz="4" w:color="D9E1EA"/>
            </w:tcBorders>
            <w:vAlign w:val="center"/>
            <w:shd w:fill="EEF3FA"/>
          </w:tcPr>
          <w:p>
            <w:r>
              <w:t>Stop</w:t>
            </w:r>
          </w:p>
        </w:tc>
        <w:tc>
          <w:tcPr>
            <w:tcW w:type="dxa" w:w="4968"/>
            <w:tcBorders>
              <w:top w:val="single" w:sz="4" w:color="D9E1EA"/>
              <w:left w:val="single" w:sz="4" w:color="D9E1EA"/>
              <w:bottom w:val="single" w:sz="4" w:color="D9E1EA"/>
              <w:right w:val="single" w:sz="4" w:color="D9E1EA"/>
            </w:tcBorders>
            <w:vAlign w:val="center"/>
            <w:shd w:fill="EEF3FA"/>
          </w:tcPr>
          <w:p>
            <w:r>
              <w:t>Run PowerShell: .\stop_all.ps1</w:t>
            </w:r>
          </w:p>
        </w:tc>
      </w:tr>
      <w:tr>
        <w:tc>
          <w:tcPr>
            <w:tcW w:type="dxa" w:w="4968"/>
            <w:tcBorders>
              <w:top w:val="single" w:sz="4" w:color="D9E1EA"/>
              <w:left w:val="single" w:sz="4" w:color="D9E1EA"/>
              <w:bottom w:val="single" w:sz="4" w:color="D9E1EA"/>
              <w:right w:val="single" w:sz="4" w:color="D9E1EA"/>
            </w:tcBorders>
            <w:vAlign w:val="center"/>
          </w:tcPr>
          <w:p>
            <w:r>
              <w:t>Model availability</w:t>
            </w:r>
          </w:p>
        </w:tc>
        <w:tc>
          <w:tcPr>
            <w:tcW w:type="dxa" w:w="4968"/>
            <w:tcBorders>
              <w:top w:val="single" w:sz="4" w:color="D9E1EA"/>
              <w:left w:val="single" w:sz="4" w:color="D9E1EA"/>
              <w:bottom w:val="single" w:sz="4" w:color="D9E1EA"/>
              <w:right w:val="single" w:sz="4" w:color="D9E1EA"/>
            </w:tcBorders>
            <w:vAlign w:val="center"/>
          </w:tcPr>
          <w:p>
            <w:r>
              <w:t>Ensure the configured local Ollama model is present before model-assisted answers.</w:t>
            </w:r>
          </w:p>
        </w:tc>
      </w:tr>
      <w:tr>
        <w:tc>
          <w:tcPr>
            <w:tcW w:type="dxa" w:w="4968"/>
            <w:tcBorders>
              <w:top w:val="single" w:sz="4" w:color="D9E1EA"/>
              <w:left w:val="single" w:sz="4" w:color="D9E1EA"/>
              <w:bottom w:val="single" w:sz="4" w:color="D9E1EA"/>
              <w:right w:val="single" w:sz="4" w:color="D9E1EA"/>
            </w:tcBorders>
            <w:vAlign w:val="center"/>
            <w:shd w:fill="EEF3FA"/>
          </w:tcPr>
          <w:p>
            <w:r>
              <w:t>Policy review</w:t>
            </w:r>
          </w:p>
        </w:tc>
        <w:tc>
          <w:tcPr>
            <w:tcW w:type="dxa" w:w="4968"/>
            <w:tcBorders>
              <w:top w:val="single" w:sz="4" w:color="D9E1EA"/>
              <w:left w:val="single" w:sz="4" w:color="D9E1EA"/>
              <w:bottom w:val="single" w:sz="4" w:color="D9E1EA"/>
              <w:right w:val="single" w:sz="4" w:color="D9E1EA"/>
            </w:tcBorders>
            <w:vAlign w:val="center"/>
            <w:shd w:fill="EEF3FA"/>
          </w:tcPr>
          <w:p>
            <w:r>
              <w:t>Review extracted clause categories after every upload.</w:t>
            </w:r>
          </w:p>
        </w:tc>
      </w:tr>
      <w:tr>
        <w:tc>
          <w:tcPr>
            <w:tcW w:type="dxa" w:w="4968"/>
            <w:tcBorders>
              <w:top w:val="single" w:sz="4" w:color="D9E1EA"/>
              <w:left w:val="single" w:sz="4" w:color="D9E1EA"/>
              <w:bottom w:val="single" w:sz="4" w:color="D9E1EA"/>
              <w:right w:val="single" w:sz="4" w:color="D9E1EA"/>
            </w:tcBorders>
            <w:vAlign w:val="center"/>
          </w:tcPr>
          <w:p>
            <w:r>
              <w:t>Claims</w:t>
            </w:r>
          </w:p>
        </w:tc>
        <w:tc>
          <w:tcPr>
            <w:tcW w:type="dxa" w:w="4968"/>
            <w:tcBorders>
              <w:top w:val="single" w:sz="4" w:color="D9E1EA"/>
              <w:left w:val="single" w:sz="4" w:color="D9E1EA"/>
              <w:bottom w:val="single" w:sz="4" w:color="D9E1EA"/>
              <w:right w:val="single" w:sz="4" w:color="D9E1EA"/>
            </w:tcBorders>
            <w:vAlign w:val="center"/>
          </w:tcPr>
          <w:p>
            <w:r>
              <w:t>Use the output as a draft; confirm policy details with the actual insurer.</w:t>
            </w:r>
          </w:p>
        </w:tc>
      </w:tr>
      <w:tr>
        <w:tc>
          <w:tcPr>
            <w:tcW w:type="dxa" w:w="4968"/>
            <w:tcBorders>
              <w:top w:val="single" w:sz="4" w:color="D9E1EA"/>
              <w:left w:val="single" w:sz="4" w:color="D9E1EA"/>
              <w:bottom w:val="single" w:sz="4" w:color="D9E1EA"/>
              <w:right w:val="single" w:sz="4" w:color="D9E1EA"/>
            </w:tcBorders>
            <w:vAlign w:val="center"/>
            <w:shd w:fill="EEF3FA"/>
          </w:tcPr>
          <w:p>
            <w:r>
              <w:t>GitHub</w:t>
            </w:r>
          </w:p>
        </w:tc>
        <w:tc>
          <w:tcPr>
            <w:tcW w:type="dxa" w:w="4968"/>
            <w:tcBorders>
              <w:top w:val="single" w:sz="4" w:color="D9E1EA"/>
              <w:left w:val="single" w:sz="4" w:color="D9E1EA"/>
              <w:bottom w:val="single" w:sz="4" w:color="D9E1EA"/>
              <w:right w:val="single" w:sz="4" w:color="D9E1EA"/>
            </w:tcBorders>
            <w:vAlign w:val="center"/>
            <w:shd w:fill="EEF3FA"/>
          </w:tcPr>
          <w:p>
            <w:r>
              <w:t>Keep data/, insurance_data/, local models and Python environments out of the repository.</w:t>
            </w:r>
          </w:p>
        </w:tc>
      </w:tr>
    </w:tbl>
    <w:p>
      <w:pPr>
        <w:spacing w:after="40"/>
      </w:pPr>
    </w:p>
    <w:p>
      <w:pPr>
        <w:pStyle w:val="Heading1"/>
        <w:spacing w:before="260" w:after="100"/>
      </w:pPr>
      <w:r>
        <w:t>10  Demonstration script</w:t>
      </w:r>
    </w:p>
    <w:p>
      <w:pPr>
        <w:pStyle w:val="ListBullet"/>
        <w:spacing w:after="40"/>
      </w:pPr>
      <w:r>
        <w:t>Sign in and open the Insurance workspace.</w:t>
      </w:r>
    </w:p>
    <w:p>
      <w:pPr>
        <w:pStyle w:val="ListBullet"/>
        <w:spacing w:after="40"/>
      </w:pPr>
      <w:r>
        <w:t>Upload a health, motor or travel policy and review at least one extracted clause category.</w:t>
      </w:r>
    </w:p>
    <w:p>
      <w:pPr>
        <w:pStyle w:val="ListBullet"/>
        <w:spacing w:after="40"/>
      </w:pPr>
      <w:r>
        <w:t>Ask a policy question and point to its cited clause and page.</w:t>
      </w:r>
    </w:p>
    <w:p>
      <w:pPr>
        <w:pStyle w:val="ListBullet"/>
        <w:spacing w:after="40"/>
      </w:pPr>
      <w:r>
        <w:t>Enter two coverage situations, including one that is unclear or excluded.</w:t>
      </w:r>
    </w:p>
    <w:p>
      <w:pPr>
        <w:pStyle w:val="ListBullet"/>
        <w:spacing w:after="40"/>
      </w:pPr>
      <w:r>
        <w:t>Generate a claim checklist and a draft. Show that the draft is not a submission.</w:t>
      </w:r>
    </w:p>
    <w:p>
      <w:pPr>
        <w:pStyle w:val="ListBullet"/>
        <w:spacing w:after="40"/>
      </w:pPr>
      <w:r>
        <w:t>Enable sandbox permission, submit a clearly labelled mock claim with explicit confirmation, and verify the audit chain.</w:t>
      </w:r>
    </w:p>
    <w:p>
      <w:pPr>
        <w:pStyle w:val="ListBullet"/>
        <w:spacing w:after="40"/>
      </w:pPr>
      <w:r>
        <w:t>Choose Continue in chat and ask a follow-up question from the normal cubic composer.</w:t>
      </w:r>
    </w:p>
    <w:p>
      <w:pPr>
        <w:pStyle w:val="Heading1"/>
        <w:spacing w:before="260" w:after="100"/>
      </w:pPr>
      <w:r>
        <w:t>11  Conclusion</w:t>
      </w:r>
    </w:p>
    <w:p>
      <w:pPr>
        <w:spacing w:after="120" w:line="269" w:lineRule="auto"/>
      </w:pPr>
      <w:r>
        <w:t>cubic.ai Insurance extends the existing document assistant with an insurance-specific workflow while keeping policy evidence, permissions and submission boundaries visible to the user. The implementation focuses on local operation, citation-grounded answers, explicit handling of uncertainty and an auditable sandbox for demonstration purposes.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cubic.ai Insurance  |  Offline demonstration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cubic.ai Insurance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