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1DBB7" w14:textId="77777777" w:rsidR="00DF4CFF" w:rsidRPr="009927BB" w:rsidRDefault="00B66E28">
      <w:pPr>
        <w:jc w:val="center"/>
        <w:rPr>
          <w:rFonts w:ascii="Times New Roman" w:hAnsi="Times New Roman" w:cs="Times New Roman"/>
        </w:rPr>
      </w:pPr>
      <w:r w:rsidRPr="009927BB">
        <w:rPr>
          <w:rFonts w:ascii="Times New Roman" w:hAnsi="Times New Roman" w:cs="Times New Roman"/>
          <w:b/>
          <w:color w:val="17324D"/>
          <w:sz w:val="52"/>
        </w:rPr>
        <w:t>AI ANALYSIS WORKFLOW DESIGN</w:t>
      </w:r>
    </w:p>
    <w:p w14:paraId="709B4CD8" w14:textId="72E384CF" w:rsidR="009927BB" w:rsidRDefault="009927BB">
      <w:pPr>
        <w:jc w:val="center"/>
        <w:rPr>
          <w:rFonts w:ascii="Times New Roman" w:hAnsi="Times New Roman" w:cs="Times New Roman"/>
          <w:b/>
          <w:color w:val="263442"/>
          <w:sz w:val="32"/>
        </w:rPr>
      </w:pPr>
      <w:r w:rsidRPr="009927BB">
        <w:rPr>
          <w:rFonts w:ascii="Times New Roman" w:hAnsi="Times New Roman" w:cs="Times New Roman"/>
          <w:b/>
          <w:color w:val="263442"/>
          <w:sz w:val="32"/>
        </w:rPr>
        <w:t xml:space="preserve">Creation of Workforce Insights Dashboard for Employee Skill </w:t>
      </w:r>
      <w:r>
        <w:rPr>
          <w:rFonts w:ascii="Times New Roman" w:hAnsi="Times New Roman" w:cs="Times New Roman"/>
          <w:b/>
          <w:color w:val="263442"/>
          <w:sz w:val="32"/>
        </w:rPr>
        <w:t>&amp;</w:t>
      </w:r>
      <w:r w:rsidRPr="009927BB">
        <w:rPr>
          <w:rFonts w:ascii="Times New Roman" w:hAnsi="Times New Roman" w:cs="Times New Roman"/>
          <w:b/>
          <w:color w:val="263442"/>
          <w:sz w:val="32"/>
        </w:rPr>
        <w:t xml:space="preserve"> Analytics</w:t>
      </w:r>
    </w:p>
    <w:p w14:paraId="0136C4C1" w14:textId="4AB3D911" w:rsidR="00DF4CFF" w:rsidRPr="00147D39" w:rsidRDefault="00B66E28">
      <w:pPr>
        <w:jc w:val="center"/>
        <w:rPr>
          <w:rFonts w:ascii="Times New Roman" w:hAnsi="Times New Roman" w:cs="Times New Roman"/>
          <w:b/>
          <w:bCs/>
          <w:sz w:val="22"/>
        </w:rPr>
      </w:pPr>
      <w:r w:rsidRPr="00147D39">
        <w:rPr>
          <w:rFonts w:ascii="Times New Roman" w:hAnsi="Times New Roman" w:cs="Times New Roman"/>
          <w:b/>
          <w:bCs/>
          <w:sz w:val="22"/>
        </w:rPr>
        <w:t>Prepared by</w:t>
      </w:r>
      <w:r w:rsidR="00147D39">
        <w:rPr>
          <w:rFonts w:ascii="Times New Roman" w:hAnsi="Times New Roman" w:cs="Times New Roman"/>
          <w:b/>
          <w:bCs/>
          <w:sz w:val="22"/>
        </w:rPr>
        <w:t xml:space="preserve"> - </w:t>
      </w:r>
      <w:r w:rsidRPr="00147D39">
        <w:rPr>
          <w:rFonts w:ascii="Times New Roman" w:hAnsi="Times New Roman" w:cs="Times New Roman"/>
          <w:b/>
          <w:bCs/>
          <w:sz w:val="22"/>
        </w:rPr>
        <w:t>Tanisha Gehlot</w:t>
      </w:r>
    </w:p>
    <w:p w14:paraId="2D26DCBB" w14:textId="4B64CD00" w:rsidR="00DF4CFF" w:rsidRDefault="00DF4CFF">
      <w:pPr>
        <w:jc w:val="center"/>
      </w:pPr>
    </w:p>
    <w:tbl>
      <w:tblPr>
        <w:tblW w:w="0" w:type="auto"/>
        <w:tblLook w:val="04A0" w:firstRow="1" w:lastRow="0" w:firstColumn="1" w:lastColumn="0" w:noHBand="0" w:noVBand="1"/>
      </w:tblPr>
      <w:tblGrid>
        <w:gridCol w:w="10212"/>
      </w:tblGrid>
      <w:tr w:rsidR="00DF4CFF" w14:paraId="1AC9CA7A" w14:textId="77777777" w:rsidTr="00147D39">
        <w:tc>
          <w:tcPr>
            <w:tcW w:w="10212" w:type="dxa"/>
            <w:tcBorders>
              <w:top w:val="single" w:sz="5" w:space="0" w:color="2A5D8F"/>
              <w:left w:val="single" w:sz="5" w:space="0" w:color="2A5D8F"/>
              <w:bottom w:val="single" w:sz="5" w:space="0" w:color="2A5D8F"/>
              <w:right w:val="single" w:sz="5" w:space="0" w:color="2A5D8F"/>
            </w:tcBorders>
            <w:shd w:val="clear" w:color="auto" w:fill="0F8B8D"/>
          </w:tcPr>
          <w:p w14:paraId="51BEAB98" w14:textId="723737CE" w:rsidR="00DF4CFF" w:rsidRDefault="00B66E28">
            <w:pPr>
              <w:spacing w:after="0"/>
            </w:pPr>
            <w:r>
              <w:br w:type="page"/>
            </w:r>
            <w:r>
              <w:rPr>
                <w:b/>
                <w:color w:val="FFFFFF"/>
                <w:sz w:val="16"/>
              </w:rPr>
              <w:t>OVERVIEW</w:t>
            </w:r>
          </w:p>
        </w:tc>
      </w:tr>
    </w:tbl>
    <w:p w14:paraId="4A695F25"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17324D"/>
          <w:sz w:val="36"/>
        </w:rPr>
        <w:t>1. Executive Summary</w:t>
      </w:r>
    </w:p>
    <w:p w14:paraId="4773EA74" w14:textId="77777777" w:rsidR="00DF4CFF" w:rsidRPr="00147D39" w:rsidRDefault="00B66E28">
      <w:pPr>
        <w:spacing w:after="80" w:line="252" w:lineRule="auto"/>
        <w:rPr>
          <w:rFonts w:ascii="Times New Roman" w:hAnsi="Times New Roman" w:cs="Times New Roman"/>
        </w:rPr>
      </w:pPr>
      <w:r w:rsidRPr="00147D39">
        <w:rPr>
          <w:rFonts w:ascii="Times New Roman" w:hAnsi="Times New Roman" w:cs="Times New Roman"/>
          <w:color w:val="263442"/>
          <w:sz w:val="18"/>
        </w:rPr>
        <w:t>This document defines the Milestone 2 AI analysis workflow for the AI-Powered Workforce Analytics &amp; Talent Intelligence Dashboard. It establishes a controlled flow from validated workforce data through preprocessing, feature engineering, machine-learning analysis, validation, insight generation, automation and dashboard-ready outputs.</w:t>
      </w:r>
    </w:p>
    <w:p w14:paraId="44F64014" w14:textId="77777777" w:rsidR="00DF4CFF" w:rsidRPr="00147D39" w:rsidRDefault="00B66E28">
      <w:pPr>
        <w:spacing w:after="80" w:line="252" w:lineRule="auto"/>
        <w:rPr>
          <w:rFonts w:ascii="Times New Roman" w:hAnsi="Times New Roman" w:cs="Times New Roman"/>
        </w:rPr>
      </w:pPr>
      <w:r w:rsidRPr="00147D39">
        <w:rPr>
          <w:rFonts w:ascii="Times New Roman" w:hAnsi="Times New Roman" w:cs="Times New Roman"/>
          <w:color w:val="263442"/>
          <w:sz w:val="18"/>
        </w:rPr>
        <w:t>The current implementation uses the IBM HR Analytics Employee Attrition dataset and a Random Forest classifier. The workflow acts as an orchestration layer that controls how approved inputs are processed and how validated outputs are released to reporting and dashboard components.</w:t>
      </w:r>
    </w:p>
    <w:p w14:paraId="3605143C"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0F8B8D"/>
          <w:sz w:val="25"/>
        </w:rPr>
        <w:t>1.1 Objectives</w:t>
      </w:r>
    </w:p>
    <w:p w14:paraId="7BE61AE2"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Define the complete flow from approved workforce data to AI-generated insights.</w:t>
      </w:r>
    </w:p>
    <w:p w14:paraId="45A24F2E"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Specify data-quality checks, transformation steps, model inputs, validation metrics and publication controls.</w:t>
      </w:r>
    </w:p>
    <w:p w14:paraId="7EC473F2"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Define configurable triggers for refresh, risk alerts, retraining and exception handling.</w:t>
      </w:r>
    </w:p>
    <w:p w14:paraId="51A0FBC1"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Establish a consistent output contract for risk, trends, alerts, model metrics and recommendations.</w:t>
      </w:r>
    </w:p>
    <w:p w14:paraId="27E70A3C" w14:textId="77777777" w:rsidR="00DF4CFF" w:rsidRDefault="00B66E28">
      <w:pPr>
        <w:pStyle w:val="ListBullet"/>
        <w:spacing w:after="40"/>
        <w:ind w:left="288" w:hanging="173"/>
      </w:pPr>
      <w:r w:rsidRPr="00147D39">
        <w:rPr>
          <w:rFonts w:ascii="Times New Roman" w:hAnsi="Times New Roman" w:cs="Times New Roman"/>
          <w:color w:val="263442"/>
          <w:sz w:val="18"/>
        </w:rPr>
        <w:t>Maintain clear data boundaries so unsupported analysis is not presented as completed prediction</w:t>
      </w:r>
      <w:r>
        <w:rPr>
          <w:color w:val="263442"/>
          <w:sz w:val="18"/>
        </w:rPr>
        <w:t>.</w:t>
      </w:r>
    </w:p>
    <w:p w14:paraId="65806195" w14:textId="77777777" w:rsidR="00DF4CFF" w:rsidRDefault="00B66E28">
      <w:pPr>
        <w:spacing w:before="140" w:after="100"/>
      </w:pPr>
      <w:r>
        <w:rPr>
          <w:rFonts w:ascii="Aptos Display" w:hAnsi="Aptos Display"/>
          <w:b/>
          <w:color w:val="0F8B8D"/>
          <w:sz w:val="25"/>
        </w:rPr>
        <w:t>1.2 Scope</w:t>
      </w:r>
    </w:p>
    <w:tbl>
      <w:tblPr>
        <w:tblW w:w="0" w:type="auto"/>
        <w:jc w:val="center"/>
        <w:tblLook w:val="04A0" w:firstRow="1" w:lastRow="0" w:firstColumn="1" w:lastColumn="0" w:noHBand="0" w:noVBand="1"/>
      </w:tblPr>
      <w:tblGrid>
        <w:gridCol w:w="4032"/>
        <w:gridCol w:w="6180"/>
      </w:tblGrid>
      <w:tr w:rsidR="00DF4CFF" w14:paraId="735F62B1" w14:textId="77777777">
        <w:trPr>
          <w:jc w:val="center"/>
        </w:trPr>
        <w:tc>
          <w:tcPr>
            <w:tcW w:w="5112" w:type="dxa"/>
            <w:tcBorders>
              <w:top w:val="single" w:sz="5" w:space="0" w:color="2A5D8F"/>
              <w:left w:val="single" w:sz="5" w:space="0" w:color="2A5D8F"/>
              <w:bottom w:val="single" w:sz="5" w:space="0" w:color="2A5D8F"/>
              <w:right w:val="single" w:sz="5" w:space="0" w:color="2A5D8F"/>
            </w:tcBorders>
            <w:shd w:val="clear" w:color="auto" w:fill="17324D"/>
          </w:tcPr>
          <w:p w14:paraId="092C7D67"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7"/>
              </w:rPr>
              <w:t>Area</w:t>
            </w:r>
          </w:p>
        </w:tc>
        <w:tc>
          <w:tcPr>
            <w:tcW w:w="5112" w:type="dxa"/>
            <w:tcBorders>
              <w:top w:val="single" w:sz="5" w:space="0" w:color="2A5D8F"/>
              <w:left w:val="single" w:sz="5" w:space="0" w:color="2A5D8F"/>
              <w:bottom w:val="single" w:sz="5" w:space="0" w:color="2A5D8F"/>
              <w:right w:val="single" w:sz="5" w:space="0" w:color="2A5D8F"/>
            </w:tcBorders>
            <w:shd w:val="clear" w:color="auto" w:fill="17324D"/>
          </w:tcPr>
          <w:p w14:paraId="0AD39DF4"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7"/>
              </w:rPr>
              <w:t>Definition</w:t>
            </w:r>
          </w:p>
        </w:tc>
      </w:tr>
      <w:tr w:rsidR="00DF4CFF" w14:paraId="38E32753"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2D5A2453"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Input</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76306016"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Approved workforce records from enterprise HR sources or the current Excel/CSV implementation dataset.</w:t>
            </w:r>
          </w:p>
        </w:tc>
      </w:tr>
      <w:tr w:rsidR="00DF4CFF" w14:paraId="38869F54"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F3F7FA"/>
          </w:tcPr>
          <w:p w14:paraId="7D687463"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AI Analysis</w:t>
            </w:r>
          </w:p>
        </w:tc>
        <w:tc>
          <w:tcPr>
            <w:tcW w:w="7776" w:type="dxa"/>
            <w:tcBorders>
              <w:top w:val="single" w:sz="5" w:space="0" w:color="2A5D8F"/>
              <w:left w:val="single" w:sz="5" w:space="0" w:color="2A5D8F"/>
              <w:bottom w:val="single" w:sz="5" w:space="0" w:color="2A5D8F"/>
              <w:right w:val="single" w:sz="5" w:space="0" w:color="2A5D8F"/>
            </w:tcBorders>
            <w:shd w:val="clear" w:color="auto" w:fill="FFFFFF"/>
          </w:tcPr>
          <w:p w14:paraId="2B4606FB"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Workforce trend monitoring, attrition prediction, workforce health/engagement analysis and skill-gap integration.</w:t>
            </w:r>
          </w:p>
        </w:tc>
      </w:tr>
      <w:tr w:rsidR="00DF4CFF" w14:paraId="7305554E"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1F9B32AF"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Controls</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1FF41CE6"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Data-quality gate, model-validation gate, automation triggers and audit logging.</w:t>
            </w:r>
          </w:p>
        </w:tc>
      </w:tr>
      <w:tr w:rsidR="00DF4CFF" w14:paraId="1105D9F7"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F3F7FA"/>
          </w:tcPr>
          <w:p w14:paraId="2EA6828E"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Outputs</w:t>
            </w:r>
          </w:p>
        </w:tc>
        <w:tc>
          <w:tcPr>
            <w:tcW w:w="7776" w:type="dxa"/>
            <w:tcBorders>
              <w:top w:val="single" w:sz="5" w:space="0" w:color="2A5D8F"/>
              <w:left w:val="single" w:sz="5" w:space="0" w:color="2A5D8F"/>
              <w:bottom w:val="single" w:sz="5" w:space="0" w:color="2A5D8F"/>
              <w:right w:val="single" w:sz="5" w:space="0" w:color="2A5D8F"/>
            </w:tcBorders>
            <w:shd w:val="clear" w:color="auto" w:fill="FFFFFF"/>
          </w:tcPr>
          <w:p w14:paraId="44EB46BF"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Validated risk scores, trend metrics, alerts, model metrics and business-readable insights.</w:t>
            </w:r>
          </w:p>
        </w:tc>
      </w:tr>
    </w:tbl>
    <w:p w14:paraId="2887A4A2" w14:textId="77777777" w:rsidR="00DF4CFF" w:rsidRDefault="00B66E28">
      <w:r>
        <w:br w:type="page"/>
      </w:r>
    </w:p>
    <w:tbl>
      <w:tblPr>
        <w:tblW w:w="0" w:type="auto"/>
        <w:tblLook w:val="04A0" w:firstRow="1" w:lastRow="0" w:firstColumn="1" w:lastColumn="0" w:noHBand="0" w:noVBand="1"/>
      </w:tblPr>
      <w:tblGrid>
        <w:gridCol w:w="10212"/>
      </w:tblGrid>
      <w:tr w:rsidR="00DF4CFF" w:rsidRPr="00147D39" w14:paraId="4CFA9BD8" w14:textId="77777777">
        <w:tc>
          <w:tcPr>
            <w:tcW w:w="10224" w:type="dxa"/>
            <w:tcBorders>
              <w:top w:val="single" w:sz="5" w:space="0" w:color="2A5D8F"/>
              <w:left w:val="single" w:sz="5" w:space="0" w:color="2A5D8F"/>
              <w:bottom w:val="single" w:sz="5" w:space="0" w:color="2A5D8F"/>
              <w:right w:val="single" w:sz="5" w:space="0" w:color="2A5D8F"/>
            </w:tcBorders>
            <w:shd w:val="clear" w:color="auto" w:fill="0F8B8D"/>
          </w:tcPr>
          <w:p w14:paraId="76C3B4C3"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6"/>
              </w:rPr>
              <w:lastRenderedPageBreak/>
              <w:t>WORKFLOW ARCHITECTURE</w:t>
            </w:r>
          </w:p>
        </w:tc>
      </w:tr>
    </w:tbl>
    <w:p w14:paraId="453982D0"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17324D"/>
          <w:sz w:val="36"/>
        </w:rPr>
        <w:t>2. End-to-End AI Workflow</w:t>
      </w:r>
    </w:p>
    <w:p w14:paraId="4F554B76" w14:textId="7E920380" w:rsidR="00DF4CFF" w:rsidRPr="00147D39" w:rsidRDefault="00B66E28" w:rsidP="00E260DB">
      <w:pPr>
        <w:spacing w:after="80" w:line="252" w:lineRule="auto"/>
        <w:rPr>
          <w:rFonts w:ascii="Times New Roman" w:hAnsi="Times New Roman" w:cs="Times New Roman"/>
          <w:noProof/>
        </w:rPr>
      </w:pPr>
      <w:r w:rsidRPr="00147D39">
        <w:rPr>
          <w:rFonts w:ascii="Times New Roman" w:hAnsi="Times New Roman" w:cs="Times New Roman"/>
          <w:color w:val="263442"/>
          <w:sz w:val="18"/>
        </w:rPr>
        <w:t>The primary workflow below is intentionally presented in the same visual style as the presentation: sequential stages, clear gates, and a controlled output path</w:t>
      </w:r>
    </w:p>
    <w:tbl>
      <w:tblPr>
        <w:tblW w:w="0" w:type="auto"/>
        <w:tblLook w:val="04A0" w:firstRow="1" w:lastRow="0" w:firstColumn="1" w:lastColumn="0" w:noHBand="0" w:noVBand="1"/>
      </w:tblPr>
      <w:tblGrid>
        <w:gridCol w:w="10212"/>
      </w:tblGrid>
      <w:tr w:rsidR="00DF4CFF" w:rsidRPr="00147D39" w14:paraId="356A150E" w14:textId="77777777">
        <w:tc>
          <w:tcPr>
            <w:tcW w:w="10224" w:type="dxa"/>
            <w:tcBorders>
              <w:top w:val="single" w:sz="5" w:space="0" w:color="0F8B8D"/>
              <w:left w:val="single" w:sz="5" w:space="0" w:color="0F8B8D"/>
              <w:bottom w:val="single" w:sz="5" w:space="0" w:color="0F8B8D"/>
              <w:right w:val="single" w:sz="5" w:space="0" w:color="0F8B8D"/>
            </w:tcBorders>
            <w:shd w:val="clear" w:color="auto" w:fill="E7F2F2"/>
          </w:tcPr>
          <w:p w14:paraId="27231528" w14:textId="7A2EC33B" w:rsidR="00E260DB" w:rsidRPr="00147D39" w:rsidRDefault="00E260DB" w:rsidP="00E260DB">
            <w:pPr>
              <w:spacing w:after="80" w:line="252" w:lineRule="auto"/>
              <w:rPr>
                <w:rFonts w:ascii="Times New Roman" w:hAnsi="Times New Roman" w:cs="Times New Roman"/>
              </w:rPr>
            </w:pPr>
            <w:r w:rsidRPr="00147D39">
              <w:rPr>
                <w:rFonts w:ascii="Times New Roman" w:hAnsi="Times New Roman" w:cs="Times New Roman"/>
                <w:noProof/>
              </w:rPr>
              <w:drawing>
                <wp:inline distT="0" distB="0" distL="0" distR="0" wp14:anchorId="320B7FD3" wp14:editId="6DB2A9EA">
                  <wp:extent cx="6367145" cy="3652649"/>
                  <wp:effectExtent l="0" t="0" r="0" b="5080"/>
                  <wp:docPr id="2062915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31540" cy="3689590"/>
                          </a:xfrm>
                          <a:prstGeom prst="rect">
                            <a:avLst/>
                          </a:prstGeom>
                          <a:noFill/>
                        </pic:spPr>
                      </pic:pic>
                    </a:graphicData>
                  </a:graphic>
                </wp:inline>
              </w:drawing>
            </w:r>
          </w:p>
          <w:p w14:paraId="163CCBFB" w14:textId="77777777" w:rsidR="00DF4CFF" w:rsidRPr="00147D39" w:rsidRDefault="00B66E28">
            <w:pPr>
              <w:rPr>
                <w:rFonts w:ascii="Times New Roman" w:hAnsi="Times New Roman" w:cs="Times New Roman"/>
              </w:rPr>
            </w:pPr>
            <w:r w:rsidRPr="00147D39">
              <w:rPr>
                <w:rFonts w:ascii="Times New Roman" w:hAnsi="Times New Roman" w:cs="Times New Roman"/>
                <w:b/>
                <w:color w:val="0F8B8D"/>
                <w:sz w:val="18"/>
              </w:rPr>
              <w:t>Key principle</w:t>
            </w:r>
            <w:r w:rsidRPr="00147D39">
              <w:rPr>
                <w:rFonts w:ascii="Times New Roman" w:hAnsi="Times New Roman" w:cs="Times New Roman"/>
                <w:b/>
                <w:color w:val="0F8B8D"/>
                <w:sz w:val="18"/>
              </w:rPr>
              <w:br/>
            </w:r>
            <w:r w:rsidRPr="00147D39">
              <w:rPr>
                <w:rFonts w:ascii="Times New Roman" w:hAnsi="Times New Roman" w:cs="Times New Roman"/>
                <w:color w:val="263442"/>
                <w:sz w:val="17"/>
              </w:rPr>
              <w:t>No prediction is published until the required data-quality and model-validation gates pass.</w:t>
            </w:r>
          </w:p>
        </w:tc>
      </w:tr>
    </w:tbl>
    <w:p w14:paraId="41B68EC1" w14:textId="77777777" w:rsidR="00DF4CFF" w:rsidRPr="00147D39" w:rsidRDefault="00B66E28">
      <w:pPr>
        <w:rPr>
          <w:rFonts w:ascii="Times New Roman" w:hAnsi="Times New Roman" w:cs="Times New Roman"/>
        </w:rPr>
      </w:pPr>
      <w:r w:rsidRPr="00147D39">
        <w:rPr>
          <w:rFonts w:ascii="Times New Roman" w:hAnsi="Times New Roman" w:cs="Times New Roman"/>
        </w:rPr>
        <w:br w:type="page"/>
      </w:r>
    </w:p>
    <w:tbl>
      <w:tblPr>
        <w:tblW w:w="0" w:type="auto"/>
        <w:tblLook w:val="04A0" w:firstRow="1" w:lastRow="0" w:firstColumn="1" w:lastColumn="0" w:noHBand="0" w:noVBand="1"/>
      </w:tblPr>
      <w:tblGrid>
        <w:gridCol w:w="10212"/>
      </w:tblGrid>
      <w:tr w:rsidR="00DF4CFF" w:rsidRPr="00147D39" w14:paraId="7F3D207F" w14:textId="77777777">
        <w:tc>
          <w:tcPr>
            <w:tcW w:w="10224" w:type="dxa"/>
            <w:tcBorders>
              <w:top w:val="single" w:sz="5" w:space="0" w:color="2A5D8F"/>
              <w:left w:val="single" w:sz="5" w:space="0" w:color="2A5D8F"/>
              <w:bottom w:val="single" w:sz="5" w:space="0" w:color="2A5D8F"/>
              <w:right w:val="single" w:sz="5" w:space="0" w:color="2A5D8F"/>
            </w:tcBorders>
            <w:shd w:val="clear" w:color="auto" w:fill="0F8B8D"/>
          </w:tcPr>
          <w:p w14:paraId="138F65B2"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6"/>
              </w:rPr>
              <w:lastRenderedPageBreak/>
              <w:t>PROCESSING LOGIC</w:t>
            </w:r>
          </w:p>
        </w:tc>
      </w:tr>
    </w:tbl>
    <w:p w14:paraId="6714A93C"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17324D"/>
          <w:sz w:val="36"/>
        </w:rPr>
        <w:t>3. Data Flow &amp; Processing Steps</w:t>
      </w:r>
    </w:p>
    <w:p w14:paraId="1EAD61CD" w14:textId="77777777" w:rsidR="00DF4CFF" w:rsidRPr="00147D39" w:rsidRDefault="00B66E28">
      <w:pPr>
        <w:spacing w:after="80" w:line="252" w:lineRule="auto"/>
        <w:rPr>
          <w:rFonts w:ascii="Times New Roman" w:hAnsi="Times New Roman" w:cs="Times New Roman"/>
        </w:rPr>
      </w:pPr>
      <w:r w:rsidRPr="00147D39">
        <w:rPr>
          <w:rFonts w:ascii="Times New Roman" w:hAnsi="Times New Roman" w:cs="Times New Roman"/>
          <w:color w:val="263442"/>
          <w:sz w:val="18"/>
        </w:rPr>
        <w:t>Each stage produces a defined output for the next stage. The two-column layout is used only for readability; the numbered sequence remains the source of execution order.</w:t>
      </w:r>
    </w:p>
    <w:p w14:paraId="7C8DCABD" w14:textId="1B015194" w:rsidR="00DF4CFF" w:rsidRPr="00147D39" w:rsidRDefault="00CD5E40">
      <w:pPr>
        <w:jc w:val="center"/>
        <w:rPr>
          <w:rFonts w:ascii="Times New Roman" w:hAnsi="Times New Roman" w:cs="Times New Roman"/>
        </w:rPr>
      </w:pPr>
      <w:r w:rsidRPr="00147D39">
        <w:rPr>
          <w:rFonts w:ascii="Times New Roman" w:hAnsi="Times New Roman" w:cs="Times New Roman"/>
          <w:noProof/>
        </w:rPr>
        <mc:AlternateContent>
          <mc:Choice Requires="wps">
            <w:drawing>
              <wp:inline distT="0" distB="0" distL="0" distR="0" wp14:anchorId="362ECBFE" wp14:editId="781848AB">
                <wp:extent cx="304800" cy="304800"/>
                <wp:effectExtent l="0" t="0" r="0" b="0"/>
                <wp:docPr id="60957948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B7D0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7D39">
        <w:rPr>
          <w:rFonts w:ascii="Times New Roman" w:hAnsi="Times New Roman" w:cs="Times New Roman"/>
          <w:noProof/>
        </w:rPr>
        <w:drawing>
          <wp:inline distT="0" distB="0" distL="0" distR="0" wp14:anchorId="3F70FE08" wp14:editId="4EB3ABF3">
            <wp:extent cx="5816330" cy="3273425"/>
            <wp:effectExtent l="0" t="0" r="0" b="3175"/>
            <wp:docPr id="2011200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8213" cy="3280113"/>
                    </a:xfrm>
                    <a:prstGeom prst="rect">
                      <a:avLst/>
                    </a:prstGeom>
                    <a:noFill/>
                  </pic:spPr>
                </pic:pic>
              </a:graphicData>
            </a:graphic>
          </wp:inline>
        </w:drawing>
      </w:r>
    </w:p>
    <w:p w14:paraId="66A7A99F"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0F8B8D"/>
          <w:sz w:val="25"/>
        </w:rPr>
        <w:t>3.1 Processing Controls</w:t>
      </w:r>
    </w:p>
    <w:tbl>
      <w:tblPr>
        <w:tblW w:w="0" w:type="auto"/>
        <w:jc w:val="center"/>
        <w:tblLook w:val="04A0" w:firstRow="1" w:lastRow="0" w:firstColumn="1" w:lastColumn="0" w:noHBand="0" w:noVBand="1"/>
      </w:tblPr>
      <w:tblGrid>
        <w:gridCol w:w="4108"/>
        <w:gridCol w:w="6104"/>
      </w:tblGrid>
      <w:tr w:rsidR="00DF4CFF" w:rsidRPr="00147D39" w14:paraId="4A76D764" w14:textId="77777777">
        <w:trPr>
          <w:jc w:val="center"/>
        </w:trPr>
        <w:tc>
          <w:tcPr>
            <w:tcW w:w="5112" w:type="dxa"/>
            <w:tcBorders>
              <w:top w:val="single" w:sz="5" w:space="0" w:color="2A5D8F"/>
              <w:left w:val="single" w:sz="5" w:space="0" w:color="2A5D8F"/>
              <w:bottom w:val="single" w:sz="5" w:space="0" w:color="2A5D8F"/>
              <w:right w:val="single" w:sz="5" w:space="0" w:color="2A5D8F"/>
            </w:tcBorders>
            <w:shd w:val="clear" w:color="auto" w:fill="17324D"/>
          </w:tcPr>
          <w:p w14:paraId="4923276E"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7"/>
              </w:rPr>
              <w:t>Control</w:t>
            </w:r>
          </w:p>
        </w:tc>
        <w:tc>
          <w:tcPr>
            <w:tcW w:w="5112" w:type="dxa"/>
            <w:tcBorders>
              <w:top w:val="single" w:sz="5" w:space="0" w:color="2A5D8F"/>
              <w:left w:val="single" w:sz="5" w:space="0" w:color="2A5D8F"/>
              <w:bottom w:val="single" w:sz="5" w:space="0" w:color="2A5D8F"/>
              <w:right w:val="single" w:sz="5" w:space="0" w:color="2A5D8F"/>
            </w:tcBorders>
            <w:shd w:val="clear" w:color="auto" w:fill="17324D"/>
          </w:tcPr>
          <w:p w14:paraId="64AC8BAA"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7"/>
              </w:rPr>
              <w:t>Definition</w:t>
            </w:r>
          </w:p>
        </w:tc>
      </w:tr>
      <w:tr w:rsidR="00DF4CFF" w:rsidRPr="00147D39" w14:paraId="3235ED91"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4C3200FA"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Data Quality</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355C5502"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Schema, target, identifiers, duplicates, missing/infinite values and data types are checked before downstream processing.</w:t>
            </w:r>
          </w:p>
        </w:tc>
      </w:tr>
      <w:tr w:rsidR="00DF4CFF" w:rsidRPr="00147D39" w14:paraId="1736F313"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F3F7FA"/>
          </w:tcPr>
          <w:p w14:paraId="59E7A439"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Preprocessing</w:t>
            </w:r>
          </w:p>
        </w:tc>
        <w:tc>
          <w:tcPr>
            <w:tcW w:w="7776" w:type="dxa"/>
            <w:tcBorders>
              <w:top w:val="single" w:sz="5" w:space="0" w:color="2A5D8F"/>
              <w:left w:val="single" w:sz="5" w:space="0" w:color="2A5D8F"/>
              <w:bottom w:val="single" w:sz="5" w:space="0" w:color="2A5D8F"/>
              <w:right w:val="single" w:sz="5" w:space="0" w:color="2A5D8F"/>
            </w:tcBorders>
            <w:shd w:val="clear" w:color="auto" w:fill="FFFFFF"/>
          </w:tcPr>
          <w:p w14:paraId="269402AA"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Column names and values are standardized and invalid records are removed.</w:t>
            </w:r>
          </w:p>
        </w:tc>
      </w:tr>
      <w:tr w:rsidR="00DF4CFF" w:rsidRPr="00147D39" w14:paraId="1E741FD0"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3217E609"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Feature Engineering</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59E0C1B5"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Binary Attrition target, one-hot categorical fields and identifier exclusion prepare the ML-ready matrix.</w:t>
            </w:r>
          </w:p>
        </w:tc>
      </w:tr>
      <w:tr w:rsidR="00DF4CFF" w:rsidRPr="00147D39" w14:paraId="750AF582"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F3F7FA"/>
          </w:tcPr>
          <w:p w14:paraId="67F526FB"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Prediction &amp; Validation</w:t>
            </w:r>
          </w:p>
        </w:tc>
        <w:tc>
          <w:tcPr>
            <w:tcW w:w="7776" w:type="dxa"/>
            <w:tcBorders>
              <w:top w:val="single" w:sz="5" w:space="0" w:color="2A5D8F"/>
              <w:left w:val="single" w:sz="5" w:space="0" w:color="2A5D8F"/>
              <w:bottom w:val="single" w:sz="5" w:space="0" w:color="2A5D8F"/>
              <w:right w:val="single" w:sz="5" w:space="0" w:color="2A5D8F"/>
            </w:tcBorders>
            <w:shd w:val="clear" w:color="auto" w:fill="FFFFFF"/>
          </w:tcPr>
          <w:p w14:paraId="42E562C5"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Probability, risk category and validation metrics are generated before release.</w:t>
            </w:r>
          </w:p>
        </w:tc>
      </w:tr>
    </w:tbl>
    <w:p w14:paraId="4079632E" w14:textId="77777777" w:rsidR="00DF4CFF" w:rsidRPr="00147D39" w:rsidRDefault="00B66E28">
      <w:pPr>
        <w:rPr>
          <w:rFonts w:ascii="Times New Roman" w:hAnsi="Times New Roman" w:cs="Times New Roman"/>
        </w:rPr>
      </w:pPr>
      <w:r w:rsidRPr="00147D39">
        <w:rPr>
          <w:rFonts w:ascii="Times New Roman" w:hAnsi="Times New Roman" w:cs="Times New Roman"/>
        </w:rPr>
        <w:br w:type="page"/>
      </w:r>
    </w:p>
    <w:tbl>
      <w:tblPr>
        <w:tblW w:w="0" w:type="auto"/>
        <w:tblLook w:val="04A0" w:firstRow="1" w:lastRow="0" w:firstColumn="1" w:lastColumn="0" w:noHBand="0" w:noVBand="1"/>
      </w:tblPr>
      <w:tblGrid>
        <w:gridCol w:w="10212"/>
      </w:tblGrid>
      <w:tr w:rsidR="00DF4CFF" w:rsidRPr="00147D39" w14:paraId="777ACFD3" w14:textId="77777777">
        <w:tc>
          <w:tcPr>
            <w:tcW w:w="10224" w:type="dxa"/>
            <w:tcBorders>
              <w:top w:val="single" w:sz="5" w:space="0" w:color="2A5D8F"/>
              <w:left w:val="single" w:sz="5" w:space="0" w:color="2A5D8F"/>
              <w:bottom w:val="single" w:sz="5" w:space="0" w:color="2A5D8F"/>
              <w:right w:val="single" w:sz="5" w:space="0" w:color="2A5D8F"/>
            </w:tcBorders>
            <w:shd w:val="clear" w:color="auto" w:fill="0F8B8D"/>
          </w:tcPr>
          <w:p w14:paraId="0BDEA55E"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6"/>
              </w:rPr>
              <w:lastRenderedPageBreak/>
              <w:t>AI MODEL</w:t>
            </w:r>
          </w:p>
        </w:tc>
      </w:tr>
    </w:tbl>
    <w:p w14:paraId="3D83D933"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17324D"/>
          <w:sz w:val="36"/>
        </w:rPr>
        <w:t>4. Machine-Learning Engine &amp; Validation</w:t>
      </w:r>
    </w:p>
    <w:p w14:paraId="063043A3" w14:textId="77777777" w:rsidR="00DF4CFF" w:rsidRPr="00147D39" w:rsidRDefault="00B66E28">
      <w:pPr>
        <w:spacing w:after="80" w:line="252" w:lineRule="auto"/>
        <w:rPr>
          <w:rFonts w:ascii="Times New Roman" w:hAnsi="Times New Roman" w:cs="Times New Roman"/>
        </w:rPr>
      </w:pPr>
      <w:r w:rsidRPr="00147D39">
        <w:rPr>
          <w:rFonts w:ascii="Times New Roman" w:hAnsi="Times New Roman" w:cs="Times New Roman"/>
          <w:color w:val="263442"/>
          <w:sz w:val="18"/>
        </w:rPr>
        <w:t>The current workflow uses a Random Forest classifier for attrition analysis.</w:t>
      </w:r>
    </w:p>
    <w:tbl>
      <w:tblPr>
        <w:tblW w:w="0" w:type="auto"/>
        <w:jc w:val="center"/>
        <w:tblLook w:val="04A0" w:firstRow="1" w:lastRow="0" w:firstColumn="1" w:lastColumn="0" w:noHBand="0" w:noVBand="1"/>
      </w:tblPr>
      <w:tblGrid>
        <w:gridCol w:w="4047"/>
        <w:gridCol w:w="6165"/>
      </w:tblGrid>
      <w:tr w:rsidR="00DF4CFF" w:rsidRPr="00147D39" w14:paraId="202081DB" w14:textId="77777777">
        <w:trPr>
          <w:jc w:val="center"/>
        </w:trPr>
        <w:tc>
          <w:tcPr>
            <w:tcW w:w="5112" w:type="dxa"/>
            <w:tcBorders>
              <w:top w:val="single" w:sz="5" w:space="0" w:color="2A5D8F"/>
              <w:left w:val="single" w:sz="5" w:space="0" w:color="2A5D8F"/>
              <w:bottom w:val="single" w:sz="5" w:space="0" w:color="2A5D8F"/>
              <w:right w:val="single" w:sz="5" w:space="0" w:color="2A5D8F"/>
            </w:tcBorders>
            <w:shd w:val="clear" w:color="auto" w:fill="17324D"/>
          </w:tcPr>
          <w:p w14:paraId="049F69FC"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7"/>
              </w:rPr>
              <w:t>Model Item</w:t>
            </w:r>
          </w:p>
        </w:tc>
        <w:tc>
          <w:tcPr>
            <w:tcW w:w="5112" w:type="dxa"/>
            <w:tcBorders>
              <w:top w:val="single" w:sz="5" w:space="0" w:color="2A5D8F"/>
              <w:left w:val="single" w:sz="5" w:space="0" w:color="2A5D8F"/>
              <w:bottom w:val="single" w:sz="5" w:space="0" w:color="2A5D8F"/>
              <w:right w:val="single" w:sz="5" w:space="0" w:color="2A5D8F"/>
            </w:tcBorders>
            <w:shd w:val="clear" w:color="auto" w:fill="17324D"/>
          </w:tcPr>
          <w:p w14:paraId="72B18AA3"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7"/>
              </w:rPr>
              <w:t>Current Configuration</w:t>
            </w:r>
          </w:p>
        </w:tc>
      </w:tr>
      <w:tr w:rsidR="00DF4CFF" w:rsidRPr="00147D39" w14:paraId="27A4BFC6"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1A22851A"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Algorithm</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3959086B"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Random Forest Classifier</w:t>
            </w:r>
          </w:p>
        </w:tc>
      </w:tr>
      <w:tr w:rsidR="00DF4CFF" w:rsidRPr="00147D39" w14:paraId="153FA3A1"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F3F7FA"/>
          </w:tcPr>
          <w:p w14:paraId="765DCCAB"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Trees</w:t>
            </w:r>
          </w:p>
        </w:tc>
        <w:tc>
          <w:tcPr>
            <w:tcW w:w="7776" w:type="dxa"/>
            <w:tcBorders>
              <w:top w:val="single" w:sz="5" w:space="0" w:color="2A5D8F"/>
              <w:left w:val="single" w:sz="5" w:space="0" w:color="2A5D8F"/>
              <w:bottom w:val="single" w:sz="5" w:space="0" w:color="2A5D8F"/>
              <w:right w:val="single" w:sz="5" w:space="0" w:color="2A5D8F"/>
            </w:tcBorders>
            <w:shd w:val="clear" w:color="auto" w:fill="FFFFFF"/>
          </w:tcPr>
          <w:p w14:paraId="0781AFBD"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100</w:t>
            </w:r>
          </w:p>
        </w:tc>
      </w:tr>
      <w:tr w:rsidR="00DF4CFF" w:rsidRPr="00147D39" w14:paraId="19A36DAC"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45751348"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Class Handling</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3771890C"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class_weight = balanced</w:t>
            </w:r>
          </w:p>
        </w:tc>
      </w:tr>
      <w:tr w:rsidR="00DF4CFF" w:rsidRPr="00147D39" w14:paraId="2DFD824A"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F3F7FA"/>
          </w:tcPr>
          <w:p w14:paraId="2DB330EF"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Training Split</w:t>
            </w:r>
          </w:p>
        </w:tc>
        <w:tc>
          <w:tcPr>
            <w:tcW w:w="7776" w:type="dxa"/>
            <w:tcBorders>
              <w:top w:val="single" w:sz="5" w:space="0" w:color="2A5D8F"/>
              <w:left w:val="single" w:sz="5" w:space="0" w:color="2A5D8F"/>
              <w:bottom w:val="single" w:sz="5" w:space="0" w:color="2A5D8F"/>
              <w:right w:val="single" w:sz="5" w:space="0" w:color="2A5D8F"/>
            </w:tcBorders>
            <w:shd w:val="clear" w:color="auto" w:fill="FFFFFF"/>
          </w:tcPr>
          <w:p w14:paraId="4E69054F"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80% training / 20% testing, stratified</w:t>
            </w:r>
          </w:p>
        </w:tc>
      </w:tr>
      <w:tr w:rsidR="00DF4CFF" w:rsidRPr="00147D39" w14:paraId="270DB566"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717C1B82"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Random State</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41384722"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42</w:t>
            </w:r>
          </w:p>
        </w:tc>
      </w:tr>
      <w:tr w:rsidR="00DF4CFF" w:rsidRPr="00147D39" w14:paraId="39A2A078"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F3F7FA"/>
          </w:tcPr>
          <w:p w14:paraId="53F4DFEC"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Model Output</w:t>
            </w:r>
          </w:p>
        </w:tc>
        <w:tc>
          <w:tcPr>
            <w:tcW w:w="7776" w:type="dxa"/>
            <w:tcBorders>
              <w:top w:val="single" w:sz="5" w:space="0" w:color="2A5D8F"/>
              <w:left w:val="single" w:sz="5" w:space="0" w:color="2A5D8F"/>
              <w:bottom w:val="single" w:sz="5" w:space="0" w:color="2A5D8F"/>
              <w:right w:val="single" w:sz="5" w:space="0" w:color="2A5D8F"/>
            </w:tcBorders>
            <w:shd w:val="clear" w:color="auto" w:fill="FFFFFF"/>
          </w:tcPr>
          <w:p w14:paraId="743F40B7"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Predicted class, attrition probability and Low/Medium/High risk category</w:t>
            </w:r>
          </w:p>
        </w:tc>
      </w:tr>
      <w:tr w:rsidR="00DF4CFF" w:rsidRPr="00147D39" w14:paraId="7BE941F7"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2EF2FC54"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Validation</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3AC6E919"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Accuracy, precision, recall, F1-score and confusion matrix</w:t>
            </w:r>
          </w:p>
        </w:tc>
      </w:tr>
    </w:tbl>
    <w:p w14:paraId="3E94916C"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0F8B8D"/>
          <w:sz w:val="25"/>
        </w:rPr>
        <w:t>4.1 Current Validation Results</w:t>
      </w:r>
    </w:p>
    <w:tbl>
      <w:tblPr>
        <w:tblW w:w="0" w:type="auto"/>
        <w:jc w:val="center"/>
        <w:tblLook w:val="04A0" w:firstRow="1" w:lastRow="0" w:firstColumn="1" w:lastColumn="0" w:noHBand="0" w:noVBand="1"/>
      </w:tblPr>
      <w:tblGrid>
        <w:gridCol w:w="2553"/>
        <w:gridCol w:w="2553"/>
        <w:gridCol w:w="2553"/>
        <w:gridCol w:w="2553"/>
      </w:tblGrid>
      <w:tr w:rsidR="00DF4CFF" w:rsidRPr="00147D39" w14:paraId="79E65CA1" w14:textId="77777777">
        <w:trPr>
          <w:jc w:val="center"/>
        </w:trPr>
        <w:tc>
          <w:tcPr>
            <w:tcW w:w="2556" w:type="dxa"/>
            <w:tcBorders>
              <w:top w:val="single" w:sz="5" w:space="0" w:color="2A5D8F"/>
              <w:left w:val="single" w:sz="5" w:space="0" w:color="2A5D8F"/>
              <w:bottom w:val="single" w:sz="5" w:space="0" w:color="2A5D8F"/>
              <w:right w:val="single" w:sz="5" w:space="0" w:color="2A5D8F"/>
            </w:tcBorders>
            <w:shd w:val="clear" w:color="auto" w:fill="17324D"/>
          </w:tcPr>
          <w:p w14:paraId="649BBD44" w14:textId="77777777" w:rsidR="00DF4CFF" w:rsidRPr="00147D39" w:rsidRDefault="00B66E28">
            <w:pPr>
              <w:spacing w:after="0"/>
              <w:jc w:val="center"/>
              <w:rPr>
                <w:rFonts w:ascii="Times New Roman" w:hAnsi="Times New Roman" w:cs="Times New Roman"/>
              </w:rPr>
            </w:pPr>
            <w:r w:rsidRPr="00147D39">
              <w:rPr>
                <w:rFonts w:ascii="Times New Roman" w:hAnsi="Times New Roman" w:cs="Times New Roman"/>
                <w:b/>
                <w:color w:val="FFFFFF"/>
                <w:sz w:val="16"/>
              </w:rPr>
              <w:t>Accuracy</w:t>
            </w:r>
          </w:p>
        </w:tc>
        <w:tc>
          <w:tcPr>
            <w:tcW w:w="2556" w:type="dxa"/>
            <w:tcBorders>
              <w:top w:val="single" w:sz="5" w:space="0" w:color="2A5D8F"/>
              <w:left w:val="single" w:sz="5" w:space="0" w:color="2A5D8F"/>
              <w:bottom w:val="single" w:sz="5" w:space="0" w:color="2A5D8F"/>
              <w:right w:val="single" w:sz="5" w:space="0" w:color="2A5D8F"/>
            </w:tcBorders>
            <w:shd w:val="clear" w:color="auto" w:fill="17324D"/>
          </w:tcPr>
          <w:p w14:paraId="45B8BC29" w14:textId="77777777" w:rsidR="00DF4CFF" w:rsidRPr="00147D39" w:rsidRDefault="00B66E28">
            <w:pPr>
              <w:spacing w:after="0"/>
              <w:jc w:val="center"/>
              <w:rPr>
                <w:rFonts w:ascii="Times New Roman" w:hAnsi="Times New Roman" w:cs="Times New Roman"/>
              </w:rPr>
            </w:pPr>
            <w:r w:rsidRPr="00147D39">
              <w:rPr>
                <w:rFonts w:ascii="Times New Roman" w:hAnsi="Times New Roman" w:cs="Times New Roman"/>
                <w:b/>
                <w:color w:val="FFFFFF"/>
                <w:sz w:val="16"/>
              </w:rPr>
              <w:t>Precision</w:t>
            </w:r>
          </w:p>
        </w:tc>
        <w:tc>
          <w:tcPr>
            <w:tcW w:w="2556" w:type="dxa"/>
            <w:tcBorders>
              <w:top w:val="single" w:sz="5" w:space="0" w:color="2A5D8F"/>
              <w:left w:val="single" w:sz="5" w:space="0" w:color="2A5D8F"/>
              <w:bottom w:val="single" w:sz="5" w:space="0" w:color="2A5D8F"/>
              <w:right w:val="single" w:sz="5" w:space="0" w:color="2A5D8F"/>
            </w:tcBorders>
            <w:shd w:val="clear" w:color="auto" w:fill="17324D"/>
          </w:tcPr>
          <w:p w14:paraId="5B173E4B" w14:textId="77777777" w:rsidR="00DF4CFF" w:rsidRPr="00147D39" w:rsidRDefault="00B66E28">
            <w:pPr>
              <w:spacing w:after="0"/>
              <w:jc w:val="center"/>
              <w:rPr>
                <w:rFonts w:ascii="Times New Roman" w:hAnsi="Times New Roman" w:cs="Times New Roman"/>
              </w:rPr>
            </w:pPr>
            <w:r w:rsidRPr="00147D39">
              <w:rPr>
                <w:rFonts w:ascii="Times New Roman" w:hAnsi="Times New Roman" w:cs="Times New Roman"/>
                <w:b/>
                <w:color w:val="FFFFFF"/>
                <w:sz w:val="16"/>
              </w:rPr>
              <w:t>Recall</w:t>
            </w:r>
          </w:p>
        </w:tc>
        <w:tc>
          <w:tcPr>
            <w:tcW w:w="2556" w:type="dxa"/>
            <w:tcBorders>
              <w:top w:val="single" w:sz="5" w:space="0" w:color="2A5D8F"/>
              <w:left w:val="single" w:sz="5" w:space="0" w:color="2A5D8F"/>
              <w:bottom w:val="single" w:sz="5" w:space="0" w:color="2A5D8F"/>
              <w:right w:val="single" w:sz="5" w:space="0" w:color="2A5D8F"/>
            </w:tcBorders>
            <w:shd w:val="clear" w:color="auto" w:fill="17324D"/>
          </w:tcPr>
          <w:p w14:paraId="25BDB570" w14:textId="77777777" w:rsidR="00DF4CFF" w:rsidRPr="00147D39" w:rsidRDefault="00B66E28">
            <w:pPr>
              <w:spacing w:after="0"/>
              <w:jc w:val="center"/>
              <w:rPr>
                <w:rFonts w:ascii="Times New Roman" w:hAnsi="Times New Roman" w:cs="Times New Roman"/>
              </w:rPr>
            </w:pPr>
            <w:r w:rsidRPr="00147D39">
              <w:rPr>
                <w:rFonts w:ascii="Times New Roman" w:hAnsi="Times New Roman" w:cs="Times New Roman"/>
                <w:b/>
                <w:color w:val="FFFFFF"/>
                <w:sz w:val="16"/>
              </w:rPr>
              <w:t>F1 Score</w:t>
            </w:r>
          </w:p>
        </w:tc>
      </w:tr>
      <w:tr w:rsidR="00DF4CFF" w:rsidRPr="00147D39" w14:paraId="5757D1FF" w14:textId="77777777">
        <w:trPr>
          <w:jc w:val="center"/>
        </w:trPr>
        <w:tc>
          <w:tcPr>
            <w:tcW w:w="2556" w:type="dxa"/>
            <w:tcBorders>
              <w:top w:val="single" w:sz="5" w:space="0" w:color="2A5D8F"/>
              <w:left w:val="single" w:sz="5" w:space="0" w:color="2A5D8F"/>
              <w:bottom w:val="single" w:sz="5" w:space="0" w:color="2A5D8F"/>
              <w:right w:val="single" w:sz="5" w:space="0" w:color="2A5D8F"/>
            </w:tcBorders>
            <w:shd w:val="clear" w:color="auto" w:fill="E7F2F2"/>
          </w:tcPr>
          <w:p w14:paraId="157C8F9E" w14:textId="77777777" w:rsidR="00DF4CFF" w:rsidRPr="00147D39" w:rsidRDefault="00B66E28">
            <w:pPr>
              <w:spacing w:after="0"/>
              <w:jc w:val="center"/>
              <w:rPr>
                <w:rFonts w:ascii="Times New Roman" w:hAnsi="Times New Roman" w:cs="Times New Roman"/>
              </w:rPr>
            </w:pPr>
            <w:r w:rsidRPr="00147D39">
              <w:rPr>
                <w:rFonts w:ascii="Times New Roman" w:hAnsi="Times New Roman" w:cs="Times New Roman"/>
                <w:b/>
                <w:color w:val="0F8B8D"/>
                <w:sz w:val="30"/>
              </w:rPr>
              <w:t>83.67%</w:t>
            </w:r>
          </w:p>
        </w:tc>
        <w:tc>
          <w:tcPr>
            <w:tcW w:w="2556" w:type="dxa"/>
            <w:tcBorders>
              <w:top w:val="single" w:sz="5" w:space="0" w:color="2A5D8F"/>
              <w:left w:val="single" w:sz="5" w:space="0" w:color="2A5D8F"/>
              <w:bottom w:val="single" w:sz="5" w:space="0" w:color="2A5D8F"/>
              <w:right w:val="single" w:sz="5" w:space="0" w:color="2A5D8F"/>
            </w:tcBorders>
            <w:shd w:val="clear" w:color="auto" w:fill="E7F2F2"/>
          </w:tcPr>
          <w:p w14:paraId="669E4F14" w14:textId="77777777" w:rsidR="00DF4CFF" w:rsidRPr="00147D39" w:rsidRDefault="00B66E28">
            <w:pPr>
              <w:spacing w:after="0"/>
              <w:jc w:val="center"/>
              <w:rPr>
                <w:rFonts w:ascii="Times New Roman" w:hAnsi="Times New Roman" w:cs="Times New Roman"/>
              </w:rPr>
            </w:pPr>
            <w:r w:rsidRPr="00147D39">
              <w:rPr>
                <w:rFonts w:ascii="Times New Roman" w:hAnsi="Times New Roman" w:cs="Times New Roman"/>
                <w:b/>
                <w:color w:val="0F8B8D"/>
                <w:sz w:val="30"/>
              </w:rPr>
              <w:t>44.44%</w:t>
            </w:r>
          </w:p>
        </w:tc>
        <w:tc>
          <w:tcPr>
            <w:tcW w:w="2556" w:type="dxa"/>
            <w:tcBorders>
              <w:top w:val="single" w:sz="5" w:space="0" w:color="2A5D8F"/>
              <w:left w:val="single" w:sz="5" w:space="0" w:color="2A5D8F"/>
              <w:bottom w:val="single" w:sz="5" w:space="0" w:color="2A5D8F"/>
              <w:right w:val="single" w:sz="5" w:space="0" w:color="2A5D8F"/>
            </w:tcBorders>
            <w:shd w:val="clear" w:color="auto" w:fill="FFF5E3"/>
          </w:tcPr>
          <w:p w14:paraId="624C9252" w14:textId="77777777" w:rsidR="00DF4CFF" w:rsidRPr="00147D39" w:rsidRDefault="00B66E28">
            <w:pPr>
              <w:spacing w:after="0"/>
              <w:jc w:val="center"/>
              <w:rPr>
                <w:rFonts w:ascii="Times New Roman" w:hAnsi="Times New Roman" w:cs="Times New Roman"/>
              </w:rPr>
            </w:pPr>
            <w:r w:rsidRPr="00147D39">
              <w:rPr>
                <w:rFonts w:ascii="Times New Roman" w:hAnsi="Times New Roman" w:cs="Times New Roman"/>
                <w:b/>
                <w:color w:val="B7791F"/>
                <w:sz w:val="30"/>
              </w:rPr>
              <w:t>8.51%</w:t>
            </w:r>
          </w:p>
        </w:tc>
        <w:tc>
          <w:tcPr>
            <w:tcW w:w="2556" w:type="dxa"/>
            <w:tcBorders>
              <w:top w:val="single" w:sz="5" w:space="0" w:color="2A5D8F"/>
              <w:left w:val="single" w:sz="5" w:space="0" w:color="2A5D8F"/>
              <w:bottom w:val="single" w:sz="5" w:space="0" w:color="2A5D8F"/>
              <w:right w:val="single" w:sz="5" w:space="0" w:color="2A5D8F"/>
            </w:tcBorders>
            <w:shd w:val="clear" w:color="auto" w:fill="FFF5E3"/>
          </w:tcPr>
          <w:p w14:paraId="2E964EBF" w14:textId="77777777" w:rsidR="00DF4CFF" w:rsidRPr="00147D39" w:rsidRDefault="00B66E28">
            <w:pPr>
              <w:spacing w:after="0"/>
              <w:jc w:val="center"/>
              <w:rPr>
                <w:rFonts w:ascii="Times New Roman" w:hAnsi="Times New Roman" w:cs="Times New Roman"/>
              </w:rPr>
            </w:pPr>
            <w:r w:rsidRPr="00147D39">
              <w:rPr>
                <w:rFonts w:ascii="Times New Roman" w:hAnsi="Times New Roman" w:cs="Times New Roman"/>
                <w:b/>
                <w:color w:val="B7791F"/>
                <w:sz w:val="30"/>
              </w:rPr>
              <w:t>14.29%</w:t>
            </w:r>
          </w:p>
        </w:tc>
      </w:tr>
      <w:tr w:rsidR="00DF4CFF" w:rsidRPr="00147D39" w14:paraId="6C37615D" w14:textId="77777777">
        <w:tblPrEx>
          <w:jc w:val="left"/>
        </w:tblPrEx>
        <w:tc>
          <w:tcPr>
            <w:tcW w:w="10224" w:type="dxa"/>
            <w:gridSpan w:val="4"/>
            <w:tcBorders>
              <w:top w:val="single" w:sz="5" w:space="0" w:color="B7791F"/>
              <w:left w:val="single" w:sz="5" w:space="0" w:color="B7791F"/>
              <w:bottom w:val="single" w:sz="5" w:space="0" w:color="B7791F"/>
              <w:right w:val="single" w:sz="5" w:space="0" w:color="B7791F"/>
            </w:tcBorders>
            <w:shd w:val="clear" w:color="auto" w:fill="FFF5E3"/>
          </w:tcPr>
          <w:p w14:paraId="5F2010F5" w14:textId="77777777" w:rsidR="00DF4CFF" w:rsidRPr="00147D39" w:rsidRDefault="00B66E28">
            <w:pPr>
              <w:rPr>
                <w:rFonts w:ascii="Times New Roman" w:hAnsi="Times New Roman" w:cs="Times New Roman"/>
              </w:rPr>
            </w:pPr>
            <w:r w:rsidRPr="00147D39">
              <w:rPr>
                <w:rFonts w:ascii="Times New Roman" w:hAnsi="Times New Roman" w:cs="Times New Roman"/>
                <w:b/>
                <w:color w:val="B7791F"/>
                <w:sz w:val="18"/>
              </w:rPr>
              <w:t>Validation interpretation</w:t>
            </w:r>
            <w:r w:rsidRPr="00147D39">
              <w:rPr>
                <w:rFonts w:ascii="Times New Roman" w:hAnsi="Times New Roman" w:cs="Times New Roman"/>
                <w:b/>
                <w:color w:val="B7791F"/>
                <w:sz w:val="18"/>
              </w:rPr>
              <w:br/>
            </w:r>
            <w:r w:rsidRPr="00147D39">
              <w:rPr>
                <w:rFonts w:ascii="Times New Roman" w:hAnsi="Times New Roman" w:cs="Times New Roman"/>
                <w:color w:val="263442"/>
                <w:sz w:val="17"/>
              </w:rPr>
              <w:t>Accuracy alone is not sufficient for attrition detection. The reported recall and F1-score indicate that further tuning and validation are required before autonomous production HR decisions.</w:t>
            </w:r>
          </w:p>
        </w:tc>
      </w:tr>
    </w:tbl>
    <w:p w14:paraId="239F2F3D"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0F8B8D"/>
          <w:sz w:val="25"/>
        </w:rPr>
        <w:t>4.2 Key Model Drivers</w:t>
      </w:r>
    </w:p>
    <w:p w14:paraId="2CE3F3C7"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Monthly Income</w:t>
      </w:r>
    </w:p>
    <w:p w14:paraId="400BF11C"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Age</w:t>
      </w:r>
    </w:p>
    <w:p w14:paraId="252D9484"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Daily Rate</w:t>
      </w:r>
    </w:p>
    <w:p w14:paraId="60A76185"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Total Working Years</w:t>
      </w:r>
    </w:p>
    <w:p w14:paraId="105515CB"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Distance From Home</w:t>
      </w:r>
    </w:p>
    <w:p w14:paraId="2B31C47F"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Monthly Rate</w:t>
      </w:r>
    </w:p>
    <w:p w14:paraId="2F4BF502"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Years With Current Manager</w:t>
      </w:r>
    </w:p>
    <w:p w14:paraId="10032266"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OverTime</w:t>
      </w:r>
    </w:p>
    <w:p w14:paraId="634B6045" w14:textId="77777777" w:rsidR="00DF4CFF" w:rsidRPr="00147D39" w:rsidRDefault="00B66E28">
      <w:pPr>
        <w:rPr>
          <w:rFonts w:ascii="Times New Roman" w:hAnsi="Times New Roman" w:cs="Times New Roman"/>
        </w:rPr>
      </w:pPr>
      <w:r w:rsidRPr="00147D39">
        <w:rPr>
          <w:rFonts w:ascii="Times New Roman" w:hAnsi="Times New Roman" w:cs="Times New Roman"/>
        </w:rPr>
        <w:br w:type="page"/>
      </w:r>
    </w:p>
    <w:tbl>
      <w:tblPr>
        <w:tblW w:w="0" w:type="auto"/>
        <w:tblLook w:val="04A0" w:firstRow="1" w:lastRow="0" w:firstColumn="1" w:lastColumn="0" w:noHBand="0" w:noVBand="1"/>
      </w:tblPr>
      <w:tblGrid>
        <w:gridCol w:w="10212"/>
      </w:tblGrid>
      <w:tr w:rsidR="00DF4CFF" w:rsidRPr="00147D39" w14:paraId="2217AB72" w14:textId="77777777">
        <w:tc>
          <w:tcPr>
            <w:tcW w:w="10224" w:type="dxa"/>
            <w:tcBorders>
              <w:top w:val="single" w:sz="5" w:space="0" w:color="2A5D8F"/>
              <w:left w:val="single" w:sz="5" w:space="0" w:color="2A5D8F"/>
              <w:bottom w:val="single" w:sz="5" w:space="0" w:color="2A5D8F"/>
              <w:right w:val="single" w:sz="5" w:space="0" w:color="2A5D8F"/>
            </w:tcBorders>
            <w:shd w:val="clear" w:color="auto" w:fill="0F8B8D"/>
          </w:tcPr>
          <w:p w14:paraId="5DB92044"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6"/>
              </w:rPr>
              <w:lastRenderedPageBreak/>
              <w:t>AI ANALYSIS BRANCHES</w:t>
            </w:r>
          </w:p>
        </w:tc>
      </w:tr>
    </w:tbl>
    <w:p w14:paraId="0118E69F"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17324D"/>
          <w:sz w:val="36"/>
        </w:rPr>
        <w:t>5. AI Analysis Branch Architecture</w:t>
      </w:r>
    </w:p>
    <w:p w14:paraId="335409B3" w14:textId="77777777" w:rsidR="00DF4CFF" w:rsidRPr="00147D39" w:rsidRDefault="00B66E28">
      <w:pPr>
        <w:spacing w:after="80" w:line="252" w:lineRule="auto"/>
        <w:rPr>
          <w:rFonts w:ascii="Times New Roman" w:hAnsi="Times New Roman" w:cs="Times New Roman"/>
        </w:rPr>
      </w:pPr>
      <w:r w:rsidRPr="00147D39">
        <w:rPr>
          <w:rFonts w:ascii="Times New Roman" w:hAnsi="Times New Roman" w:cs="Times New Roman"/>
          <w:color w:val="263442"/>
          <w:sz w:val="18"/>
        </w:rPr>
        <w:t>Validated ML-ready features are routed into complementary workforce intelligence branches and then consolidated into validated insights.</w:t>
      </w:r>
    </w:p>
    <w:tbl>
      <w:tblPr>
        <w:tblW w:w="0" w:type="auto"/>
        <w:tblLook w:val="04A0" w:firstRow="1" w:lastRow="0" w:firstColumn="1" w:lastColumn="0" w:noHBand="0" w:noVBand="1"/>
      </w:tblPr>
      <w:tblGrid>
        <w:gridCol w:w="10212"/>
      </w:tblGrid>
      <w:tr w:rsidR="00DF4CFF" w:rsidRPr="00147D39" w14:paraId="6A814AC0" w14:textId="77777777">
        <w:tc>
          <w:tcPr>
            <w:tcW w:w="10224" w:type="dxa"/>
            <w:tcBorders>
              <w:top w:val="single" w:sz="5" w:space="0" w:color="0F8B8D"/>
              <w:left w:val="single" w:sz="5" w:space="0" w:color="0F8B8D"/>
              <w:bottom w:val="single" w:sz="5" w:space="0" w:color="0F8B8D"/>
              <w:right w:val="single" w:sz="5" w:space="0" w:color="0F8B8D"/>
            </w:tcBorders>
            <w:shd w:val="clear" w:color="auto" w:fill="E7F2F2"/>
          </w:tcPr>
          <w:p w14:paraId="69AE9B1B" w14:textId="0DB9AC2F" w:rsidR="00DF4CFF" w:rsidRPr="00147D39" w:rsidRDefault="00E260DB" w:rsidP="00E260DB">
            <w:pPr>
              <w:jc w:val="center"/>
              <w:rPr>
                <w:rFonts w:ascii="Times New Roman" w:hAnsi="Times New Roman" w:cs="Times New Roman"/>
              </w:rPr>
            </w:pPr>
            <w:r w:rsidRPr="00147D39">
              <w:rPr>
                <w:rFonts w:ascii="Times New Roman" w:hAnsi="Times New Roman" w:cs="Times New Roman"/>
                <w:noProof/>
              </w:rPr>
              <w:drawing>
                <wp:inline distT="0" distB="0" distL="0" distR="0" wp14:anchorId="7E373590" wp14:editId="28841A2C">
                  <wp:extent cx="5928360" cy="3952240"/>
                  <wp:effectExtent l="0" t="0" r="0" b="0"/>
                  <wp:docPr id="14217726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2854" cy="3975236"/>
                          </a:xfrm>
                          <a:prstGeom prst="rect">
                            <a:avLst/>
                          </a:prstGeom>
                          <a:noFill/>
                        </pic:spPr>
                      </pic:pic>
                    </a:graphicData>
                  </a:graphic>
                </wp:inline>
              </w:drawing>
            </w:r>
          </w:p>
        </w:tc>
      </w:tr>
    </w:tbl>
    <w:p w14:paraId="7D1D8FD2" w14:textId="77777777" w:rsidR="00DF4CFF" w:rsidRPr="00147D39" w:rsidRDefault="00B66E28">
      <w:pPr>
        <w:rPr>
          <w:rFonts w:ascii="Times New Roman" w:hAnsi="Times New Roman" w:cs="Times New Roman"/>
        </w:rPr>
      </w:pPr>
      <w:r w:rsidRPr="00147D39">
        <w:rPr>
          <w:rFonts w:ascii="Times New Roman" w:hAnsi="Times New Roman" w:cs="Times New Roman"/>
        </w:rPr>
        <w:br w:type="page"/>
      </w:r>
    </w:p>
    <w:tbl>
      <w:tblPr>
        <w:tblW w:w="0" w:type="auto"/>
        <w:tblLook w:val="04A0" w:firstRow="1" w:lastRow="0" w:firstColumn="1" w:lastColumn="0" w:noHBand="0" w:noVBand="1"/>
      </w:tblPr>
      <w:tblGrid>
        <w:gridCol w:w="10212"/>
      </w:tblGrid>
      <w:tr w:rsidR="00DF4CFF" w:rsidRPr="00147D39" w14:paraId="55975EA8" w14:textId="77777777">
        <w:tc>
          <w:tcPr>
            <w:tcW w:w="10224" w:type="dxa"/>
            <w:tcBorders>
              <w:top w:val="single" w:sz="5" w:space="0" w:color="2A5D8F"/>
              <w:left w:val="single" w:sz="5" w:space="0" w:color="2A5D8F"/>
              <w:bottom w:val="single" w:sz="5" w:space="0" w:color="2A5D8F"/>
              <w:right w:val="single" w:sz="5" w:space="0" w:color="2A5D8F"/>
            </w:tcBorders>
            <w:shd w:val="clear" w:color="auto" w:fill="0F8B8D"/>
          </w:tcPr>
          <w:p w14:paraId="722376F4"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6"/>
              </w:rPr>
              <w:lastRenderedPageBreak/>
              <w:t>AUTOMATION &amp; CONTROL</w:t>
            </w:r>
          </w:p>
        </w:tc>
      </w:tr>
    </w:tbl>
    <w:p w14:paraId="2B174227"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17324D"/>
          <w:sz w:val="36"/>
        </w:rPr>
        <w:t>6. Automation &amp; Exception Handling</w:t>
      </w:r>
    </w:p>
    <w:p w14:paraId="365193F5" w14:textId="77777777" w:rsidR="00DF4CFF" w:rsidRPr="00147D39" w:rsidRDefault="00B66E28">
      <w:pPr>
        <w:spacing w:after="80" w:line="252" w:lineRule="auto"/>
        <w:rPr>
          <w:rFonts w:ascii="Times New Roman" w:hAnsi="Times New Roman" w:cs="Times New Roman"/>
        </w:rPr>
      </w:pPr>
      <w:r w:rsidRPr="00147D39">
        <w:rPr>
          <w:rFonts w:ascii="Times New Roman" w:hAnsi="Times New Roman" w:cs="Times New Roman"/>
          <w:color w:val="263442"/>
          <w:sz w:val="18"/>
        </w:rPr>
        <w:t>Automation keeps the workflow current while preserving controlled publication and traceability.</w:t>
      </w:r>
    </w:p>
    <w:p w14:paraId="72A5E3E9" w14:textId="77777777" w:rsidR="00DF4CFF" w:rsidRPr="00147D39" w:rsidRDefault="00B66E28">
      <w:pPr>
        <w:jc w:val="center"/>
        <w:rPr>
          <w:rFonts w:ascii="Times New Roman" w:hAnsi="Times New Roman" w:cs="Times New Roman"/>
        </w:rPr>
      </w:pPr>
      <w:r w:rsidRPr="00147D39">
        <w:rPr>
          <w:rFonts w:ascii="Times New Roman" w:hAnsi="Times New Roman" w:cs="Times New Roman"/>
          <w:noProof/>
        </w:rPr>
        <w:drawing>
          <wp:inline distT="0" distB="0" distL="0" distR="0" wp14:anchorId="13908622" wp14:editId="2A7681D9">
            <wp:extent cx="6629400" cy="1988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on.png"/>
                    <pic:cNvPicPr/>
                  </pic:nvPicPr>
                  <pic:blipFill>
                    <a:blip r:embed="rId9"/>
                    <a:stretch>
                      <a:fillRect/>
                    </a:stretch>
                  </pic:blipFill>
                  <pic:spPr>
                    <a:xfrm>
                      <a:off x="0" y="0"/>
                      <a:ext cx="6629400" cy="1988820"/>
                    </a:xfrm>
                    <a:prstGeom prst="rect">
                      <a:avLst/>
                    </a:prstGeom>
                  </pic:spPr>
                </pic:pic>
              </a:graphicData>
            </a:graphic>
          </wp:inline>
        </w:drawing>
      </w:r>
    </w:p>
    <w:tbl>
      <w:tblPr>
        <w:tblW w:w="0" w:type="auto"/>
        <w:jc w:val="center"/>
        <w:tblLook w:val="04A0" w:firstRow="1" w:lastRow="0" w:firstColumn="1" w:lastColumn="0" w:noHBand="0" w:noVBand="1"/>
      </w:tblPr>
      <w:tblGrid>
        <w:gridCol w:w="4092"/>
        <w:gridCol w:w="6120"/>
      </w:tblGrid>
      <w:tr w:rsidR="00DF4CFF" w:rsidRPr="00147D39" w14:paraId="36C87CE2" w14:textId="77777777">
        <w:trPr>
          <w:jc w:val="center"/>
        </w:trPr>
        <w:tc>
          <w:tcPr>
            <w:tcW w:w="5112" w:type="dxa"/>
            <w:tcBorders>
              <w:top w:val="single" w:sz="5" w:space="0" w:color="2A5D8F"/>
              <w:left w:val="single" w:sz="5" w:space="0" w:color="2A5D8F"/>
              <w:bottom w:val="single" w:sz="5" w:space="0" w:color="2A5D8F"/>
              <w:right w:val="single" w:sz="5" w:space="0" w:color="2A5D8F"/>
            </w:tcBorders>
            <w:shd w:val="clear" w:color="auto" w:fill="17324D"/>
          </w:tcPr>
          <w:p w14:paraId="61254D8A"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7"/>
              </w:rPr>
              <w:t>Trigger</w:t>
            </w:r>
          </w:p>
        </w:tc>
        <w:tc>
          <w:tcPr>
            <w:tcW w:w="5112" w:type="dxa"/>
            <w:tcBorders>
              <w:top w:val="single" w:sz="5" w:space="0" w:color="2A5D8F"/>
              <w:left w:val="single" w:sz="5" w:space="0" w:color="2A5D8F"/>
              <w:bottom w:val="single" w:sz="5" w:space="0" w:color="2A5D8F"/>
              <w:right w:val="single" w:sz="5" w:space="0" w:color="2A5D8F"/>
            </w:tcBorders>
            <w:shd w:val="clear" w:color="auto" w:fill="17324D"/>
          </w:tcPr>
          <w:p w14:paraId="6F1C968C"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7"/>
              </w:rPr>
              <w:t>Automated Action</w:t>
            </w:r>
          </w:p>
        </w:tc>
      </w:tr>
      <w:tr w:rsidR="00DF4CFF" w:rsidRPr="00147D39" w14:paraId="139CE70A"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446BC60A"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New / Updated Dataset</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75994299"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Run ingestion and the full AI workflow when an approved dataset arrives.</w:t>
            </w:r>
          </w:p>
        </w:tc>
      </w:tr>
      <w:tr w:rsidR="00DF4CFF" w:rsidRPr="00147D39" w14:paraId="11491264"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F3F7FA"/>
          </w:tcPr>
          <w:p w14:paraId="05581D10"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Scheduled Refresh</w:t>
            </w:r>
          </w:p>
        </w:tc>
        <w:tc>
          <w:tcPr>
            <w:tcW w:w="7776" w:type="dxa"/>
            <w:tcBorders>
              <w:top w:val="single" w:sz="5" w:space="0" w:color="2A5D8F"/>
              <w:left w:val="single" w:sz="5" w:space="0" w:color="2A5D8F"/>
              <w:bottom w:val="single" w:sz="5" w:space="0" w:color="2A5D8F"/>
              <w:right w:val="single" w:sz="5" w:space="0" w:color="2A5D8F"/>
            </w:tcBorders>
            <w:shd w:val="clear" w:color="auto" w:fill="FFFFFF"/>
          </w:tcPr>
          <w:p w14:paraId="205FABA8"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Run routine workforce monitoring and dashboard refresh.</w:t>
            </w:r>
          </w:p>
        </w:tc>
      </w:tr>
      <w:tr w:rsidR="00DF4CFF" w:rsidRPr="00147D39" w14:paraId="237CBC3D"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3B534F4F"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Risk Threshold</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06166065"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Create an alert when a configured attrition-probability threshold is crossed.</w:t>
            </w:r>
          </w:p>
        </w:tc>
      </w:tr>
      <w:tr w:rsidR="00DF4CFF" w:rsidRPr="00147D39" w14:paraId="2A84C2DE"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F3F7FA"/>
          </w:tcPr>
          <w:p w14:paraId="034E36D2"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Retraining</w:t>
            </w:r>
          </w:p>
        </w:tc>
        <w:tc>
          <w:tcPr>
            <w:tcW w:w="7776" w:type="dxa"/>
            <w:tcBorders>
              <w:top w:val="single" w:sz="5" w:space="0" w:color="2A5D8F"/>
              <w:left w:val="single" w:sz="5" w:space="0" w:color="2A5D8F"/>
              <w:bottom w:val="single" w:sz="5" w:space="0" w:color="2A5D8F"/>
              <w:right w:val="single" w:sz="5" w:space="0" w:color="2A5D8F"/>
            </w:tcBorders>
            <w:shd w:val="clear" w:color="auto" w:fill="FFFFFF"/>
          </w:tcPr>
          <w:p w14:paraId="6A99D4C7"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Run retraining after a configured record-count or cadence trigger.</w:t>
            </w:r>
          </w:p>
        </w:tc>
      </w:tr>
      <w:tr w:rsidR="00DF4CFF" w:rsidRPr="00147D39" w14:paraId="0F5C8B65"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423490B2"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Data-Quality Failure</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759FD287"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STOP downstream processing → LOG → NOTIFY → retain the last validated output.</w:t>
            </w:r>
          </w:p>
        </w:tc>
      </w:tr>
      <w:tr w:rsidR="00DF4CFF" w:rsidRPr="00147D39" w14:paraId="2EBA2859"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F3F7FA"/>
          </w:tcPr>
          <w:p w14:paraId="6C5C4907"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Model-Validation Failure</w:t>
            </w:r>
          </w:p>
        </w:tc>
        <w:tc>
          <w:tcPr>
            <w:tcW w:w="7776" w:type="dxa"/>
            <w:tcBorders>
              <w:top w:val="single" w:sz="5" w:space="0" w:color="2A5D8F"/>
              <w:left w:val="single" w:sz="5" w:space="0" w:color="2A5D8F"/>
              <w:bottom w:val="single" w:sz="5" w:space="0" w:color="2A5D8F"/>
              <w:right w:val="single" w:sz="5" w:space="0" w:color="2A5D8F"/>
            </w:tcBorders>
            <w:shd w:val="clear" w:color="auto" w:fill="FFFFFF"/>
          </w:tcPr>
          <w:p w14:paraId="2B6A793F"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HOLD prediction publication → LOG → retain the last validated output.</w:t>
            </w:r>
          </w:p>
        </w:tc>
      </w:tr>
    </w:tbl>
    <w:p w14:paraId="36AABC98" w14:textId="77777777" w:rsidR="00DF4CFF" w:rsidRPr="00147D39" w:rsidRDefault="00B66E28">
      <w:pPr>
        <w:rPr>
          <w:rFonts w:ascii="Times New Roman" w:hAnsi="Times New Roman" w:cs="Times New Roman"/>
        </w:rPr>
      </w:pPr>
      <w:r w:rsidRPr="00147D39">
        <w:rPr>
          <w:rFonts w:ascii="Times New Roman" w:hAnsi="Times New Roman" w:cs="Times New Roman"/>
        </w:rPr>
        <w:br w:type="page"/>
      </w:r>
    </w:p>
    <w:tbl>
      <w:tblPr>
        <w:tblW w:w="0" w:type="auto"/>
        <w:tblLook w:val="04A0" w:firstRow="1" w:lastRow="0" w:firstColumn="1" w:lastColumn="0" w:noHBand="0" w:noVBand="1"/>
      </w:tblPr>
      <w:tblGrid>
        <w:gridCol w:w="10212"/>
      </w:tblGrid>
      <w:tr w:rsidR="00DF4CFF" w:rsidRPr="00147D39" w14:paraId="7AE60AF7" w14:textId="77777777">
        <w:tc>
          <w:tcPr>
            <w:tcW w:w="10224" w:type="dxa"/>
            <w:tcBorders>
              <w:top w:val="single" w:sz="5" w:space="0" w:color="2A5D8F"/>
              <w:left w:val="single" w:sz="5" w:space="0" w:color="2A5D8F"/>
              <w:bottom w:val="single" w:sz="5" w:space="0" w:color="2A5D8F"/>
              <w:right w:val="single" w:sz="5" w:space="0" w:color="2A5D8F"/>
            </w:tcBorders>
            <w:shd w:val="clear" w:color="auto" w:fill="0F8B8D"/>
          </w:tcPr>
          <w:p w14:paraId="4F11DA07"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6"/>
              </w:rPr>
              <w:lastRenderedPageBreak/>
              <w:t>OUTPUT &amp; GOVERNANCE</w:t>
            </w:r>
          </w:p>
        </w:tc>
      </w:tr>
    </w:tbl>
    <w:p w14:paraId="663FB06C"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17324D"/>
          <w:sz w:val="36"/>
        </w:rPr>
        <w:t>7. Dashboard-Ready Output Contract</w:t>
      </w:r>
    </w:p>
    <w:tbl>
      <w:tblPr>
        <w:tblW w:w="0" w:type="auto"/>
        <w:jc w:val="center"/>
        <w:tblLook w:val="04A0" w:firstRow="1" w:lastRow="0" w:firstColumn="1" w:lastColumn="0" w:noHBand="0" w:noVBand="1"/>
      </w:tblPr>
      <w:tblGrid>
        <w:gridCol w:w="4179"/>
        <w:gridCol w:w="6033"/>
      </w:tblGrid>
      <w:tr w:rsidR="00DF4CFF" w:rsidRPr="00147D39" w14:paraId="430D778C" w14:textId="77777777">
        <w:trPr>
          <w:jc w:val="center"/>
        </w:trPr>
        <w:tc>
          <w:tcPr>
            <w:tcW w:w="5112" w:type="dxa"/>
            <w:tcBorders>
              <w:top w:val="single" w:sz="5" w:space="0" w:color="2A5D8F"/>
              <w:left w:val="single" w:sz="5" w:space="0" w:color="2A5D8F"/>
              <w:bottom w:val="single" w:sz="5" w:space="0" w:color="2A5D8F"/>
              <w:right w:val="single" w:sz="5" w:space="0" w:color="2A5D8F"/>
            </w:tcBorders>
            <w:shd w:val="clear" w:color="auto" w:fill="17324D"/>
          </w:tcPr>
          <w:p w14:paraId="34600177"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7"/>
              </w:rPr>
              <w:t>Output</w:t>
            </w:r>
          </w:p>
        </w:tc>
        <w:tc>
          <w:tcPr>
            <w:tcW w:w="5112" w:type="dxa"/>
            <w:tcBorders>
              <w:top w:val="single" w:sz="5" w:space="0" w:color="2A5D8F"/>
              <w:left w:val="single" w:sz="5" w:space="0" w:color="2A5D8F"/>
              <w:bottom w:val="single" w:sz="5" w:space="0" w:color="2A5D8F"/>
              <w:right w:val="single" w:sz="5" w:space="0" w:color="2A5D8F"/>
            </w:tcBorders>
            <w:shd w:val="clear" w:color="auto" w:fill="17324D"/>
          </w:tcPr>
          <w:p w14:paraId="62251117"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FFFFFF"/>
                <w:sz w:val="17"/>
              </w:rPr>
              <w:t>Fields / Contents</w:t>
            </w:r>
          </w:p>
        </w:tc>
      </w:tr>
      <w:tr w:rsidR="00DF4CFF" w:rsidRPr="00147D39" w14:paraId="1FC6C531"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76B007AE"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Employee Risk</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5A238589"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Probability, risk category, prediction timestamp and top model drivers.</w:t>
            </w:r>
          </w:p>
        </w:tc>
      </w:tr>
      <w:tr w:rsidR="00DF4CFF" w:rsidRPr="00147D39" w14:paraId="691A4AEE"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F3F7FA"/>
          </w:tcPr>
          <w:p w14:paraId="2787BC46"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Model Metrics</w:t>
            </w:r>
          </w:p>
        </w:tc>
        <w:tc>
          <w:tcPr>
            <w:tcW w:w="7776" w:type="dxa"/>
            <w:tcBorders>
              <w:top w:val="single" w:sz="5" w:space="0" w:color="2A5D8F"/>
              <w:left w:val="single" w:sz="5" w:space="0" w:color="2A5D8F"/>
              <w:bottom w:val="single" w:sz="5" w:space="0" w:color="2A5D8F"/>
              <w:right w:val="single" w:sz="5" w:space="0" w:color="2A5D8F"/>
            </w:tcBorders>
            <w:shd w:val="clear" w:color="auto" w:fill="FFFFFF"/>
          </w:tcPr>
          <w:p w14:paraId="1D4E8A3F"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Accuracy, precision, recall, F1, confusion matrix and release status.</w:t>
            </w:r>
          </w:p>
        </w:tc>
      </w:tr>
      <w:tr w:rsidR="00DF4CFF" w:rsidRPr="00147D39" w14:paraId="0E7F5FCA"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30B98792"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Trend Metrics</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5892B039"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Attrition rate, risk distribution and approved workforce dimensions.</w:t>
            </w:r>
          </w:p>
        </w:tc>
      </w:tr>
      <w:tr w:rsidR="00DF4CFF" w:rsidRPr="00147D39" w14:paraId="46D240C0"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F3F7FA"/>
          </w:tcPr>
          <w:p w14:paraId="478A7D22"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Alerts</w:t>
            </w:r>
          </w:p>
        </w:tc>
        <w:tc>
          <w:tcPr>
            <w:tcW w:w="7776" w:type="dxa"/>
            <w:tcBorders>
              <w:top w:val="single" w:sz="5" w:space="0" w:color="2A5D8F"/>
              <w:left w:val="single" w:sz="5" w:space="0" w:color="2A5D8F"/>
              <w:bottom w:val="single" w:sz="5" w:space="0" w:color="2A5D8F"/>
              <w:right w:val="single" w:sz="5" w:space="0" w:color="2A5D8F"/>
            </w:tcBorders>
            <w:shd w:val="clear" w:color="auto" w:fill="FFFFFF"/>
          </w:tcPr>
          <w:p w14:paraId="26EF5666"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High-risk count, threshold, severity and HR review status.</w:t>
            </w:r>
          </w:p>
        </w:tc>
      </w:tr>
      <w:tr w:rsidR="00DF4CFF" w:rsidRPr="00147D39" w14:paraId="25D8A117" w14:textId="77777777">
        <w:trPr>
          <w:jc w:val="center"/>
        </w:trPr>
        <w:tc>
          <w:tcPr>
            <w:tcW w:w="2880" w:type="dxa"/>
            <w:tcBorders>
              <w:top w:val="single" w:sz="5" w:space="0" w:color="2A5D8F"/>
              <w:left w:val="single" w:sz="5" w:space="0" w:color="2A5D8F"/>
              <w:bottom w:val="single" w:sz="5" w:space="0" w:color="2A5D8F"/>
              <w:right w:val="single" w:sz="5" w:space="0" w:color="2A5D8F"/>
            </w:tcBorders>
            <w:shd w:val="clear" w:color="auto" w:fill="E7F2F2"/>
          </w:tcPr>
          <w:p w14:paraId="0B0ADA59" w14:textId="77777777" w:rsidR="00DF4CFF" w:rsidRPr="00147D39" w:rsidRDefault="00B66E28">
            <w:pPr>
              <w:spacing w:after="0"/>
              <w:rPr>
                <w:rFonts w:ascii="Times New Roman" w:hAnsi="Times New Roman" w:cs="Times New Roman"/>
              </w:rPr>
            </w:pPr>
            <w:r w:rsidRPr="00147D39">
              <w:rPr>
                <w:rFonts w:ascii="Times New Roman" w:hAnsi="Times New Roman" w:cs="Times New Roman"/>
                <w:b/>
                <w:color w:val="17324D"/>
                <w:sz w:val="16"/>
              </w:rPr>
              <w:t>Recommendations</w:t>
            </w:r>
          </w:p>
        </w:tc>
        <w:tc>
          <w:tcPr>
            <w:tcW w:w="7776" w:type="dxa"/>
            <w:tcBorders>
              <w:top w:val="single" w:sz="5" w:space="0" w:color="2A5D8F"/>
              <w:left w:val="single" w:sz="5" w:space="0" w:color="2A5D8F"/>
              <w:bottom w:val="single" w:sz="5" w:space="0" w:color="2A5D8F"/>
              <w:right w:val="single" w:sz="5" w:space="0" w:color="2A5D8F"/>
            </w:tcBorders>
            <w:shd w:val="clear" w:color="auto" w:fill="F3F7FA"/>
          </w:tcPr>
          <w:p w14:paraId="3A673E95" w14:textId="77777777" w:rsidR="00DF4CFF" w:rsidRPr="00147D39" w:rsidRDefault="00B66E28">
            <w:pPr>
              <w:spacing w:after="0"/>
              <w:rPr>
                <w:rFonts w:ascii="Times New Roman" w:hAnsi="Times New Roman" w:cs="Times New Roman"/>
              </w:rPr>
            </w:pPr>
            <w:r w:rsidRPr="00147D39">
              <w:rPr>
                <w:rFonts w:ascii="Times New Roman" w:hAnsi="Times New Roman" w:cs="Times New Roman"/>
                <w:color w:val="263442"/>
                <w:sz w:val="16"/>
              </w:rPr>
              <w:t>Validated business actions derived from approved upstream outputs.</w:t>
            </w:r>
          </w:p>
        </w:tc>
      </w:tr>
    </w:tbl>
    <w:p w14:paraId="02A8A35C"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0F8B8D"/>
          <w:sz w:val="25"/>
        </w:rPr>
        <w:t>7.1 Employee Search Use Case</w:t>
      </w:r>
    </w:p>
    <w:p w14:paraId="1A8FB626" w14:textId="77777777" w:rsidR="00DF4CFF" w:rsidRPr="00147D39" w:rsidRDefault="00B66E28">
      <w:pPr>
        <w:spacing w:after="80" w:line="252" w:lineRule="auto"/>
        <w:rPr>
          <w:rFonts w:ascii="Times New Roman" w:hAnsi="Times New Roman" w:cs="Times New Roman"/>
        </w:rPr>
      </w:pPr>
      <w:r w:rsidRPr="00147D39">
        <w:rPr>
          <w:rFonts w:ascii="Times New Roman" w:hAnsi="Times New Roman" w:cs="Times New Roman"/>
          <w:color w:val="263442"/>
          <w:sz w:val="18"/>
        </w:rPr>
        <w:t>When HR searches an employee, the workflow can return available employee attributes together with validated attrition risk and top model drivers. Historical risk trends require stored prediction snapshots across multiple periods.</w:t>
      </w:r>
    </w:p>
    <w:p w14:paraId="164B8C5A" w14:textId="77777777" w:rsidR="00DF4CFF" w:rsidRPr="00147D39" w:rsidRDefault="00B66E28">
      <w:pPr>
        <w:spacing w:before="140" w:after="100"/>
        <w:rPr>
          <w:rFonts w:ascii="Times New Roman" w:hAnsi="Times New Roman" w:cs="Times New Roman"/>
        </w:rPr>
      </w:pPr>
      <w:r w:rsidRPr="00147D39">
        <w:rPr>
          <w:rFonts w:ascii="Times New Roman" w:hAnsi="Times New Roman" w:cs="Times New Roman"/>
          <w:b/>
          <w:color w:val="0F8B8D"/>
          <w:sz w:val="25"/>
        </w:rPr>
        <w:t>7.2 Data Availability &amp; Governance</w:t>
      </w:r>
    </w:p>
    <w:p w14:paraId="6B541A2E"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The current IBM HR Attrition dataset does not directly provide an attendance/leave-history system.</w:t>
      </w:r>
    </w:p>
    <w:p w14:paraId="147D4D7A"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The current dataset does not contain an employee skills inventory or role-skill taxonomy.</w:t>
      </w:r>
    </w:p>
    <w:p w14:paraId="2611F10D"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Promotion prediction requires direct promotion outcome/history data; the current dataset alone is insufficient for supervised promotion prediction.</w:t>
      </w:r>
    </w:p>
    <w:p w14:paraId="19594E40"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Historical risk trends require stored prediction snapshots across multiple periods.</w:t>
      </w:r>
    </w:p>
    <w:p w14:paraId="121BAE84"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Unsupported outputs must not be presented as completed predictions.</w:t>
      </w:r>
    </w:p>
    <w:p w14:paraId="4B02B972" w14:textId="77777777" w:rsidR="00DF4CFF" w:rsidRPr="00147D39" w:rsidRDefault="00B66E28">
      <w:pPr>
        <w:pStyle w:val="ListBullet"/>
        <w:spacing w:after="40"/>
        <w:ind w:left="288" w:hanging="173"/>
        <w:rPr>
          <w:rFonts w:ascii="Times New Roman" w:hAnsi="Times New Roman" w:cs="Times New Roman"/>
        </w:rPr>
      </w:pPr>
      <w:r w:rsidRPr="00147D39">
        <w:rPr>
          <w:rFonts w:ascii="Times New Roman" w:hAnsi="Times New Roman" w:cs="Times New Roman"/>
          <w:color w:val="263442"/>
          <w:sz w:val="18"/>
        </w:rPr>
        <w:t>Model-driven HR actions should use validated outputs and appropriate human review.</w:t>
      </w:r>
    </w:p>
    <w:p w14:paraId="2E682872" w14:textId="77777777" w:rsidR="00B66E28" w:rsidRPr="00147D39" w:rsidRDefault="00B66E28">
      <w:pPr>
        <w:rPr>
          <w:rFonts w:ascii="Times New Roman" w:hAnsi="Times New Roman" w:cs="Times New Roman"/>
        </w:rPr>
      </w:pPr>
    </w:p>
    <w:sectPr w:rsidR="00B66E28" w:rsidRPr="00147D39" w:rsidSect="00034616">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8746007">
    <w:abstractNumId w:val="8"/>
  </w:num>
  <w:num w:numId="2" w16cid:durableId="645934448">
    <w:abstractNumId w:val="6"/>
  </w:num>
  <w:num w:numId="3" w16cid:durableId="715392150">
    <w:abstractNumId w:val="5"/>
  </w:num>
  <w:num w:numId="4" w16cid:durableId="180634123">
    <w:abstractNumId w:val="4"/>
  </w:num>
  <w:num w:numId="5" w16cid:durableId="1092625947">
    <w:abstractNumId w:val="7"/>
  </w:num>
  <w:num w:numId="6" w16cid:durableId="1281491791">
    <w:abstractNumId w:val="3"/>
  </w:num>
  <w:num w:numId="7" w16cid:durableId="828789940">
    <w:abstractNumId w:val="2"/>
  </w:num>
  <w:num w:numId="8" w16cid:durableId="1703286851">
    <w:abstractNumId w:val="1"/>
  </w:num>
  <w:num w:numId="9" w16cid:durableId="519585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D39"/>
    <w:rsid w:val="0015074B"/>
    <w:rsid w:val="0029639D"/>
    <w:rsid w:val="00326F90"/>
    <w:rsid w:val="004B4326"/>
    <w:rsid w:val="00865435"/>
    <w:rsid w:val="009927BB"/>
    <w:rsid w:val="00AA1D8D"/>
    <w:rsid w:val="00B47730"/>
    <w:rsid w:val="00B66E28"/>
    <w:rsid w:val="00CB0664"/>
    <w:rsid w:val="00CD5E40"/>
    <w:rsid w:val="00DF4CFF"/>
    <w:rsid w:val="00E260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C1542"/>
  <w14:defaultImageDpi w14:val="300"/>
  <w15:docId w15:val="{16B644B6-35F3-4E84-83CE-4FB9270DA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Tanisha Gehlot</cp:lastModifiedBy>
  <cp:revision>4</cp:revision>
  <dcterms:created xsi:type="dcterms:W3CDTF">2026-08-15T11:59:00Z</dcterms:created>
  <dcterms:modified xsi:type="dcterms:W3CDTF">2026-08-15T12:12:00Z</dcterms:modified>
  <cp:category/>
</cp:coreProperties>
</file>