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MILESTONE 3 — TASK DOCUMENTATION</w:t>
      </w:r>
    </w:p>
    <w:p>
      <w:pPr>
        <w:spacing w:after="40"/>
      </w:pPr>
      <w:r>
        <w:rPr>
          <w:b/>
          <w:bCs/>
          <w:color w:val="C9A227"/>
          <w:sz w:val="26"/>
          <w:szCs w:val="26"/>
        </w:rPr>
        <w:t xml:space="preserve">Headcount Analytics Module</w:t>
      </w:r>
    </w:p>
    <w:p>
      <w:pPr>
        <w:spacing w:after="300"/>
      </w:pPr>
      <w:r>
        <w:rPr>
          <w:i/>
          <w:iCs/>
          <w:color w:val="444444"/>
          <w:sz w:val="21"/>
          <w:szCs w:val="21"/>
        </w:rPr>
        <w:t xml:space="preserve">Workforce Intelligence Dashboard Project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shd w:fill="DCE6F1" w:val="clear"/>
            <w:tcMar>
              <w:top w:type="dxa" w:w="150"/>
              <w:left w:type="dxa" w:w="200"/>
              <w:bottom w:type="dxa" w:w="150"/>
              <w:right w:type="dxa" w:w="200"/>
            </w:tcMar>
          </w:tcPr>
          <w:p>
            <w:pPr>
              <w:spacing w:after="80"/>
            </w:pPr>
            <w:r>
              <w:rPr>
                <w:b/>
                <w:bCs/>
                <w:color w:val="1F3864"/>
                <w:sz w:val="21"/>
                <w:szCs w:val="21"/>
              </w:rPr>
              <w:t xml:space="preserve">Overall Milestone 3 Goal</w:t>
            </w:r>
          </w:p>
          <w:p>
            <w:r>
              <w:rPr>
                <w:color w:val="222222"/>
                <w:sz w:val="21"/>
                <w:szCs w:val="21"/>
              </w:rPr>
              <w:t xml:space="preserve">Integrate the core analytics engine with the interactive workforce intelligence dashboard and deliver visualization, reporting, and collaboration features.</w:t>
            </w:r>
          </w:p>
        </w:tc>
      </w:tr>
    </w:tbl>
    <w:p>
      <w:pPr>
        <w:pStyle w:val="Heading1"/>
        <w:pBdr>
          <w:bottom w:val="single" w:color="1F3864" w:sz="6"/>
        </w:pBdr>
        <w:spacing w:after="150" w:before="320"/>
      </w:pPr>
      <w:r>
        <w:rPr>
          <w:b/>
          <w:bCs/>
          <w:color w:val="1F3864"/>
          <w:sz w:val="26"/>
          <w:szCs w:val="26"/>
        </w:rPr>
        <w:t xml:space="preserve">1. Executive Summary</w:t>
      </w:r>
    </w:p>
    <w:p>
      <w:pPr>
        <w:spacing w:after="140"/>
        <w:jc w:val="both"/>
      </w:pPr>
      <w:r>
        <w:rPr>
          <w:color w:val="222222"/>
          <w:sz w:val="22"/>
          <w:szCs w:val="22"/>
        </w:rPr>
        <w:t xml:space="preserve">This document details the scope, approach, and deliverables for the Headcount Analytics Module, one of ten interdependent workstreams that together make up Milestone 3 of the Workforce Intelligence Dashboard project. The module is responsible for transforming raw employee headcount data into clear, interactive visualizations that HR leaders and business stakeholders can use to understand workforce composition at a glance.</w:t>
      </w:r>
    </w:p>
    <w:p>
      <w:pPr>
        <w:spacing w:after="140"/>
        <w:jc w:val="both"/>
      </w:pPr>
      <w:r>
        <w:rPr>
          <w:color w:val="222222"/>
          <w:sz w:val="22"/>
          <w:szCs w:val="22"/>
        </w:rPr>
        <w:t xml:space="preserve">Headcount analytics forms the foundation layer of the broader workforce intelligence platform — before diversity, engagement, or predictive analytics can be meaningfully interpreted, stakeholders first need an accurate, up-to-date picture of how many people work where, in what roles, and under which departments. This module therefore acts as both a standalone deliverable and a supporting data layer for several other modules in the project.</w:t>
      </w:r>
    </w:p>
    <w:p>
      <w:pPr>
        <w:spacing w:after="140"/>
        <w:jc w:val="both"/>
      </w:pPr>
      <w:r>
        <w:rPr>
          <w:color w:val="222222"/>
          <w:sz w:val="22"/>
          <w:szCs w:val="22"/>
        </w:rPr>
        <w:t xml:space="preserve">The sections that follow cover the assigned task, its objective, the technical approach, data requirements, implementation plan, deliverables, coordination points with other workstreams, a proposed timeline, risk considerations, and validation criteria.</w:t>
      </w:r>
    </w:p>
    <w:p>
      <w:pPr>
        <w:pStyle w:val="Heading1"/>
        <w:pBdr>
          <w:bottom w:val="single" w:color="1F3864" w:sz="6"/>
        </w:pBdr>
        <w:spacing w:after="150" w:before="320"/>
      </w:pPr>
      <w:r>
        <w:rPr>
          <w:b/>
          <w:bCs/>
          <w:color w:val="1F3864"/>
          <w:sz w:val="26"/>
          <w:szCs w:val="26"/>
        </w:rPr>
        <w:t xml:space="preserve">2. Assigned Task</w:t>
      </w:r>
    </w:p>
    <w:p>
      <w:pPr>
        <w:pStyle w:val="Heading2"/>
        <w:spacing w:after="100" w:before="220"/>
      </w:pPr>
      <w:r>
        <w:rPr>
          <w:b/>
          <w:bCs/>
          <w:color w:val="1F3864"/>
          <w:sz w:val="22"/>
          <w:szCs w:val="22"/>
        </w:rPr>
        <w:t xml:space="preserve">Task Title</w:t>
      </w:r>
    </w:p>
    <w:p>
      <w:pPr>
        <w:spacing w:after="140"/>
        <w:jc w:val="both"/>
      </w:pPr>
      <w:r>
        <w:rPr>
          <w:b/>
          <w:bCs/>
          <w:color w:val="222222"/>
          <w:sz w:val="23"/>
          <w:szCs w:val="23"/>
        </w:rPr>
        <w:t xml:space="preserve">Headcount Analytics Module</w:t>
      </w:r>
    </w:p>
    <w:p>
      <w:pPr>
        <w:pStyle w:val="Heading2"/>
        <w:spacing w:after="100" w:before="220"/>
      </w:pPr>
      <w:r>
        <w:rPr>
          <w:b/>
          <w:bCs/>
          <w:color w:val="1F3864"/>
          <w:sz w:val="22"/>
          <w:szCs w:val="22"/>
        </w:rPr>
        <w:t xml:space="preserve">Task Description</w:t>
      </w:r>
    </w:p>
    <w:p>
      <w:pPr>
        <w:spacing w:after="140"/>
        <w:jc w:val="both"/>
      </w:pPr>
      <w:r>
        <w:rPr>
          <w:color w:val="222222"/>
          <w:sz w:val="22"/>
          <w:szCs w:val="22"/>
        </w:rPr>
        <w:t xml:space="preserve">Develop visualization for workforce headcount — building the dashboards and charts that let HR leaders and stakeholders view and track employee numbers across the organization. This includes designing the underlying data aggregations, choosing appropriate chart types for each headcount dimension, and preparing the module so it integrates cleanly into the shared interactive dashboard.</w:t>
      </w:r>
    </w:p>
    <w:p>
      <w:pPr>
        <w:pStyle w:val="Heading2"/>
        <w:spacing w:after="100" w:before="220"/>
      </w:pPr>
      <w:r>
        <w:rPr>
          <w:b/>
          <w:bCs/>
          <w:color w:val="1F3864"/>
          <w:sz w:val="22"/>
          <w:szCs w:val="22"/>
        </w:rPr>
        <w:t xml:space="preserve">Scope Boundaries</w:t>
      </w:r>
    </w:p>
    <w:p>
      <w:pPr>
        <w:spacing w:after="140"/>
        <w:jc w:val="both"/>
      </w:pPr>
      <w:r>
        <w:rPr>
          <w:color w:val="222222"/>
          <w:sz w:val="22"/>
          <w:szCs w:val="22"/>
        </w:rPr>
        <w:t xml:space="preserve">The module focuses specifically on headcount — that is, the count and distribution of employees — rather than qualitative workforce attributes such as engagement or diversity ratios, which are covered by other modules. Where headcount figures overlap with those modules (for example, headcount broken down by demographic group), this module will expose the underlying counts, while the interpretive analysis remains with the relevant specialist module.</w:t>
      </w:r>
    </w:p>
    <w:p>
      <w:pPr>
        <w:pStyle w:val="Heading1"/>
        <w:pBdr>
          <w:bottom w:val="single" w:color="1F3864" w:sz="6"/>
        </w:pBdr>
        <w:spacing w:after="150" w:before="320"/>
      </w:pPr>
      <w:r>
        <w:rPr>
          <w:b/>
          <w:bCs/>
          <w:color w:val="1F3864"/>
          <w:sz w:val="26"/>
          <w:szCs w:val="26"/>
        </w:rPr>
        <w:t xml:space="preserve">3. Objective</w:t>
      </w:r>
    </w:p>
    <w:p>
      <w:pPr>
        <w:spacing w:after="140"/>
        <w:jc w:val="both"/>
      </w:pPr>
      <w:r>
        <w:rPr>
          <w:color w:val="222222"/>
          <w:sz w:val="22"/>
          <w:szCs w:val="22"/>
        </w:rPr>
        <w:t xml:space="preserve">Give HR leaders and stakeholders a clear, at-a-glance view of current workforce headcount and how it is distributed — so staffing gaps, overstaffed areas, and location or department trends are immediately visible without digging through raw data.</w:t>
      </w:r>
    </w:p>
    <w:p>
      <w:pPr>
        <w:spacing w:after="140"/>
        <w:jc w:val="both"/>
      </w:pPr>
      <w:r>
        <w:rPr>
          <w:color w:val="222222"/>
          <w:sz w:val="22"/>
          <w:szCs w:val="22"/>
        </w:rPr>
        <w:t xml:space="preserve">Specifically, the module aims to:</w:t>
      </w:r>
    </w:p>
    <w:p>
      <w:pPr>
        <w:pStyle w:val="ListParagraph"/>
        <w:numPr>
          <w:ilvl w:val="0"/>
          <w:numId w:val="2"/>
        </w:numPr>
        <w:spacing w:after="100"/>
      </w:pPr>
      <w:r>
        <w:rPr>
          <w:color w:val="222222"/>
          <w:sz w:val="22"/>
          <w:szCs w:val="22"/>
        </w:rPr>
        <w:t xml:space="preserve">Provide a single, reliable source of truth for current headcount figures across the organization.</w:t>
      </w:r>
    </w:p>
    <w:p>
      <w:pPr>
        <w:pStyle w:val="ListParagraph"/>
        <w:numPr>
          <w:ilvl w:val="0"/>
          <w:numId w:val="2"/>
        </w:numPr>
        <w:spacing w:after="100"/>
      </w:pPr>
      <w:r>
        <w:rPr>
          <w:color w:val="222222"/>
          <w:sz w:val="22"/>
          <w:szCs w:val="22"/>
        </w:rPr>
        <w:t xml:space="preserve">Allow quick comparison of headcount across departments, roles, and locations.</w:t>
      </w:r>
    </w:p>
    <w:p>
      <w:pPr>
        <w:pStyle w:val="ListParagraph"/>
        <w:numPr>
          <w:ilvl w:val="0"/>
          <w:numId w:val="2"/>
        </w:numPr>
        <w:spacing w:after="100"/>
      </w:pPr>
      <w:r>
        <w:rPr>
          <w:color w:val="222222"/>
          <w:sz w:val="22"/>
          <w:szCs w:val="22"/>
        </w:rPr>
        <w:t xml:space="preserve">Reveal trends over time, such as growth or attrition in specific teams or sites.</w:t>
      </w:r>
    </w:p>
    <w:p>
      <w:pPr>
        <w:pStyle w:val="ListParagraph"/>
        <w:numPr>
          <w:ilvl w:val="0"/>
          <w:numId w:val="2"/>
        </w:numPr>
        <w:spacing w:after="100"/>
      </w:pPr>
      <w:r>
        <w:rPr>
          <w:color w:val="222222"/>
          <w:sz w:val="22"/>
          <w:szCs w:val="22"/>
        </w:rPr>
        <w:t xml:space="preserve">Support faster, more confident staffing decisions by surfacing patterns that would otherwise require manual spreadsheet analysis.</w:t>
      </w:r>
    </w:p>
    <w:p>
      <w:pPr>
        <w:pStyle w:val="Heading1"/>
        <w:pBdr>
          <w:bottom w:val="single" w:color="1F3864" w:sz="6"/>
        </w:pBdr>
        <w:spacing w:after="150" w:before="320"/>
      </w:pPr>
      <w:r>
        <w:rPr>
          <w:b/>
          <w:bCs/>
          <w:color w:val="1F3864"/>
          <w:sz w:val="26"/>
          <w:szCs w:val="26"/>
        </w:rPr>
        <w:t xml:space="preserve">4. Key Activities</w:t>
      </w:r>
    </w:p>
    <w:p>
      <w:pPr>
        <w:pStyle w:val="Heading2"/>
        <w:spacing w:after="100" w:before="220"/>
      </w:pPr>
      <w:r>
        <w:rPr>
          <w:b/>
          <w:bCs/>
          <w:color w:val="1F3864"/>
          <w:sz w:val="22"/>
          <w:szCs w:val="22"/>
        </w:rPr>
        <w:t xml:space="preserve">4.1 Dashboard and Chart Construction</w:t>
      </w:r>
    </w:p>
    <w:p>
      <w:pPr>
        <w:spacing w:after="140"/>
        <w:jc w:val="both"/>
      </w:pPr>
      <w:r>
        <w:rPr>
          <w:color w:val="222222"/>
          <w:sz w:val="22"/>
          <w:szCs w:val="22"/>
        </w:rPr>
        <w:t xml:space="preserve">Build headcount dashboards and charts to visualize total workforce numbers. This involves selecting the right visual encoding for each question stakeholders are likely to ask — for example, a single summary card for total headcount, bar charts for categorical comparisons, and time-series charts for trend analysis.</w:t>
      </w:r>
    </w:p>
    <w:p>
      <w:pPr>
        <w:pStyle w:val="Heading2"/>
        <w:spacing w:after="100" w:before="220"/>
      </w:pPr>
      <w:r>
        <w:rPr>
          <w:b/>
          <w:bCs/>
          <w:color w:val="1F3864"/>
          <w:sz w:val="22"/>
          <w:szCs w:val="22"/>
        </w:rPr>
        <w:t xml:space="preserve">4.2 Employee Tracking by Dimension</w:t>
      </w:r>
    </w:p>
    <w:p>
      <w:pPr>
        <w:spacing w:after="140"/>
        <w:jc w:val="both"/>
      </w:pPr>
      <w:r>
        <w:rPr>
          <w:color w:val="222222"/>
          <w:sz w:val="22"/>
          <w:szCs w:val="22"/>
        </w:rPr>
        <w:t xml:space="preserve">Track employee numbers by department, role, and location. Each of these dimensions requires its own aggregation logic and, in most cases, its own dedicated chart or filter view so that stakeholders can slice the data along the dimension most relevant to their question.</w:t>
      </w:r>
    </w:p>
    <w:p>
      <w:pPr>
        <w:pStyle w:val="Heading2"/>
        <w:spacing w:after="100" w:before="220"/>
      </w:pPr>
      <w:r>
        <w:rPr>
          <w:b/>
          <w:bCs/>
          <w:color w:val="1F3864"/>
          <w:sz w:val="22"/>
          <w:szCs w:val="22"/>
        </w:rPr>
        <w:t xml:space="preserve">4.3 Breakdown Design</w:t>
      </w:r>
    </w:p>
    <w:p>
      <w:pPr>
        <w:spacing w:after="140"/>
        <w:jc w:val="both"/>
      </w:pPr>
      <w:r>
        <w:rPr>
          <w:color w:val="222222"/>
          <w:sz w:val="22"/>
          <w:szCs w:val="22"/>
        </w:rPr>
        <w:t xml:space="preserve">Design breakdowns — department-wise, role-wise, and location-wise — so that trends are easy to spot at a glance. This includes deciding on sensible groupings (for example, collapsing very small departments into an "Other" category to avoid cluttered charts) and applying consistent color and labeling conventions across all breakdown views.</w:t>
      </w:r>
    </w:p>
    <w:p>
      <w:pPr>
        <w:pStyle w:val="Heading2"/>
        <w:spacing w:after="100" w:before="220"/>
      </w:pPr>
      <w:r>
        <w:rPr>
          <w:b/>
          <w:bCs/>
          <w:color w:val="1F3864"/>
          <w:sz w:val="22"/>
          <w:szCs w:val="22"/>
        </w:rPr>
        <w:t xml:space="preserve">4.4 Integration Readiness</w:t>
      </w:r>
    </w:p>
    <w:p>
      <w:pPr>
        <w:spacing w:after="140"/>
        <w:jc w:val="both"/>
      </w:pPr>
      <w:r>
        <w:rPr>
          <w:color w:val="222222"/>
          <w:sz w:val="22"/>
          <w:szCs w:val="22"/>
        </w:rPr>
        <w:t xml:space="preserve">Ensure the visualizations are ready to plug into the shared Interactive Workforce Intelligence Dashboard. This means exposing chart components (or reusable query functions) in a way that the dashboard integration workstream can consume directly, without needing to rebuild the underlying logic.</w:t>
      </w:r>
    </w:p>
    <w:p>
      <w:pPr>
        <w:pStyle w:val="Heading1"/>
        <w:pBdr>
          <w:bottom w:val="single" w:color="1F3864" w:sz="6"/>
        </w:pBdr>
        <w:spacing w:after="150" w:before="320"/>
      </w:pPr>
      <w:r>
        <w:rPr>
          <w:b/>
          <w:bCs/>
          <w:color w:val="1F3864"/>
          <w:sz w:val="26"/>
          <w:szCs w:val="26"/>
        </w:rPr>
        <w:t xml:space="preserve">5. Technical Approach</w:t>
      </w:r>
    </w:p>
    <w:p>
      <w:pPr>
        <w:pStyle w:val="Heading2"/>
        <w:spacing w:after="100" w:before="220"/>
      </w:pPr>
      <w:r>
        <w:rPr>
          <w:b/>
          <w:bCs/>
          <w:color w:val="1F3864"/>
          <w:sz w:val="22"/>
          <w:szCs w:val="22"/>
        </w:rPr>
        <w:t xml:space="preserve">5.1 Data Pipeline</w:t>
      </w:r>
    </w:p>
    <w:p>
      <w:pPr>
        <w:pStyle w:val="ListParagraph"/>
        <w:numPr>
          <w:ilvl w:val="0"/>
          <w:numId w:val="3"/>
        </w:numPr>
        <w:spacing w:after="100"/>
      </w:pPr>
      <w:r>
        <w:rPr>
          <w:color w:val="222222"/>
          <w:sz w:val="22"/>
          <w:szCs w:val="22"/>
        </w:rPr>
        <w:t xml:space="preserve">Identify and extract the relevant headcount fields from the HR data source (employee ID, department, role/designation, location, employment status, joining date, exit date).</w:t>
      </w:r>
    </w:p>
    <w:p>
      <w:pPr>
        <w:pStyle w:val="ListParagraph"/>
        <w:numPr>
          <w:ilvl w:val="0"/>
          <w:numId w:val="3"/>
        </w:numPr>
        <w:spacing w:after="100"/>
      </w:pPr>
      <w:r>
        <w:rPr>
          <w:color w:val="222222"/>
          <w:sz w:val="22"/>
          <w:szCs w:val="22"/>
        </w:rPr>
        <w:t xml:space="preserve">Clean the data — handle missing values, standardize department and location naming, and remove duplicate or terminated records where not relevant to current headcount.</w:t>
      </w:r>
    </w:p>
    <w:p>
      <w:pPr>
        <w:pStyle w:val="ListParagraph"/>
        <w:numPr>
          <w:ilvl w:val="0"/>
          <w:numId w:val="3"/>
        </w:numPr>
        <w:spacing w:after="100"/>
      </w:pPr>
      <w:r>
        <w:rPr>
          <w:color w:val="222222"/>
          <w:sz w:val="22"/>
          <w:szCs w:val="22"/>
        </w:rPr>
        <w:t xml:space="preserve">Aggregate the cleaned data into summary tables: headcount by department, by role, by location, and by time period.</w:t>
      </w:r>
    </w:p>
    <w:p>
      <w:pPr>
        <w:pStyle w:val="ListParagraph"/>
        <w:numPr>
          <w:ilvl w:val="0"/>
          <w:numId w:val="3"/>
        </w:numPr>
        <w:spacing w:after="100"/>
      </w:pPr>
      <w:r>
        <w:rPr>
          <w:color w:val="222222"/>
          <w:sz w:val="22"/>
          <w:szCs w:val="22"/>
        </w:rPr>
        <w:t xml:space="preserve">Store or expose these aggregated tables in a format the visualization layer can query efficiently.</w:t>
      </w:r>
    </w:p>
    <w:p>
      <w:pPr>
        <w:pStyle w:val="Heading2"/>
        <w:spacing w:after="100" w:before="220"/>
      </w:pPr>
      <w:r>
        <w:rPr>
          <w:b/>
          <w:bCs/>
          <w:color w:val="1F3864"/>
          <w:sz w:val="22"/>
          <w:szCs w:val="22"/>
        </w:rPr>
        <w:t xml:space="preserve">5.2 Visualization Layer</w:t>
      </w:r>
    </w:p>
    <w:p>
      <w:pPr>
        <w:spacing w:after="140"/>
        <w:jc w:val="both"/>
      </w:pPr>
      <w:r>
        <w:rPr>
          <w:color w:val="222222"/>
          <w:sz w:val="22"/>
          <w:szCs w:val="22"/>
        </w:rPr>
        <w:t xml:space="preserve">Chart types will be matched to the nature of each comparison:</w:t>
      </w:r>
    </w:p>
    <w:p>
      <w:pPr>
        <w:pStyle w:val="ListParagraph"/>
        <w:numPr>
          <w:ilvl w:val="0"/>
          <w:numId w:val="2"/>
        </w:numPr>
        <w:spacing w:after="100"/>
      </w:pPr>
      <w:r>
        <w:rPr>
          <w:color w:val="222222"/>
          <w:sz w:val="22"/>
          <w:szCs w:val="22"/>
        </w:rPr>
        <w:t xml:space="preserve">Bar charts for department-wise and role-wise headcount comparisons.</w:t>
      </w:r>
    </w:p>
    <w:p>
      <w:pPr>
        <w:pStyle w:val="ListParagraph"/>
        <w:numPr>
          <w:ilvl w:val="0"/>
          <w:numId w:val="2"/>
        </w:numPr>
        <w:spacing w:after="100"/>
      </w:pPr>
      <w:r>
        <w:rPr>
          <w:color w:val="222222"/>
          <w:sz w:val="22"/>
          <w:szCs w:val="22"/>
        </w:rPr>
        <w:t xml:space="preserve">A location-based view (map or grouped bar chart) for geographic distribution.</w:t>
      </w:r>
    </w:p>
    <w:p>
      <w:pPr>
        <w:pStyle w:val="ListParagraph"/>
        <w:numPr>
          <w:ilvl w:val="0"/>
          <w:numId w:val="2"/>
        </w:numPr>
        <w:spacing w:after="100"/>
      </w:pPr>
      <w:r>
        <w:rPr>
          <w:color w:val="222222"/>
          <w:sz w:val="22"/>
          <w:szCs w:val="22"/>
        </w:rPr>
        <w:t xml:space="preserve">A line or area chart for headcount trends over time, useful for spotting growth or attrition patterns.</w:t>
      </w:r>
    </w:p>
    <w:p>
      <w:pPr>
        <w:pStyle w:val="ListParagraph"/>
        <w:numPr>
          <w:ilvl w:val="0"/>
          <w:numId w:val="2"/>
        </w:numPr>
        <w:spacing w:after="100"/>
      </w:pPr>
      <w:r>
        <w:rPr>
          <w:color w:val="222222"/>
          <w:sz w:val="22"/>
          <w:szCs w:val="22"/>
        </w:rPr>
        <w:t xml:space="preserve">Summary cards for high-level totals (e.g., total headcount, headcount change this quarter).</w:t>
      </w:r>
    </w:p>
    <w:p>
      <w:pPr>
        <w:spacing w:after="140"/>
        <w:jc w:val="both"/>
      </w:pPr>
      <w:r>
        <w:rPr>
          <w:color w:val="222222"/>
          <w:sz w:val="22"/>
          <w:szCs w:val="22"/>
        </w:rPr>
        <w:t xml:space="preserve">The charting library will follow whatever stack the wider dashboard team standardizes on (for example, Chart.js or Recharts on a React frontend, or an equivalent BI tool if the team adopts one). Keeping the charting approach consistent with the rest of the dashboard avoids rework during integration.</w:t>
      </w:r>
    </w:p>
    <w:p>
      <w:pPr>
        <w:pStyle w:val="Heading2"/>
        <w:spacing w:after="100" w:before="220"/>
      </w:pPr>
      <w:r>
        <w:rPr>
          <w:b/>
          <w:bCs/>
          <w:color w:val="1F3864"/>
          <w:sz w:val="22"/>
          <w:szCs w:val="22"/>
        </w:rPr>
        <w:t xml:space="preserve">5.3 Filtering and Interactivity</w:t>
      </w:r>
    </w:p>
    <w:p>
      <w:pPr>
        <w:spacing w:after="140"/>
        <w:jc w:val="both"/>
      </w:pPr>
      <w:r>
        <w:rPr>
          <w:color w:val="222222"/>
          <w:sz w:val="22"/>
          <w:szCs w:val="22"/>
        </w:rPr>
        <w:t xml:space="preserve">Filters for department, role, location, and date range will be built into the module so that, once integrated, users of the main dashboard can interactively narrow down the headcount view without needing separate reports for each slice of data.</w:t>
      </w:r>
    </w:p>
    <w:p>
      <w:pPr>
        <w:pStyle w:val="Heading1"/>
        <w:pBdr>
          <w:bottom w:val="single" w:color="1F3864" w:sz="6"/>
        </w:pBdr>
        <w:spacing w:after="150" w:before="320"/>
      </w:pPr>
      <w:r>
        <w:rPr>
          <w:b/>
          <w:bCs/>
          <w:color w:val="1F3864"/>
          <w:sz w:val="26"/>
          <w:szCs w:val="26"/>
        </w:rPr>
        <w:t xml:space="preserve">6. Data Requirements</w:t>
      </w:r>
    </w:p>
    <w:p>
      <w:pPr>
        <w:spacing w:after="140"/>
        <w:jc w:val="both"/>
      </w:pPr>
      <w:r>
        <w:rPr>
          <w:color w:val="222222"/>
          <w:sz w:val="22"/>
          <w:szCs w:val="22"/>
        </w:rPr>
        <w:t xml:space="preserve">The following fields are expected to be required, at minimum, for the module to function correctly: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5440"/>
      </w:tblGrid>
      <w:tr>
        <w:trPr>
          <w:tblHeader/>
        </w:trPr>
        <w:tc>
          <w:tcPr>
            <w:tcW w:type="dxa" w:w="2600"/>
            <w:shd w:fill="1F3864" w:val="clear"/>
            <w:tcMar>
              <w:top w:type="dxa" w:w="100"/>
              <w:left w:type="dxa" w:w="120"/>
              <w:bottom w:type="dxa" w:w="100"/>
              <w:right w:type="dxa" w:w="120"/>
            </w:tcMar>
          </w:tcPr>
          <w:p>
            <w:r>
              <w:rPr>
                <w:b/>
                <w:bCs/>
                <w:color w:val="FFFFFF"/>
                <w:sz w:val="21"/>
                <w:szCs w:val="21"/>
              </w:rPr>
              <w:t xml:space="preserve">Field</w:t>
            </w:r>
          </w:p>
        </w:tc>
        <w:tc>
          <w:tcPr>
            <w:tcW w:type="dxa" w:w="2400"/>
            <w:shd w:fill="1F3864" w:val="clear"/>
            <w:tcMar>
              <w:top w:type="dxa" w:w="100"/>
              <w:left w:type="dxa" w:w="120"/>
              <w:bottom w:type="dxa" w:w="100"/>
              <w:right w:type="dxa" w:w="120"/>
            </w:tcMar>
          </w:tcPr>
          <w:p>
            <w:r>
              <w:rPr>
                <w:b/>
                <w:bCs/>
                <w:color w:val="FFFFFF"/>
                <w:sz w:val="21"/>
                <w:szCs w:val="21"/>
              </w:rPr>
              <w:t xml:space="preserve">Type</w:t>
            </w:r>
          </w:p>
        </w:tc>
        <w:tc>
          <w:tcPr>
            <w:tcW w:type="dxa" w:w="5440"/>
            <w:shd w:fill="1F3864" w:val="clear"/>
            <w:tcMar>
              <w:top w:type="dxa" w:w="100"/>
              <w:left w:type="dxa" w:w="120"/>
              <w:bottom w:type="dxa" w:w="100"/>
              <w:right w:type="dxa" w:w="120"/>
            </w:tcMar>
          </w:tcPr>
          <w:p>
            <w:r>
              <w:rPr>
                <w:b/>
                <w:bCs/>
                <w:color w:val="FFFFFF"/>
                <w:sz w:val="21"/>
                <w:szCs w:val="21"/>
              </w:rPr>
              <w:t xml:space="preserve">Purpose</w:t>
            </w:r>
          </w:p>
        </w:tc>
      </w:tr>
      <w:tr>
        <w:tc>
          <w:tcPr>
            <w:tcW w:type="dxa" w:w="2600"/>
            <w:shd w:fill="F2F2F2" w:val="clear"/>
            <w:tcMar>
              <w:top w:type="dxa" w:w="100"/>
              <w:left w:type="dxa" w:w="120"/>
              <w:bottom w:type="dxa" w:w="100"/>
              <w:right w:type="dxa" w:w="120"/>
            </w:tcMar>
          </w:tcPr>
          <w:p>
            <w:r>
              <w:rPr>
                <w:b w:val="false"/>
                <w:bCs w:val="false"/>
                <w:color w:val="222222"/>
                <w:sz w:val="21"/>
                <w:szCs w:val="21"/>
              </w:rPr>
              <w:t xml:space="preserve">Employee ID</w:t>
            </w:r>
          </w:p>
        </w:tc>
        <w:tc>
          <w:tcPr>
            <w:tcW w:type="dxa" w:w="2400"/>
            <w:shd w:fill="F2F2F2" w:val="clear"/>
            <w:tcMar>
              <w:top w:type="dxa" w:w="100"/>
              <w:left w:type="dxa" w:w="120"/>
              <w:bottom w:type="dxa" w:w="100"/>
              <w:right w:type="dxa" w:w="120"/>
            </w:tcMar>
          </w:tcPr>
          <w:p>
            <w:r>
              <w:rPr>
                <w:b w:val="false"/>
                <w:bCs w:val="false"/>
                <w:color w:val="222222"/>
                <w:sz w:val="21"/>
                <w:szCs w:val="21"/>
              </w:rPr>
              <w:t xml:space="preserve">Unique identifier</w:t>
            </w:r>
          </w:p>
        </w:tc>
        <w:tc>
          <w:tcPr>
            <w:tcW w:type="dxa" w:w="5440"/>
            <w:shd w:fill="F2F2F2" w:val="clear"/>
            <w:tcMar>
              <w:top w:type="dxa" w:w="100"/>
              <w:left w:type="dxa" w:w="120"/>
              <w:bottom w:type="dxa" w:w="100"/>
              <w:right w:type="dxa" w:w="120"/>
            </w:tcMar>
          </w:tcPr>
          <w:p>
            <w:r>
              <w:rPr>
                <w:b w:val="false"/>
                <w:bCs w:val="false"/>
                <w:color w:val="222222"/>
                <w:sz w:val="21"/>
                <w:szCs w:val="21"/>
              </w:rPr>
              <w:t xml:space="preserve">Ensures accurate counting without duplication.</w:t>
            </w:r>
          </w:p>
        </w:tc>
      </w:tr>
      <w:tr>
        <w:tc>
          <w:tcPr>
            <w:tcW w:type="dxa" w:w="2600"/>
            <w:tcMar>
              <w:top w:type="dxa" w:w="100"/>
              <w:left w:type="dxa" w:w="120"/>
              <w:bottom w:type="dxa" w:w="100"/>
              <w:right w:type="dxa" w:w="120"/>
            </w:tcMar>
          </w:tcPr>
          <w:p>
            <w:r>
              <w:rPr>
                <w:b w:val="false"/>
                <w:bCs w:val="false"/>
                <w:color w:val="222222"/>
                <w:sz w:val="21"/>
                <w:szCs w:val="21"/>
              </w:rPr>
              <w:t xml:space="preserve">Department</w:t>
            </w:r>
          </w:p>
        </w:tc>
        <w:tc>
          <w:tcPr>
            <w:tcW w:type="dxa" w:w="2400"/>
            <w:tcMar>
              <w:top w:type="dxa" w:w="100"/>
              <w:left w:type="dxa" w:w="120"/>
              <w:bottom w:type="dxa" w:w="100"/>
              <w:right w:type="dxa" w:w="120"/>
            </w:tcMar>
          </w:tcPr>
          <w:p>
            <w:r>
              <w:rPr>
                <w:b w:val="false"/>
                <w:bCs w:val="false"/>
                <w:color w:val="222222"/>
                <w:sz w:val="21"/>
                <w:szCs w:val="21"/>
              </w:rPr>
              <w:t xml:space="preserve">Categorical</w:t>
            </w:r>
          </w:p>
        </w:tc>
        <w:tc>
          <w:tcPr>
            <w:tcW w:type="dxa" w:w="5440"/>
            <w:tcMar>
              <w:top w:type="dxa" w:w="100"/>
              <w:left w:type="dxa" w:w="120"/>
              <w:bottom w:type="dxa" w:w="100"/>
              <w:right w:type="dxa" w:w="120"/>
            </w:tcMar>
          </w:tcPr>
          <w:p>
            <w:r>
              <w:rPr>
                <w:b w:val="false"/>
                <w:bCs w:val="false"/>
                <w:color w:val="222222"/>
                <w:sz w:val="21"/>
                <w:szCs w:val="21"/>
              </w:rPr>
              <w:t xml:space="preserve">Enables department-wise headcount breakdown.</w:t>
            </w:r>
          </w:p>
        </w:tc>
      </w:tr>
      <w:tr>
        <w:tc>
          <w:tcPr>
            <w:tcW w:type="dxa" w:w="2600"/>
            <w:shd w:fill="F2F2F2" w:val="clear"/>
            <w:tcMar>
              <w:top w:type="dxa" w:w="100"/>
              <w:left w:type="dxa" w:w="120"/>
              <w:bottom w:type="dxa" w:w="100"/>
              <w:right w:type="dxa" w:w="120"/>
            </w:tcMar>
          </w:tcPr>
          <w:p>
            <w:r>
              <w:rPr>
                <w:b w:val="false"/>
                <w:bCs w:val="false"/>
                <w:color w:val="222222"/>
                <w:sz w:val="21"/>
                <w:szCs w:val="21"/>
              </w:rPr>
              <w:t xml:space="preserve">Role / Designation</w:t>
            </w:r>
          </w:p>
        </w:tc>
        <w:tc>
          <w:tcPr>
            <w:tcW w:type="dxa" w:w="2400"/>
            <w:shd w:fill="F2F2F2" w:val="clear"/>
            <w:tcMar>
              <w:top w:type="dxa" w:w="100"/>
              <w:left w:type="dxa" w:w="120"/>
              <w:bottom w:type="dxa" w:w="100"/>
              <w:right w:type="dxa" w:w="120"/>
            </w:tcMar>
          </w:tcPr>
          <w:p>
            <w:r>
              <w:rPr>
                <w:b w:val="false"/>
                <w:bCs w:val="false"/>
                <w:color w:val="222222"/>
                <w:sz w:val="21"/>
                <w:szCs w:val="21"/>
              </w:rPr>
              <w:t xml:space="preserve">Categorical</w:t>
            </w:r>
          </w:p>
        </w:tc>
        <w:tc>
          <w:tcPr>
            <w:tcW w:type="dxa" w:w="5440"/>
            <w:shd w:fill="F2F2F2" w:val="clear"/>
            <w:tcMar>
              <w:top w:type="dxa" w:w="100"/>
              <w:left w:type="dxa" w:w="120"/>
              <w:bottom w:type="dxa" w:w="100"/>
              <w:right w:type="dxa" w:w="120"/>
            </w:tcMar>
          </w:tcPr>
          <w:p>
            <w:r>
              <w:rPr>
                <w:b w:val="false"/>
                <w:bCs w:val="false"/>
                <w:color w:val="222222"/>
                <w:sz w:val="21"/>
                <w:szCs w:val="21"/>
              </w:rPr>
              <w:t xml:space="preserve">Enables role-wise headcount breakdown.</w:t>
            </w:r>
          </w:p>
        </w:tc>
      </w:tr>
      <w:tr>
        <w:tc>
          <w:tcPr>
            <w:tcW w:type="dxa" w:w="2600"/>
            <w:tcMar>
              <w:top w:type="dxa" w:w="100"/>
              <w:left w:type="dxa" w:w="120"/>
              <w:bottom w:type="dxa" w:w="100"/>
              <w:right w:type="dxa" w:w="120"/>
            </w:tcMar>
          </w:tcPr>
          <w:p>
            <w:r>
              <w:rPr>
                <w:b w:val="false"/>
                <w:bCs w:val="false"/>
                <w:color w:val="222222"/>
                <w:sz w:val="21"/>
                <w:szCs w:val="21"/>
              </w:rPr>
              <w:t xml:space="preserve">Location / Site</w:t>
            </w:r>
          </w:p>
        </w:tc>
        <w:tc>
          <w:tcPr>
            <w:tcW w:type="dxa" w:w="2400"/>
            <w:tcMar>
              <w:top w:type="dxa" w:w="100"/>
              <w:left w:type="dxa" w:w="120"/>
              <w:bottom w:type="dxa" w:w="100"/>
              <w:right w:type="dxa" w:w="120"/>
            </w:tcMar>
          </w:tcPr>
          <w:p>
            <w:r>
              <w:rPr>
                <w:b w:val="false"/>
                <w:bCs w:val="false"/>
                <w:color w:val="222222"/>
                <w:sz w:val="21"/>
                <w:szCs w:val="21"/>
              </w:rPr>
              <w:t xml:space="preserve">Categorical</w:t>
            </w:r>
          </w:p>
        </w:tc>
        <w:tc>
          <w:tcPr>
            <w:tcW w:type="dxa" w:w="5440"/>
            <w:tcMar>
              <w:top w:type="dxa" w:w="100"/>
              <w:left w:type="dxa" w:w="120"/>
              <w:bottom w:type="dxa" w:w="100"/>
              <w:right w:type="dxa" w:w="120"/>
            </w:tcMar>
          </w:tcPr>
          <w:p>
            <w:r>
              <w:rPr>
                <w:b w:val="false"/>
                <w:bCs w:val="false"/>
                <w:color w:val="222222"/>
                <w:sz w:val="21"/>
                <w:szCs w:val="21"/>
              </w:rPr>
              <w:t xml:space="preserve">Enables geographic headcount distribution view.</w:t>
            </w:r>
          </w:p>
        </w:tc>
      </w:tr>
      <w:tr>
        <w:tc>
          <w:tcPr>
            <w:tcW w:type="dxa" w:w="2600"/>
            <w:shd w:fill="F2F2F2" w:val="clear"/>
            <w:tcMar>
              <w:top w:type="dxa" w:w="100"/>
              <w:left w:type="dxa" w:w="120"/>
              <w:bottom w:type="dxa" w:w="100"/>
              <w:right w:type="dxa" w:w="120"/>
            </w:tcMar>
          </w:tcPr>
          <w:p>
            <w:r>
              <w:rPr>
                <w:b w:val="false"/>
                <w:bCs w:val="false"/>
                <w:color w:val="222222"/>
                <w:sz w:val="21"/>
                <w:szCs w:val="21"/>
              </w:rPr>
              <w:t xml:space="preserve">Employment Status</w:t>
            </w:r>
          </w:p>
        </w:tc>
        <w:tc>
          <w:tcPr>
            <w:tcW w:type="dxa" w:w="2400"/>
            <w:shd w:fill="F2F2F2" w:val="clear"/>
            <w:tcMar>
              <w:top w:type="dxa" w:w="100"/>
              <w:left w:type="dxa" w:w="120"/>
              <w:bottom w:type="dxa" w:w="100"/>
              <w:right w:type="dxa" w:w="120"/>
            </w:tcMar>
          </w:tcPr>
          <w:p>
            <w:r>
              <w:rPr>
                <w:b w:val="false"/>
                <w:bCs w:val="false"/>
                <w:color w:val="222222"/>
                <w:sz w:val="21"/>
                <w:szCs w:val="21"/>
              </w:rPr>
              <w:t xml:space="preserve">Active / Inactive</w:t>
            </w:r>
          </w:p>
        </w:tc>
        <w:tc>
          <w:tcPr>
            <w:tcW w:type="dxa" w:w="5440"/>
            <w:shd w:fill="F2F2F2" w:val="clear"/>
            <w:tcMar>
              <w:top w:type="dxa" w:w="100"/>
              <w:left w:type="dxa" w:w="120"/>
              <w:bottom w:type="dxa" w:w="100"/>
              <w:right w:type="dxa" w:w="120"/>
            </w:tcMar>
          </w:tcPr>
          <w:p>
            <w:r>
              <w:rPr>
                <w:b w:val="false"/>
                <w:bCs w:val="false"/>
                <w:color w:val="222222"/>
                <w:sz w:val="21"/>
                <w:szCs w:val="21"/>
              </w:rPr>
              <w:t xml:space="preserve">Distinguishes current employees from exited ones.</w:t>
            </w:r>
          </w:p>
        </w:tc>
      </w:tr>
      <w:tr>
        <w:tc>
          <w:tcPr>
            <w:tcW w:type="dxa" w:w="2600"/>
            <w:tcMar>
              <w:top w:type="dxa" w:w="100"/>
              <w:left w:type="dxa" w:w="120"/>
              <w:bottom w:type="dxa" w:w="100"/>
              <w:right w:type="dxa" w:w="120"/>
            </w:tcMar>
          </w:tcPr>
          <w:p>
            <w:r>
              <w:rPr>
                <w:b w:val="false"/>
                <w:bCs w:val="false"/>
                <w:color w:val="222222"/>
                <w:sz w:val="21"/>
                <w:szCs w:val="21"/>
              </w:rPr>
              <w:t xml:space="preserve">Joining Date</w:t>
            </w:r>
          </w:p>
        </w:tc>
        <w:tc>
          <w:tcPr>
            <w:tcW w:type="dxa" w:w="2400"/>
            <w:tcMar>
              <w:top w:type="dxa" w:w="100"/>
              <w:left w:type="dxa" w:w="120"/>
              <w:bottom w:type="dxa" w:w="100"/>
              <w:right w:type="dxa" w:w="120"/>
            </w:tcMar>
          </w:tcPr>
          <w:p>
            <w:r>
              <w:rPr>
                <w:b w:val="false"/>
                <w:bCs w:val="false"/>
                <w:color w:val="222222"/>
                <w:sz w:val="21"/>
                <w:szCs w:val="21"/>
              </w:rPr>
              <w:t xml:space="preserve">Date</w:t>
            </w:r>
          </w:p>
        </w:tc>
        <w:tc>
          <w:tcPr>
            <w:tcW w:type="dxa" w:w="5440"/>
            <w:tcMar>
              <w:top w:type="dxa" w:w="100"/>
              <w:left w:type="dxa" w:w="120"/>
              <w:bottom w:type="dxa" w:w="100"/>
              <w:right w:type="dxa" w:w="120"/>
            </w:tcMar>
          </w:tcPr>
          <w:p>
            <w:r>
              <w:rPr>
                <w:b w:val="false"/>
                <w:bCs w:val="false"/>
                <w:color w:val="222222"/>
                <w:sz w:val="21"/>
                <w:szCs w:val="21"/>
              </w:rPr>
              <w:t xml:space="preserve">Supports headcount-growth trend analysis over time.</w:t>
            </w:r>
          </w:p>
        </w:tc>
      </w:tr>
      <w:tr>
        <w:tc>
          <w:tcPr>
            <w:tcW w:type="dxa" w:w="2600"/>
            <w:shd w:fill="F2F2F2" w:val="clear"/>
            <w:tcMar>
              <w:top w:type="dxa" w:w="100"/>
              <w:left w:type="dxa" w:w="120"/>
              <w:bottom w:type="dxa" w:w="100"/>
              <w:right w:type="dxa" w:w="120"/>
            </w:tcMar>
          </w:tcPr>
          <w:p>
            <w:r>
              <w:rPr>
                <w:b w:val="false"/>
                <w:bCs w:val="false"/>
                <w:color w:val="222222"/>
                <w:sz w:val="21"/>
                <w:szCs w:val="21"/>
              </w:rPr>
              <w:t xml:space="preserve">Exit Date</w:t>
            </w:r>
          </w:p>
        </w:tc>
        <w:tc>
          <w:tcPr>
            <w:tcW w:type="dxa" w:w="2400"/>
            <w:shd w:fill="F2F2F2" w:val="clear"/>
            <w:tcMar>
              <w:top w:type="dxa" w:w="100"/>
              <w:left w:type="dxa" w:w="120"/>
              <w:bottom w:type="dxa" w:w="100"/>
              <w:right w:type="dxa" w:w="120"/>
            </w:tcMar>
          </w:tcPr>
          <w:p>
            <w:r>
              <w:rPr>
                <w:b w:val="false"/>
                <w:bCs w:val="false"/>
                <w:color w:val="222222"/>
                <w:sz w:val="21"/>
                <w:szCs w:val="21"/>
              </w:rPr>
              <w:t xml:space="preserve">Date (nullable)</w:t>
            </w:r>
          </w:p>
        </w:tc>
        <w:tc>
          <w:tcPr>
            <w:tcW w:type="dxa" w:w="5440"/>
            <w:shd w:fill="F2F2F2" w:val="clear"/>
            <w:tcMar>
              <w:top w:type="dxa" w:w="100"/>
              <w:left w:type="dxa" w:w="120"/>
              <w:bottom w:type="dxa" w:w="100"/>
              <w:right w:type="dxa" w:w="120"/>
            </w:tcMar>
          </w:tcPr>
          <w:p>
            <w:r>
              <w:rPr>
                <w:b w:val="false"/>
                <w:bCs w:val="false"/>
                <w:color w:val="222222"/>
                <w:sz w:val="21"/>
                <w:szCs w:val="21"/>
              </w:rPr>
              <w:t xml:space="preserve">Supports attrition tracking and trend analysis.</w:t>
            </w:r>
          </w:p>
        </w:tc>
      </w:tr>
    </w:tbl>
    <w:p>
      <w:pPr>
        <w:spacing w:after="140"/>
        <w:jc w:val="both"/>
      </w:pPr>
      <w:r>
        <w:rPr>
          <w:color w:val="222222"/>
          <w:sz w:val="22"/>
          <w:szCs w:val="22"/>
        </w:rPr>
        <w:t xml:space="preserve"> </w:t>
      </w:r>
    </w:p>
    <w:p>
      <w:pPr>
        <w:spacing w:after="140"/>
        <w:jc w:val="both"/>
      </w:pPr>
      <w:r>
        <w:rPr>
          <w:color w:val="222222"/>
          <w:sz w:val="22"/>
          <w:szCs w:val="22"/>
        </w:rPr>
        <w:t xml:space="preserve">Where any of these fields are incomplete or inconsistently formatted in the source data, a short data-cleaning step will be documented and applied before aggregation, so that downstream consumers of the module can trust the resulting figures.</w:t>
      </w:r>
    </w:p>
    <w:p>
      <w:pPr>
        <w:pStyle w:val="Heading1"/>
        <w:pBdr>
          <w:bottom w:val="single" w:color="1F3864" w:sz="6"/>
        </w:pBdr>
        <w:spacing w:after="150" w:before="320"/>
      </w:pPr>
      <w:r>
        <w:rPr>
          <w:b/>
          <w:bCs/>
          <w:color w:val="1F3864"/>
          <w:sz w:val="26"/>
          <w:szCs w:val="26"/>
        </w:rPr>
        <w:t xml:space="preserve">7. Implementation Plan</w:t>
      </w:r>
    </w:p>
    <w:p>
      <w:pPr>
        <w:pStyle w:val="ListParagraph"/>
        <w:numPr>
          <w:ilvl w:val="0"/>
          <w:numId w:val="4"/>
        </w:numPr>
        <w:spacing w:after="100"/>
      </w:pPr>
      <w:r>
        <w:rPr>
          <w:color w:val="222222"/>
          <w:sz w:val="22"/>
          <w:szCs w:val="22"/>
        </w:rPr>
        <w:t xml:space="preserve">Identify the headcount data fields available in the source system (department, role, location, employee status, joining/exit dates).</w:t>
      </w:r>
    </w:p>
    <w:p>
      <w:pPr>
        <w:pStyle w:val="ListParagraph"/>
        <w:numPr>
          <w:ilvl w:val="0"/>
          <w:numId w:val="4"/>
        </w:numPr>
        <w:spacing w:after="100"/>
      </w:pPr>
      <w:r>
        <w:rPr>
          <w:color w:val="222222"/>
          <w:sz w:val="22"/>
          <w:szCs w:val="22"/>
        </w:rPr>
        <w:t xml:space="preserve">Clean and aggregate the data into summary tables (headcount by department, by role, by location, and over time).</w:t>
      </w:r>
    </w:p>
    <w:p>
      <w:pPr>
        <w:pStyle w:val="ListParagraph"/>
        <w:numPr>
          <w:ilvl w:val="0"/>
          <w:numId w:val="4"/>
        </w:numPr>
        <w:spacing w:after="100"/>
      </w:pPr>
      <w:r>
        <w:rPr>
          <w:color w:val="222222"/>
          <w:sz w:val="22"/>
          <w:szCs w:val="22"/>
        </w:rPr>
        <w:t xml:space="preserve">Choose chart types suited to each view — bar charts for department/role comparisons, a map or grouped bar for location, and a line/area chart for headcount trends over time.</w:t>
      </w:r>
    </w:p>
    <w:p>
      <w:pPr>
        <w:pStyle w:val="ListParagraph"/>
        <w:numPr>
          <w:ilvl w:val="0"/>
          <w:numId w:val="4"/>
        </w:numPr>
        <w:spacing w:after="100"/>
      </w:pPr>
      <w:r>
        <w:rPr>
          <w:color w:val="222222"/>
          <w:sz w:val="22"/>
          <w:szCs w:val="22"/>
        </w:rPr>
        <w:t xml:space="preserve">Build the charts using the team's chosen visualization stack.</w:t>
      </w:r>
    </w:p>
    <w:p>
      <w:pPr>
        <w:pStyle w:val="ListParagraph"/>
        <w:numPr>
          <w:ilvl w:val="0"/>
          <w:numId w:val="4"/>
        </w:numPr>
        <w:spacing w:after="100"/>
      </w:pPr>
      <w:r>
        <w:rPr>
          <w:color w:val="222222"/>
          <w:sz w:val="22"/>
          <w:szCs w:val="22"/>
        </w:rPr>
        <w:t xml:space="preserve">Add filters (department, role, location, date range) so the module works well once integrated into the interactive dashboard.</w:t>
      </w:r>
    </w:p>
    <w:p>
      <w:pPr>
        <w:pStyle w:val="ListParagraph"/>
        <w:numPr>
          <w:ilvl w:val="0"/>
          <w:numId w:val="4"/>
        </w:numPr>
        <w:spacing w:after="100"/>
      </w:pPr>
      <w:r>
        <w:rPr>
          <w:color w:val="222222"/>
          <w:sz w:val="22"/>
          <w:szCs w:val="22"/>
        </w:rPr>
        <w:t xml:space="preserve">Test with sample or mock data first, then validate against the real dataset once the analytics engine outputs are available.</w:t>
      </w:r>
    </w:p>
    <w:p>
      <w:pPr>
        <w:pStyle w:val="ListParagraph"/>
        <w:numPr>
          <w:ilvl w:val="0"/>
          <w:numId w:val="4"/>
        </w:numPr>
        <w:spacing w:after="100"/>
      </w:pPr>
      <w:r>
        <w:rPr>
          <w:color w:val="222222"/>
          <w:sz w:val="22"/>
          <w:szCs w:val="22"/>
        </w:rPr>
        <w:t xml:space="preserve">Hand off clean, documented chart components and queries for dashboard integration.</w:t>
      </w:r>
    </w:p>
    <w:p>
      <w:pPr>
        <w:pStyle w:val="Heading1"/>
        <w:pBdr>
          <w:bottom w:val="single" w:color="1F3864" w:sz="6"/>
        </w:pBdr>
        <w:spacing w:after="150" w:before="320"/>
      </w:pPr>
      <w:r>
        <w:rPr>
          <w:b/>
          <w:bCs/>
          <w:color w:val="1F3864"/>
          <w:sz w:val="26"/>
          <w:szCs w:val="26"/>
        </w:rPr>
        <w:t xml:space="preserve">8. Deliverables</w:t>
      </w:r>
    </w:p>
    <w:p>
      <w:pPr>
        <w:pStyle w:val="ListParagraph"/>
        <w:numPr>
          <w:ilvl w:val="0"/>
          <w:numId w:val="2"/>
        </w:numPr>
        <w:spacing w:after="100"/>
      </w:pPr>
      <w:r>
        <w:rPr>
          <w:color w:val="222222"/>
          <w:sz w:val="22"/>
          <w:szCs w:val="22"/>
        </w:rPr>
        <w:t xml:space="preserve">Headcount dashboard and chart components covering department-wise, role-wise, and location-wise views.</w:t>
      </w:r>
    </w:p>
    <w:p>
      <w:pPr>
        <w:pStyle w:val="ListParagraph"/>
        <w:numPr>
          <w:ilvl w:val="0"/>
          <w:numId w:val="2"/>
        </w:numPr>
        <w:spacing w:after="100"/>
      </w:pPr>
      <w:r>
        <w:rPr>
          <w:color w:val="222222"/>
          <w:sz w:val="22"/>
          <w:szCs w:val="22"/>
        </w:rPr>
        <w:t xml:space="preserve">A short data-dictionary note describing the fields and aggregations used, for the benefit of the integration and documentation workstreams.</w:t>
      </w:r>
    </w:p>
    <w:p>
      <w:pPr>
        <w:pStyle w:val="ListParagraph"/>
        <w:numPr>
          <w:ilvl w:val="0"/>
          <w:numId w:val="2"/>
        </w:numPr>
        <w:spacing w:after="100"/>
      </w:pPr>
      <w:r>
        <w:rPr>
          <w:color w:val="222222"/>
          <w:sz w:val="22"/>
          <w:szCs w:val="22"/>
        </w:rPr>
        <w:t xml:space="preserve">Screenshots or a short recorded demo of the working visualizations for the Milestone 3 presentation.</w:t>
      </w:r>
    </w:p>
    <w:p>
      <w:pPr>
        <w:pStyle w:val="ListParagraph"/>
        <w:numPr>
          <w:ilvl w:val="0"/>
          <w:numId w:val="2"/>
        </w:numPr>
        <w:spacing w:after="100"/>
      </w:pPr>
      <w:r>
        <w:rPr>
          <w:color w:val="222222"/>
          <w:sz w:val="22"/>
          <w:szCs w:val="22"/>
        </w:rPr>
        <w:t xml:space="preserve">Documented filter logic so the module's interactivity can be reused inside the main dashboard shell.</w:t>
      </w:r>
    </w:p>
    <w:p>
      <w:pPr>
        <w:pStyle w:val="Heading1"/>
        <w:pBdr>
          <w:bottom w:val="single" w:color="1F3864" w:sz="6"/>
        </w:pBdr>
        <w:spacing w:after="150" w:before="320"/>
      </w:pPr>
      <w:r>
        <w:rPr>
          <w:b/>
          <w:bCs/>
          <w:color w:val="1F3864"/>
          <w:sz w:val="26"/>
          <w:szCs w:val="26"/>
        </w:rPr>
        <w:t xml:space="preserve">9. Proposed Timeline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7640"/>
      </w:tblGrid>
      <w:tr>
        <w:trPr>
          <w:tblHeader/>
        </w:trPr>
        <w:tc>
          <w:tcPr>
            <w:tcW w:type="dxa" w:w="2800"/>
            <w:shd w:fill="1F3864" w:val="clear"/>
            <w:tcMar>
              <w:top w:type="dxa" w:w="100"/>
              <w:left w:type="dxa" w:w="120"/>
              <w:bottom w:type="dxa" w:w="100"/>
              <w:right w:type="dxa" w:w="120"/>
            </w:tcMar>
          </w:tcPr>
          <w:p>
            <w:r>
              <w:rPr>
                <w:b/>
                <w:bCs/>
                <w:color w:val="FFFFFF"/>
                <w:sz w:val="21"/>
                <w:szCs w:val="21"/>
              </w:rPr>
              <w:t xml:space="preserve">Phase</w:t>
            </w:r>
          </w:p>
        </w:tc>
        <w:tc>
          <w:tcPr>
            <w:tcW w:type="dxa" w:w="7640"/>
            <w:shd w:fill="1F3864" w:val="clear"/>
            <w:tcMar>
              <w:top w:type="dxa" w:w="100"/>
              <w:left w:type="dxa" w:w="120"/>
              <w:bottom w:type="dxa" w:w="100"/>
              <w:right w:type="dxa" w:w="120"/>
            </w:tcMar>
          </w:tcPr>
          <w:p>
            <w:r>
              <w:rPr>
                <w:b/>
                <w:bCs/>
                <w:color w:val="FFFFFF"/>
                <w:sz w:val="21"/>
                <w:szCs w:val="21"/>
              </w:rPr>
              <w:t xml:space="preserve">Activity</w:t>
            </w:r>
          </w:p>
        </w:tc>
      </w:tr>
      <w:tr>
        <w:tc>
          <w:tcPr>
            <w:tcW w:type="dxa" w:w="2800"/>
            <w:shd w:fill="F2F2F2" w:val="clear"/>
            <w:tcMar>
              <w:top w:type="dxa" w:w="100"/>
              <w:left w:type="dxa" w:w="120"/>
              <w:bottom w:type="dxa" w:w="100"/>
              <w:right w:type="dxa" w:w="120"/>
            </w:tcMar>
          </w:tcPr>
          <w:p>
            <w:r>
              <w:rPr>
                <w:b w:val="false"/>
                <w:bCs w:val="false"/>
                <w:color w:val="222222"/>
                <w:sz w:val="21"/>
                <w:szCs w:val="21"/>
              </w:rPr>
              <w:t xml:space="preserve">Week 1</w:t>
            </w:r>
          </w:p>
        </w:tc>
        <w:tc>
          <w:tcPr>
            <w:tcW w:type="dxa" w:w="7640"/>
            <w:shd w:fill="F2F2F2" w:val="clear"/>
            <w:tcMar>
              <w:top w:type="dxa" w:w="100"/>
              <w:left w:type="dxa" w:w="120"/>
              <w:bottom w:type="dxa" w:w="100"/>
              <w:right w:type="dxa" w:w="120"/>
            </w:tcMar>
          </w:tcPr>
          <w:p>
            <w:r>
              <w:rPr>
                <w:b w:val="false"/>
                <w:bCs w:val="false"/>
                <w:color w:val="222222"/>
                <w:sz w:val="21"/>
                <w:szCs w:val="21"/>
              </w:rPr>
              <w:t xml:space="preserve">Identify data fields, extract sample data, and begin cleaning and aggregation logic.</w:t>
            </w:r>
          </w:p>
        </w:tc>
      </w:tr>
      <w:tr>
        <w:tc>
          <w:tcPr>
            <w:tcW w:type="dxa" w:w="2800"/>
            <w:tcMar>
              <w:top w:type="dxa" w:w="100"/>
              <w:left w:type="dxa" w:w="120"/>
              <w:bottom w:type="dxa" w:w="100"/>
              <w:right w:type="dxa" w:w="120"/>
            </w:tcMar>
          </w:tcPr>
          <w:p>
            <w:r>
              <w:rPr>
                <w:b w:val="false"/>
                <w:bCs w:val="false"/>
                <w:color w:val="222222"/>
                <w:sz w:val="21"/>
                <w:szCs w:val="21"/>
              </w:rPr>
              <w:t xml:space="preserve">Week 2</w:t>
            </w:r>
          </w:p>
        </w:tc>
        <w:tc>
          <w:tcPr>
            <w:tcW w:type="dxa" w:w="7640"/>
            <w:tcMar>
              <w:top w:type="dxa" w:w="100"/>
              <w:left w:type="dxa" w:w="120"/>
              <w:bottom w:type="dxa" w:w="100"/>
              <w:right w:type="dxa" w:w="120"/>
            </w:tcMar>
          </w:tcPr>
          <w:p>
            <w:r>
              <w:rPr>
                <w:b w:val="false"/>
                <w:bCs w:val="false"/>
                <w:color w:val="222222"/>
                <w:sz w:val="21"/>
                <w:szCs w:val="21"/>
              </w:rPr>
              <w:t xml:space="preserve">Build core chart components (department, role, location views) using mock/sample data.</w:t>
            </w:r>
          </w:p>
        </w:tc>
      </w:tr>
      <w:tr>
        <w:tc>
          <w:tcPr>
            <w:tcW w:type="dxa" w:w="2800"/>
            <w:shd w:fill="F2F2F2" w:val="clear"/>
            <w:tcMar>
              <w:top w:type="dxa" w:w="100"/>
              <w:left w:type="dxa" w:w="120"/>
              <w:bottom w:type="dxa" w:w="100"/>
              <w:right w:type="dxa" w:w="120"/>
            </w:tcMar>
          </w:tcPr>
          <w:p>
            <w:r>
              <w:rPr>
                <w:b w:val="false"/>
                <w:bCs w:val="false"/>
                <w:color w:val="222222"/>
                <w:sz w:val="21"/>
                <w:szCs w:val="21"/>
              </w:rPr>
              <w:t xml:space="preserve">Week 3</w:t>
            </w:r>
          </w:p>
        </w:tc>
        <w:tc>
          <w:tcPr>
            <w:tcW w:type="dxa" w:w="7640"/>
            <w:shd w:fill="F2F2F2" w:val="clear"/>
            <w:tcMar>
              <w:top w:type="dxa" w:w="100"/>
              <w:left w:type="dxa" w:w="120"/>
              <w:bottom w:type="dxa" w:w="100"/>
              <w:right w:type="dxa" w:w="120"/>
            </w:tcMar>
          </w:tcPr>
          <w:p>
            <w:r>
              <w:rPr>
                <w:b w:val="false"/>
                <w:bCs w:val="false"/>
                <w:color w:val="222222"/>
                <w:sz w:val="21"/>
                <w:szCs w:val="21"/>
              </w:rPr>
              <w:t xml:space="preserve">Add filters and interactivity; connect to real data once available from the analytics engine.</w:t>
            </w:r>
          </w:p>
        </w:tc>
      </w:tr>
      <w:tr>
        <w:tc>
          <w:tcPr>
            <w:tcW w:type="dxa" w:w="2800"/>
            <w:tcMar>
              <w:top w:type="dxa" w:w="100"/>
              <w:left w:type="dxa" w:w="120"/>
              <w:bottom w:type="dxa" w:w="100"/>
              <w:right w:type="dxa" w:w="120"/>
            </w:tcMar>
          </w:tcPr>
          <w:p>
            <w:r>
              <w:rPr>
                <w:b w:val="false"/>
                <w:bCs w:val="false"/>
                <w:color w:val="222222"/>
                <w:sz w:val="21"/>
                <w:szCs w:val="21"/>
              </w:rPr>
              <w:t xml:space="preserve">Week 4</w:t>
            </w:r>
          </w:p>
        </w:tc>
        <w:tc>
          <w:tcPr>
            <w:tcW w:type="dxa" w:w="7640"/>
            <w:tcMar>
              <w:top w:type="dxa" w:w="100"/>
              <w:left w:type="dxa" w:w="120"/>
              <w:bottom w:type="dxa" w:w="100"/>
              <w:right w:type="dxa" w:w="120"/>
            </w:tcMar>
          </w:tcPr>
          <w:p>
            <w:r>
              <w:rPr>
                <w:b w:val="false"/>
                <w:bCs w:val="false"/>
                <w:color w:val="222222"/>
                <w:sz w:val="21"/>
                <w:szCs w:val="21"/>
              </w:rPr>
              <w:t xml:space="preserve">Internal testing, documentation, and handoff for dashboard integration and validation.</w:t>
            </w:r>
          </w:p>
        </w:tc>
      </w:tr>
    </w:tbl>
    <w:p>
      <w:pPr>
        <w:pStyle w:val="Heading1"/>
        <w:pBdr>
          <w:bottom w:val="single" w:color="1F3864" w:sz="6"/>
        </w:pBdr>
        <w:spacing w:after="150" w:before="320"/>
      </w:pPr>
      <w:r>
        <w:rPr>
          <w:b/>
          <w:bCs/>
          <w:color w:val="1F3864"/>
          <w:sz w:val="26"/>
          <w:szCs w:val="26"/>
        </w:rPr>
        <w:t xml:space="preserve">10. Dependencies &amp; Coordination</w:t>
      </w:r>
    </w:p>
    <w:p>
      <w:pPr>
        <w:spacing w:after="140"/>
        <w:jc w:val="both"/>
      </w:pPr>
      <w:r>
        <w:rPr>
          <w:color w:val="222222"/>
          <w:sz w:val="22"/>
          <w:szCs w:val="22"/>
        </w:rPr>
        <w:t xml:space="preserve">This module does not operate in isolation. It depends on, and feeds into, several other Milestone 3 workstreams:</w:t>
      </w:r>
    </w:p>
    <w:p>
      <w:pPr>
        <w:pStyle w:val="ListParagraph"/>
        <w:numPr>
          <w:ilvl w:val="0"/>
          <w:numId w:val="2"/>
        </w:numPr>
        <w:spacing w:after="100"/>
      </w:pPr>
      <w:r>
        <w:rPr>
          <w:color w:val="222222"/>
          <w:sz w:val="22"/>
          <w:szCs w:val="22"/>
        </w:rPr>
        <w:t xml:space="preserve">Analytics Engine Integration workstream — supplies the underlying processed and predicted data that feeds the headcount charts.</w:t>
      </w:r>
    </w:p>
    <w:p>
      <w:pPr>
        <w:pStyle w:val="ListParagraph"/>
        <w:numPr>
          <w:ilvl w:val="0"/>
          <w:numId w:val="2"/>
        </w:numPr>
        <w:spacing w:after="100"/>
      </w:pPr>
      <w:r>
        <w:rPr>
          <w:color w:val="222222"/>
          <w:sz w:val="22"/>
          <w:szCs w:val="22"/>
        </w:rPr>
        <w:t xml:space="preserve">Dashboard Integration workstream — plugs the headcount module into the main interactive dashboard shell.</w:t>
      </w:r>
    </w:p>
    <w:p>
      <w:pPr>
        <w:pStyle w:val="ListParagraph"/>
        <w:numPr>
          <w:ilvl w:val="0"/>
          <w:numId w:val="2"/>
        </w:numPr>
        <w:spacing w:after="100"/>
      </w:pPr>
      <w:r>
        <w:rPr>
          <w:color w:val="222222"/>
          <w:sz w:val="22"/>
          <w:szCs w:val="22"/>
        </w:rPr>
        <w:t xml:space="preserve">Dashboard Testing &amp; Validation workstream — verifies the accuracy of the displayed headcount metrics.</w:t>
      </w:r>
    </w:p>
    <w:p>
      <w:pPr>
        <w:pStyle w:val="ListParagraph"/>
        <w:numPr>
          <w:ilvl w:val="0"/>
          <w:numId w:val="2"/>
        </w:numPr>
        <w:spacing w:after="100"/>
      </w:pPr>
      <w:r>
        <w:rPr>
          <w:color w:val="222222"/>
          <w:sz w:val="22"/>
          <w:szCs w:val="22"/>
        </w:rPr>
        <w:t xml:space="preserve">Milestone 3 Integration &amp; Documentation workstream — handles final module handoff and consolidated documentation.</w:t>
      </w:r>
    </w:p>
    <w:p>
      <w:pPr>
        <w:spacing w:after="140"/>
        <w:jc w:val="both"/>
      </w:pPr>
      <w:r>
        <w:rPr>
          <w:color w:val="222222"/>
          <w:sz w:val="22"/>
          <w:szCs w:val="22"/>
        </w:rPr>
        <w:t xml:space="preserve">Close coordination with these workstreams, particularly around data format and naming conventions, will reduce rework during final integration.</w:t>
      </w:r>
    </w:p>
    <w:p>
      <w:pPr>
        <w:pStyle w:val="Heading1"/>
        <w:pBdr>
          <w:bottom w:val="single" w:color="1F3864" w:sz="6"/>
        </w:pBdr>
        <w:spacing w:after="150" w:before="320"/>
      </w:pPr>
      <w:r>
        <w:rPr>
          <w:b/>
          <w:bCs/>
          <w:color w:val="1F3864"/>
          <w:sz w:val="26"/>
          <w:szCs w:val="26"/>
        </w:rPr>
        <w:t xml:space="preserve">11. Risks &amp; Mitigation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600"/>
        <w:gridCol w:w="6840"/>
      </w:tblGrid>
      <w:tr>
        <w:trPr>
          <w:tblHeader/>
        </w:trPr>
        <w:tc>
          <w:tcPr>
            <w:tcW w:type="dxa" w:w="3600"/>
            <w:shd w:fill="1F3864" w:val="clear"/>
            <w:tcMar>
              <w:top w:type="dxa" w:w="100"/>
              <w:left w:type="dxa" w:w="120"/>
              <w:bottom w:type="dxa" w:w="100"/>
              <w:right w:type="dxa" w:w="120"/>
            </w:tcMar>
          </w:tcPr>
          <w:p>
            <w:r>
              <w:rPr>
                <w:b/>
                <w:bCs/>
                <w:color w:val="FFFFFF"/>
                <w:sz w:val="21"/>
                <w:szCs w:val="21"/>
              </w:rPr>
              <w:t xml:space="preserve">Risk</w:t>
            </w:r>
          </w:p>
        </w:tc>
        <w:tc>
          <w:tcPr>
            <w:tcW w:type="dxa" w:w="6840"/>
            <w:shd w:fill="1F3864" w:val="clear"/>
            <w:tcMar>
              <w:top w:type="dxa" w:w="100"/>
              <w:left w:type="dxa" w:w="120"/>
              <w:bottom w:type="dxa" w:w="100"/>
              <w:right w:type="dxa" w:w="120"/>
            </w:tcMar>
          </w:tcPr>
          <w:p>
            <w:r>
              <w:rPr>
                <w:b/>
                <w:bCs/>
                <w:color w:val="FFFFFF"/>
                <w:sz w:val="21"/>
                <w:szCs w:val="21"/>
              </w:rPr>
              <w:t xml:space="preserve">Mitigation</w:t>
            </w:r>
          </w:p>
        </w:tc>
      </w:tr>
      <w:tr>
        <w:tc>
          <w:tcPr>
            <w:tcW w:type="dxa" w:w="3600"/>
            <w:shd w:fill="F2F2F2" w:val="clear"/>
            <w:tcMar>
              <w:top w:type="dxa" w:w="100"/>
              <w:left w:type="dxa" w:w="120"/>
              <w:bottom w:type="dxa" w:w="100"/>
              <w:right w:type="dxa" w:w="120"/>
            </w:tcMar>
          </w:tcPr>
          <w:p>
            <w:r>
              <w:rPr>
                <w:b w:val="false"/>
                <w:bCs w:val="false"/>
                <w:color w:val="222222"/>
                <w:sz w:val="21"/>
                <w:szCs w:val="21"/>
              </w:rPr>
              <w:t xml:space="preserve">Inconsistent or incomplete source data</w:t>
            </w:r>
          </w:p>
        </w:tc>
        <w:tc>
          <w:tcPr>
            <w:tcW w:type="dxa" w:w="6840"/>
            <w:shd w:fill="F2F2F2" w:val="clear"/>
            <w:tcMar>
              <w:top w:type="dxa" w:w="100"/>
              <w:left w:type="dxa" w:w="120"/>
              <w:bottom w:type="dxa" w:w="100"/>
              <w:right w:type="dxa" w:w="120"/>
            </w:tcMar>
          </w:tcPr>
          <w:p>
            <w:r>
              <w:rPr>
                <w:b w:val="false"/>
                <w:bCs w:val="false"/>
                <w:color w:val="222222"/>
                <w:sz w:val="21"/>
                <w:szCs w:val="21"/>
              </w:rPr>
              <w:t xml:space="preserve">Apply a documented cleaning step and flag records with missing department/location/role values rather than silently dropping them.</w:t>
            </w:r>
          </w:p>
        </w:tc>
      </w:tr>
      <w:tr>
        <w:tc>
          <w:tcPr>
            <w:tcW w:type="dxa" w:w="3600"/>
            <w:tcMar>
              <w:top w:type="dxa" w:w="100"/>
              <w:left w:type="dxa" w:w="120"/>
              <w:bottom w:type="dxa" w:w="100"/>
              <w:right w:type="dxa" w:w="120"/>
            </w:tcMar>
          </w:tcPr>
          <w:p>
            <w:r>
              <w:rPr>
                <w:b w:val="false"/>
                <w:bCs w:val="false"/>
                <w:color w:val="222222"/>
                <w:sz w:val="21"/>
                <w:szCs w:val="21"/>
              </w:rPr>
              <w:t xml:space="preserve">Delay in analytics engine outputs</w:t>
            </w:r>
          </w:p>
        </w:tc>
        <w:tc>
          <w:tcPr>
            <w:tcW w:type="dxa" w:w="6840"/>
            <w:tcMar>
              <w:top w:type="dxa" w:w="100"/>
              <w:left w:type="dxa" w:w="120"/>
              <w:bottom w:type="dxa" w:w="100"/>
              <w:right w:type="dxa" w:w="120"/>
            </w:tcMar>
          </w:tcPr>
          <w:p>
            <w:r>
              <w:rPr>
                <w:b w:val="false"/>
                <w:bCs w:val="false"/>
                <w:color w:val="222222"/>
                <w:sz w:val="21"/>
                <w:szCs w:val="21"/>
              </w:rPr>
              <w:t xml:space="preserve">Develop and test the module against mock/sample data first, so integration is not blocked while waiting for real data.</w:t>
            </w:r>
          </w:p>
        </w:tc>
      </w:tr>
      <w:tr>
        <w:tc>
          <w:tcPr>
            <w:tcW w:type="dxa" w:w="3600"/>
            <w:shd w:fill="F2F2F2" w:val="clear"/>
            <w:tcMar>
              <w:top w:type="dxa" w:w="100"/>
              <w:left w:type="dxa" w:w="120"/>
              <w:bottom w:type="dxa" w:w="100"/>
              <w:right w:type="dxa" w:w="120"/>
            </w:tcMar>
          </w:tcPr>
          <w:p>
            <w:r>
              <w:rPr>
                <w:b w:val="false"/>
                <w:bCs w:val="false"/>
                <w:color w:val="222222"/>
                <w:sz w:val="21"/>
                <w:szCs w:val="21"/>
              </w:rPr>
              <w:t xml:space="preserve">Chart clutter with many small departments</w:t>
            </w:r>
          </w:p>
        </w:tc>
        <w:tc>
          <w:tcPr>
            <w:tcW w:type="dxa" w:w="6840"/>
            <w:shd w:fill="F2F2F2" w:val="clear"/>
            <w:tcMar>
              <w:top w:type="dxa" w:w="100"/>
              <w:left w:type="dxa" w:w="120"/>
              <w:bottom w:type="dxa" w:w="100"/>
              <w:right w:type="dxa" w:w="120"/>
            </w:tcMar>
          </w:tcPr>
          <w:p>
            <w:r>
              <w:rPr>
                <w:b w:val="false"/>
                <w:bCs w:val="false"/>
                <w:color w:val="222222"/>
                <w:sz w:val="21"/>
                <w:szCs w:val="21"/>
              </w:rPr>
              <w:t xml:space="preserve">Group very small categories into an "Other" bucket, with the option to drill down if needed.</w:t>
            </w:r>
          </w:p>
        </w:tc>
      </w:tr>
      <w:tr>
        <w:tc>
          <w:tcPr>
            <w:tcW w:type="dxa" w:w="3600"/>
            <w:tcMar>
              <w:top w:type="dxa" w:w="100"/>
              <w:left w:type="dxa" w:w="120"/>
              <w:bottom w:type="dxa" w:w="100"/>
              <w:right w:type="dxa" w:w="120"/>
            </w:tcMar>
          </w:tcPr>
          <w:p>
            <w:r>
              <w:rPr>
                <w:b w:val="false"/>
                <w:bCs w:val="false"/>
                <w:color w:val="222222"/>
                <w:sz w:val="21"/>
                <w:szCs w:val="21"/>
              </w:rPr>
              <w:t xml:space="preserve">Integration mismatch with dashboard shell</w:t>
            </w:r>
          </w:p>
        </w:tc>
        <w:tc>
          <w:tcPr>
            <w:tcW w:type="dxa" w:w="6840"/>
            <w:tcMar>
              <w:top w:type="dxa" w:w="100"/>
              <w:left w:type="dxa" w:w="120"/>
              <w:bottom w:type="dxa" w:w="100"/>
              <w:right w:type="dxa" w:w="120"/>
            </w:tcMar>
          </w:tcPr>
          <w:p>
            <w:r>
              <w:rPr>
                <w:b w:val="false"/>
                <w:bCs w:val="false"/>
                <w:color w:val="222222"/>
                <w:sz w:val="21"/>
                <w:szCs w:val="21"/>
              </w:rPr>
              <w:t xml:space="preserve">Align early on data formats and component structure with the dashboard integration workstream.</w:t>
            </w:r>
          </w:p>
        </w:tc>
      </w:tr>
    </w:tbl>
    <w:p>
      <w:pPr>
        <w:pStyle w:val="Heading1"/>
        <w:pBdr>
          <w:bottom w:val="single" w:color="1F3864" w:sz="6"/>
        </w:pBdr>
        <w:spacing w:after="150" w:before="320"/>
      </w:pPr>
      <w:r>
        <w:rPr>
          <w:b/>
          <w:bCs/>
          <w:color w:val="1F3864"/>
          <w:sz w:val="26"/>
          <w:szCs w:val="26"/>
        </w:rPr>
        <w:t xml:space="preserve">12. Validation Criteria</w:t>
      </w:r>
    </w:p>
    <w:p>
      <w:pPr>
        <w:spacing w:after="140"/>
        <w:jc w:val="both"/>
      </w:pPr>
      <w:r>
        <w:rPr>
          <w:color w:val="222222"/>
          <w:sz w:val="22"/>
          <w:szCs w:val="22"/>
        </w:rPr>
        <w:t xml:space="preserve">Before handoff, the module will be checked against the following criteria:</w:t>
      </w:r>
    </w:p>
    <w:p>
      <w:pPr>
        <w:pStyle w:val="ListParagraph"/>
        <w:numPr>
          <w:ilvl w:val="0"/>
          <w:numId w:val="2"/>
        </w:numPr>
        <w:spacing w:after="100"/>
      </w:pPr>
      <w:r>
        <w:rPr>
          <w:color w:val="222222"/>
          <w:sz w:val="22"/>
          <w:szCs w:val="22"/>
        </w:rPr>
        <w:t xml:space="preserve">Headcount totals match the source system's employee count exactly.</w:t>
      </w:r>
    </w:p>
    <w:p>
      <w:pPr>
        <w:pStyle w:val="ListParagraph"/>
        <w:numPr>
          <w:ilvl w:val="0"/>
          <w:numId w:val="2"/>
        </w:numPr>
        <w:spacing w:after="100"/>
      </w:pPr>
      <w:r>
        <w:rPr>
          <w:color w:val="222222"/>
          <w:sz w:val="22"/>
          <w:szCs w:val="22"/>
        </w:rPr>
        <w:t xml:space="preserve">Department, role, and location breakdowns sum correctly to the total headcount.</w:t>
      </w:r>
    </w:p>
    <w:p>
      <w:pPr>
        <w:pStyle w:val="ListParagraph"/>
        <w:numPr>
          <w:ilvl w:val="0"/>
          <w:numId w:val="2"/>
        </w:numPr>
        <w:spacing w:after="100"/>
      </w:pPr>
      <w:r>
        <w:rPr>
          <w:color w:val="222222"/>
          <w:sz w:val="22"/>
          <w:szCs w:val="22"/>
        </w:rPr>
        <w:t xml:space="preserve">Filters return correct, consistent results when combined (e.g., department + location together).</w:t>
      </w:r>
    </w:p>
    <w:p>
      <w:pPr>
        <w:pStyle w:val="ListParagraph"/>
        <w:numPr>
          <w:ilvl w:val="0"/>
          <w:numId w:val="2"/>
        </w:numPr>
        <w:spacing w:after="100"/>
      </w:pPr>
      <w:r>
        <w:rPr>
          <w:color w:val="222222"/>
          <w:sz w:val="22"/>
          <w:szCs w:val="22"/>
        </w:rPr>
        <w:t xml:space="preserve">Trend charts correctly reflect joining and exit dates over the selected time range.</w:t>
      </w:r>
    </w:p>
    <w:p>
      <w:pPr>
        <w:pStyle w:val="ListParagraph"/>
        <w:numPr>
          <w:ilvl w:val="0"/>
          <w:numId w:val="2"/>
        </w:numPr>
        <w:spacing w:after="100"/>
      </w:pPr>
      <w:r>
        <w:rPr>
          <w:color w:val="222222"/>
          <w:sz w:val="22"/>
          <w:szCs w:val="22"/>
        </w:rPr>
        <w:t xml:space="preserve">Visual components render correctly within the shared dashboard shell without layout issues.</w:t>
      </w:r>
    </w:p>
    <w:p>
      <w:pPr>
        <w:pStyle w:val="Heading1"/>
        <w:pBdr>
          <w:bottom w:val="single" w:color="1F3864" w:sz="6"/>
        </w:pBdr>
        <w:spacing w:after="150" w:before="320"/>
      </w:pPr>
      <w:r>
        <w:rPr>
          <w:b/>
          <w:bCs/>
          <w:color w:val="1F3864"/>
          <w:sz w:val="26"/>
          <w:szCs w:val="26"/>
        </w:rPr>
        <w:t xml:space="preserve">13. Success Metrics</w:t>
      </w:r>
    </w:p>
    <w:p>
      <w:pPr>
        <w:spacing w:after="140"/>
        <w:jc w:val="both"/>
      </w:pPr>
      <w:r>
        <w:rPr>
          <w:color w:val="222222"/>
          <w:sz w:val="22"/>
          <w:szCs w:val="22"/>
        </w:rPr>
        <w:t xml:space="preserve">The success of the Headcount Analytics Module will be measured against the following indicators once it is live within the shared dashboard:</w:t>
      </w:r>
    </w:p>
    <w:p>
      <w:pPr>
        <w:pStyle w:val="ListParagraph"/>
        <w:numPr>
          <w:ilvl w:val="0"/>
          <w:numId w:val="2"/>
        </w:numPr>
        <w:spacing w:after="100"/>
      </w:pPr>
      <w:r>
        <w:rPr>
          <w:color w:val="222222"/>
          <w:sz w:val="22"/>
          <w:szCs w:val="22"/>
        </w:rPr>
        <w:t xml:space="preserve">Data accuracy — headcount figures shown in the dashboard match the source HR system to within an agreed tolerance (ideally exact match).</w:t>
      </w:r>
    </w:p>
    <w:p>
      <w:pPr>
        <w:pStyle w:val="ListParagraph"/>
        <w:numPr>
          <w:ilvl w:val="0"/>
          <w:numId w:val="2"/>
        </w:numPr>
        <w:spacing w:after="100"/>
      </w:pPr>
      <w:r>
        <w:rPr>
          <w:color w:val="222222"/>
          <w:sz w:val="22"/>
          <w:szCs w:val="22"/>
        </w:rPr>
        <w:t xml:space="preserve">Load performance — headcount views and filters return results quickly enough to feel interactive, even as filters are combined.</w:t>
      </w:r>
    </w:p>
    <w:p>
      <w:pPr>
        <w:pStyle w:val="ListParagraph"/>
        <w:numPr>
          <w:ilvl w:val="0"/>
          <w:numId w:val="2"/>
        </w:numPr>
        <w:spacing w:after="100"/>
      </w:pPr>
      <w:r>
        <w:rPr>
          <w:color w:val="222222"/>
          <w:sz w:val="22"/>
          <w:szCs w:val="22"/>
        </w:rPr>
        <w:t xml:space="preserve">Adoption — HR leaders and stakeholders reference the headcount views regularly instead of requesting manual headcount reports.</w:t>
      </w:r>
    </w:p>
    <w:p>
      <w:pPr>
        <w:pStyle w:val="ListParagraph"/>
        <w:numPr>
          <w:ilvl w:val="0"/>
          <w:numId w:val="2"/>
        </w:numPr>
        <w:spacing w:after="100"/>
      </w:pPr>
      <w:r>
        <w:rPr>
          <w:color w:val="222222"/>
          <w:sz w:val="22"/>
          <w:szCs w:val="22"/>
        </w:rPr>
        <w:t xml:space="preserve">Reusability — the aggregation logic and chart components can be reused or extended by other modules (for example, diversity or engagement analytics) without duplication.</w:t>
      </w:r>
    </w:p>
    <w:p>
      <w:pPr>
        <w:pStyle w:val="ListParagraph"/>
        <w:numPr>
          <w:ilvl w:val="0"/>
          <w:numId w:val="2"/>
        </w:numPr>
        <w:spacing w:after="100"/>
      </w:pPr>
      <w:r>
        <w:rPr>
          <w:color w:val="222222"/>
          <w:sz w:val="22"/>
          <w:szCs w:val="22"/>
        </w:rPr>
        <w:t xml:space="preserve">Stability during integration — the module integrates into the shared dashboard shell without introducing layout or data-sync issues.</w:t>
      </w:r>
    </w:p>
    <w:p>
      <w:pPr>
        <w:pStyle w:val="Heading1"/>
        <w:pBdr>
          <w:bottom w:val="single" w:color="1F3864" w:sz="6"/>
        </w:pBdr>
        <w:spacing w:after="150" w:before="320"/>
      </w:pPr>
      <w:r>
        <w:rPr>
          <w:b/>
          <w:bCs/>
          <w:color w:val="1F3864"/>
          <w:sz w:val="26"/>
          <w:szCs w:val="26"/>
        </w:rPr>
        <w:t xml:space="preserve">14. Assumptions &amp; Constraints</w:t>
      </w:r>
    </w:p>
    <w:p>
      <w:pPr>
        <w:pStyle w:val="Heading2"/>
        <w:spacing w:after="100" w:before="220"/>
      </w:pPr>
      <w:r>
        <w:rPr>
          <w:b/>
          <w:bCs/>
          <w:color w:val="1F3864"/>
          <w:sz w:val="22"/>
          <w:szCs w:val="22"/>
        </w:rPr>
        <w:t xml:space="preserve">Assumptions</w:t>
      </w:r>
    </w:p>
    <w:p>
      <w:pPr>
        <w:pStyle w:val="ListParagraph"/>
        <w:numPr>
          <w:ilvl w:val="0"/>
          <w:numId w:val="2"/>
        </w:numPr>
        <w:spacing w:after="100"/>
      </w:pPr>
      <w:r>
        <w:rPr>
          <w:color w:val="222222"/>
          <w:sz w:val="22"/>
          <w:szCs w:val="22"/>
        </w:rPr>
        <w:t xml:space="preserve">The HR data source used for headcount figures is refreshed on a regular, predictable schedule (e.g., daily or weekly).</w:t>
      </w:r>
    </w:p>
    <w:p>
      <w:pPr>
        <w:pStyle w:val="ListParagraph"/>
        <w:numPr>
          <w:ilvl w:val="0"/>
          <w:numId w:val="2"/>
        </w:numPr>
        <w:spacing w:after="100"/>
      </w:pPr>
      <w:r>
        <w:rPr>
          <w:color w:val="222222"/>
          <w:sz w:val="22"/>
          <w:szCs w:val="22"/>
        </w:rPr>
        <w:t xml:space="preserve">Department, role, and location naming will be reasonably consistent, or can be standardized with a light cleaning step.</w:t>
      </w:r>
    </w:p>
    <w:p>
      <w:pPr>
        <w:pStyle w:val="ListParagraph"/>
        <w:numPr>
          <w:ilvl w:val="0"/>
          <w:numId w:val="2"/>
        </w:numPr>
        <w:spacing w:after="100"/>
      </w:pPr>
      <w:r>
        <w:rPr>
          <w:color w:val="222222"/>
          <w:sz w:val="22"/>
          <w:szCs w:val="22"/>
        </w:rPr>
        <w:t xml:space="preserve">The wider dashboard team will confirm a single charting library/stack early enough to avoid rework.</w:t>
      </w:r>
    </w:p>
    <w:p>
      <w:pPr>
        <w:pStyle w:val="ListParagraph"/>
        <w:numPr>
          <w:ilvl w:val="0"/>
          <w:numId w:val="2"/>
        </w:numPr>
        <w:spacing w:after="100"/>
      </w:pPr>
      <w:r>
        <w:rPr>
          <w:color w:val="222222"/>
          <w:sz w:val="22"/>
          <w:szCs w:val="22"/>
        </w:rPr>
        <w:t xml:space="preserve">Access to headcount data will be limited to authorized HR and stakeholder roles, consistent with the project's data-privacy requirements.</w:t>
      </w:r>
    </w:p>
    <w:p>
      <w:pPr>
        <w:pStyle w:val="Heading2"/>
        <w:spacing w:after="100" w:before="220"/>
      </w:pPr>
      <w:r>
        <w:rPr>
          <w:b/>
          <w:bCs/>
          <w:color w:val="1F3864"/>
          <w:sz w:val="22"/>
          <w:szCs w:val="22"/>
        </w:rPr>
        <w:t xml:space="preserve">Constraints</w:t>
      </w:r>
    </w:p>
    <w:p>
      <w:pPr>
        <w:pStyle w:val="ListParagraph"/>
        <w:numPr>
          <w:ilvl w:val="0"/>
          <w:numId w:val="2"/>
        </w:numPr>
        <w:spacing w:after="100"/>
      </w:pPr>
      <w:r>
        <w:rPr>
          <w:color w:val="222222"/>
          <w:sz w:val="22"/>
          <w:szCs w:val="22"/>
        </w:rPr>
        <w:t xml:space="preserve">The module must work with whatever fields are actually available in the source system; fields not present cannot be fabricated or estimated.</w:t>
      </w:r>
    </w:p>
    <w:p>
      <w:pPr>
        <w:pStyle w:val="ListParagraph"/>
        <w:numPr>
          <w:ilvl w:val="0"/>
          <w:numId w:val="2"/>
        </w:numPr>
        <w:spacing w:after="100"/>
      </w:pPr>
      <w:r>
        <w:rPr>
          <w:color w:val="222222"/>
          <w:sz w:val="22"/>
          <w:szCs w:val="22"/>
        </w:rPr>
        <w:t xml:space="preserve">Visualization choices are constrained by what the shared dashboard shell and charting library can support.</w:t>
      </w:r>
    </w:p>
    <w:p>
      <w:pPr>
        <w:pStyle w:val="ListParagraph"/>
        <w:numPr>
          <w:ilvl w:val="0"/>
          <w:numId w:val="2"/>
        </w:numPr>
        <w:spacing w:after="100"/>
      </w:pPr>
      <w:r>
        <w:rPr>
          <w:color w:val="222222"/>
          <w:sz w:val="22"/>
          <w:szCs w:val="22"/>
        </w:rPr>
        <w:t xml:space="preserve">Timeline is dependent on the availability of real (non-mock) data from the analytics engine integration workstream.</w:t>
      </w:r>
    </w:p>
    <w:p>
      <w:pPr>
        <w:pStyle w:val="Heading1"/>
        <w:pBdr>
          <w:bottom w:val="single" w:color="1F3864" w:sz="6"/>
        </w:pBdr>
        <w:spacing w:after="150" w:before="320"/>
      </w:pPr>
      <w:r>
        <w:rPr>
          <w:b/>
          <w:bCs/>
          <w:color w:val="1F3864"/>
          <w:sz w:val="26"/>
          <w:szCs w:val="26"/>
        </w:rPr>
        <w:t xml:space="preserve">15. Glossary of Terms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7640"/>
      </w:tblGrid>
      <w:tr>
        <w:trPr>
          <w:tblHeader/>
        </w:trPr>
        <w:tc>
          <w:tcPr>
            <w:tcW w:type="dxa" w:w="2800"/>
            <w:shd w:fill="1F3864" w:val="clear"/>
            <w:tcMar>
              <w:top w:type="dxa" w:w="100"/>
              <w:left w:type="dxa" w:w="120"/>
              <w:bottom w:type="dxa" w:w="100"/>
              <w:right w:type="dxa" w:w="120"/>
            </w:tcMar>
          </w:tcPr>
          <w:p>
            <w:r>
              <w:rPr>
                <w:b/>
                <w:bCs/>
                <w:color w:val="FFFFFF"/>
                <w:sz w:val="21"/>
                <w:szCs w:val="21"/>
              </w:rPr>
              <w:t xml:space="preserve">Term</w:t>
            </w:r>
          </w:p>
        </w:tc>
        <w:tc>
          <w:tcPr>
            <w:tcW w:type="dxa" w:w="7640"/>
            <w:shd w:fill="1F3864" w:val="clear"/>
            <w:tcMar>
              <w:top w:type="dxa" w:w="100"/>
              <w:left w:type="dxa" w:w="120"/>
              <w:bottom w:type="dxa" w:w="100"/>
              <w:right w:type="dxa" w:w="120"/>
            </w:tcMar>
          </w:tcPr>
          <w:p>
            <w:r>
              <w:rPr>
                <w:b/>
                <w:bCs/>
                <w:color w:val="FFFFFF"/>
                <w:sz w:val="21"/>
                <w:szCs w:val="21"/>
              </w:rPr>
              <w:t xml:space="preserve">Meaning</w:t>
            </w:r>
          </w:p>
        </w:tc>
      </w:tr>
      <w:tr>
        <w:tc>
          <w:tcPr>
            <w:tcW w:type="dxa" w:w="2800"/>
            <w:shd w:fill="F2F2F2" w:val="clear"/>
            <w:tcMar>
              <w:top w:type="dxa" w:w="100"/>
              <w:left w:type="dxa" w:w="120"/>
              <w:bottom w:type="dxa" w:w="100"/>
              <w:right w:type="dxa" w:w="120"/>
            </w:tcMar>
          </w:tcPr>
          <w:p>
            <w:r>
              <w:rPr>
                <w:b w:val="false"/>
                <w:bCs w:val="false"/>
                <w:color w:val="222222"/>
                <w:sz w:val="21"/>
                <w:szCs w:val="21"/>
              </w:rPr>
              <w:t xml:space="preserve">Headcount</w:t>
            </w:r>
          </w:p>
        </w:tc>
        <w:tc>
          <w:tcPr>
            <w:tcW w:type="dxa" w:w="7640"/>
            <w:shd w:fill="F2F2F2" w:val="clear"/>
            <w:tcMar>
              <w:top w:type="dxa" w:w="100"/>
              <w:left w:type="dxa" w:w="120"/>
              <w:bottom w:type="dxa" w:w="100"/>
              <w:right w:type="dxa" w:w="120"/>
            </w:tcMar>
          </w:tcPr>
          <w:p>
            <w:r>
              <w:rPr>
                <w:b w:val="false"/>
                <w:bCs w:val="false"/>
                <w:color w:val="222222"/>
                <w:sz w:val="21"/>
                <w:szCs w:val="21"/>
              </w:rPr>
              <w:t xml:space="preserve">The total number of active employees at a given point in time, or within a given category.</w:t>
            </w:r>
          </w:p>
        </w:tc>
      </w:tr>
      <w:tr>
        <w:tc>
          <w:tcPr>
            <w:tcW w:type="dxa" w:w="2800"/>
            <w:tcMar>
              <w:top w:type="dxa" w:w="100"/>
              <w:left w:type="dxa" w:w="120"/>
              <w:bottom w:type="dxa" w:w="100"/>
              <w:right w:type="dxa" w:w="120"/>
            </w:tcMar>
          </w:tcPr>
          <w:p>
            <w:r>
              <w:rPr>
                <w:b w:val="false"/>
                <w:bCs w:val="false"/>
                <w:color w:val="222222"/>
                <w:sz w:val="21"/>
                <w:szCs w:val="21"/>
              </w:rPr>
              <w:t xml:space="preserve">Aggregation</w:t>
            </w:r>
          </w:p>
        </w:tc>
        <w:tc>
          <w:tcPr>
            <w:tcW w:type="dxa" w:w="7640"/>
            <w:tcMar>
              <w:top w:type="dxa" w:w="100"/>
              <w:left w:type="dxa" w:w="120"/>
              <w:bottom w:type="dxa" w:w="100"/>
              <w:right w:type="dxa" w:w="120"/>
            </w:tcMar>
          </w:tcPr>
          <w:p>
            <w:r>
              <w:rPr>
                <w:b w:val="false"/>
                <w:bCs w:val="false"/>
                <w:color w:val="222222"/>
                <w:sz w:val="21"/>
                <w:szCs w:val="21"/>
              </w:rPr>
              <w:t xml:space="preserve">The process of summarizing raw, row-level employee data into grouped totals (e.g., by department).</w:t>
            </w:r>
          </w:p>
        </w:tc>
      </w:tr>
      <w:tr>
        <w:tc>
          <w:tcPr>
            <w:tcW w:type="dxa" w:w="2800"/>
            <w:shd w:fill="F2F2F2" w:val="clear"/>
            <w:tcMar>
              <w:top w:type="dxa" w:w="100"/>
              <w:left w:type="dxa" w:w="120"/>
              <w:bottom w:type="dxa" w:w="100"/>
              <w:right w:type="dxa" w:w="120"/>
            </w:tcMar>
          </w:tcPr>
          <w:p>
            <w:r>
              <w:rPr>
                <w:b w:val="false"/>
                <w:bCs w:val="false"/>
                <w:color w:val="222222"/>
                <w:sz w:val="21"/>
                <w:szCs w:val="21"/>
              </w:rPr>
              <w:t xml:space="preserve">Breakdown</w:t>
            </w:r>
          </w:p>
        </w:tc>
        <w:tc>
          <w:tcPr>
            <w:tcW w:type="dxa" w:w="7640"/>
            <w:shd w:fill="F2F2F2" w:val="clear"/>
            <w:tcMar>
              <w:top w:type="dxa" w:w="100"/>
              <w:left w:type="dxa" w:w="120"/>
              <w:bottom w:type="dxa" w:w="100"/>
              <w:right w:type="dxa" w:w="120"/>
            </w:tcMar>
          </w:tcPr>
          <w:p>
            <w:r>
              <w:rPr>
                <w:b w:val="false"/>
                <w:bCs w:val="false"/>
                <w:color w:val="222222"/>
                <w:sz w:val="21"/>
                <w:szCs w:val="21"/>
              </w:rPr>
              <w:t xml:space="preserve">A view of headcount split along a specific dimension, such as department, role, or location.</w:t>
            </w:r>
          </w:p>
        </w:tc>
      </w:tr>
      <w:tr>
        <w:tc>
          <w:tcPr>
            <w:tcW w:type="dxa" w:w="2800"/>
            <w:tcMar>
              <w:top w:type="dxa" w:w="100"/>
              <w:left w:type="dxa" w:w="120"/>
              <w:bottom w:type="dxa" w:w="100"/>
              <w:right w:type="dxa" w:w="120"/>
            </w:tcMar>
          </w:tcPr>
          <w:p>
            <w:r>
              <w:rPr>
                <w:b w:val="false"/>
                <w:bCs w:val="false"/>
                <w:color w:val="222222"/>
                <w:sz w:val="21"/>
                <w:szCs w:val="21"/>
              </w:rPr>
              <w:t xml:space="preserve">Attrition</w:t>
            </w:r>
          </w:p>
        </w:tc>
        <w:tc>
          <w:tcPr>
            <w:tcW w:type="dxa" w:w="7640"/>
            <w:tcMar>
              <w:top w:type="dxa" w:w="100"/>
              <w:left w:type="dxa" w:w="120"/>
              <w:bottom w:type="dxa" w:w="100"/>
              <w:right w:type="dxa" w:w="120"/>
            </w:tcMar>
          </w:tcPr>
          <w:p>
            <w:r>
              <w:rPr>
                <w:b w:val="false"/>
                <w:bCs w:val="false"/>
                <w:color w:val="222222"/>
                <w:sz w:val="21"/>
                <w:szCs w:val="21"/>
              </w:rPr>
              <w:t xml:space="preserve">The reduction in headcount over time due to employees leaving the organization.</w:t>
            </w:r>
          </w:p>
        </w:tc>
      </w:tr>
      <w:tr>
        <w:tc>
          <w:tcPr>
            <w:tcW w:type="dxa" w:w="2800"/>
            <w:shd w:fill="F2F2F2" w:val="clear"/>
            <w:tcMar>
              <w:top w:type="dxa" w:w="100"/>
              <w:left w:type="dxa" w:w="120"/>
              <w:bottom w:type="dxa" w:w="100"/>
              <w:right w:type="dxa" w:w="120"/>
            </w:tcMar>
          </w:tcPr>
          <w:p>
            <w:r>
              <w:rPr>
                <w:b w:val="false"/>
                <w:bCs w:val="false"/>
                <w:color w:val="222222"/>
                <w:sz w:val="21"/>
                <w:szCs w:val="21"/>
              </w:rPr>
              <w:t xml:space="preserve">Dashboard shell</w:t>
            </w:r>
          </w:p>
        </w:tc>
        <w:tc>
          <w:tcPr>
            <w:tcW w:type="dxa" w:w="7640"/>
            <w:shd w:fill="F2F2F2" w:val="clear"/>
            <w:tcMar>
              <w:top w:type="dxa" w:w="100"/>
              <w:left w:type="dxa" w:w="120"/>
              <w:bottom w:type="dxa" w:w="100"/>
              <w:right w:type="dxa" w:w="120"/>
            </w:tcMar>
          </w:tcPr>
          <w:p>
            <w:r>
              <w:rPr>
                <w:b w:val="false"/>
                <w:bCs w:val="false"/>
                <w:color w:val="222222"/>
                <w:sz w:val="21"/>
                <w:szCs w:val="21"/>
              </w:rPr>
              <w:t xml:space="preserve">The overall interactive dashboard application into which individual analytics modules are integrated.</w:t>
            </w:r>
          </w:p>
        </w:tc>
      </w:tr>
      <w:tr>
        <w:tc>
          <w:tcPr>
            <w:tcW w:type="dxa" w:w="2800"/>
            <w:tcMar>
              <w:top w:type="dxa" w:w="100"/>
              <w:left w:type="dxa" w:w="120"/>
              <w:bottom w:type="dxa" w:w="100"/>
              <w:right w:type="dxa" w:w="120"/>
            </w:tcMar>
          </w:tcPr>
          <w:p>
            <w:r>
              <w:rPr>
                <w:b w:val="false"/>
                <w:bCs w:val="false"/>
                <w:color w:val="222222"/>
                <w:sz w:val="21"/>
                <w:szCs w:val="21"/>
              </w:rPr>
              <w:t xml:space="preserve">Mock data</w:t>
            </w:r>
          </w:p>
        </w:tc>
        <w:tc>
          <w:tcPr>
            <w:tcW w:type="dxa" w:w="7640"/>
            <w:tcMar>
              <w:top w:type="dxa" w:w="100"/>
              <w:left w:type="dxa" w:w="120"/>
              <w:bottom w:type="dxa" w:w="100"/>
              <w:right w:type="dxa" w:w="120"/>
            </w:tcMar>
          </w:tcPr>
          <w:p>
            <w:r>
              <w:rPr>
                <w:b w:val="false"/>
                <w:bCs w:val="false"/>
                <w:color w:val="222222"/>
                <w:sz w:val="21"/>
                <w:szCs w:val="21"/>
              </w:rPr>
              <w:t xml:space="preserve">Sample or placeholder data used for development and testing before real data is available.</w:t>
            </w:r>
          </w:p>
        </w:tc>
      </w:tr>
    </w:tbl>
    <w:p>
      <w:pPr>
        <w:spacing w:after="140"/>
        <w:jc w:val="both"/>
      </w:pPr>
      <w:r>
        <w:rPr>
          <w:color w:val="222222"/>
          <w:sz w:val="22"/>
          <w:szCs w:val="22"/>
        </w:rPr>
        <w:t xml:space="preserve"> </w:t>
      </w:r>
    </w:p>
    <w:p>
      <w:pPr>
        <w:pStyle w:val="Heading1"/>
        <w:pBdr>
          <w:bottom w:val="single" w:color="1F3864" w:sz="6"/>
        </w:pBdr>
        <w:spacing w:after="150" w:before="320"/>
      </w:pPr>
      <w:r>
        <w:rPr>
          <w:b/>
          <w:bCs/>
          <w:color w:val="1F3864"/>
          <w:sz w:val="26"/>
          <w:szCs w:val="26"/>
        </w:rPr>
        <w:t xml:space="preserve">16. Conclusion</w:t>
      </w:r>
    </w:p>
    <w:p>
      <w:pPr>
        <w:spacing w:after="140"/>
        <w:jc w:val="both"/>
      </w:pPr>
      <w:r>
        <w:rPr>
          <w:color w:val="222222"/>
          <w:sz w:val="22"/>
          <w:szCs w:val="22"/>
        </w:rPr>
        <w:t xml:space="preserve">The Headcount Analytics Module lays the groundwork for the broader Workforce Intelligence Dashboard by giving stakeholders a clear, trustworthy view of workforce composition. Delivering accurate, well-structured visualizations here — and coordinating closely with the analytics engine, dashboard integration, and validation workstreams — will help ensure Milestone 3 comes together as a cohesive, reliable platform for HR decision-making.</w:t>
      </w:r>
    </w:p>
    <w:p>
      <w:pPr>
        <w:spacing w:before="300"/>
      </w:pPr>
      <w:r>
        <w:rPr>
          <w:i/>
          <w:iCs/>
          <w:color w:val="444444"/>
          <w:sz w:val="18"/>
          <w:szCs w:val="18"/>
        </w:rPr>
        <w:t xml:space="preserve">Document prepared for Milestone 3 — Workforce Intelligence Dashboard project.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decimal"/>
      <w:lvlText w:val="%1."/>
      <w:lvlJc w:val="left"/>
      <w:pPr>
        <w:ind w:left="450" w:hanging="300"/>
      </w:pPr>
    </w:lvl>
  </w:abstractNum>
  <w:abstractNum w:abstractNumId="4" w15:restartNumberingAfterBreak="0">
    <w:multiLevelType w:val="hybridMultilevel"/>
    <w:lvl w:ilvl="0" w15:tentative="1">
      <w:start w:val="1"/>
      <w:numFmt w:val="decimal"/>
      <w:lvlText w:val="%1."/>
      <w:lvlJc w:val="left"/>
      <w:pPr>
        <w:ind w:left="45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2026-08-31T11:28:31.512Z</dcterms:created>
  <dcterms:modified xsi:type="dcterms:W3CDTF">2026-08-31T11:28:31.512Z</dcterms:modified>
</cp:coreProperties>
</file>

<file path=docProps/custom.xml><?xml version="1.0" encoding="utf-8"?>
<Properties xmlns="http://schemas.openxmlformats.org/officeDocument/2006/custom-properties" xmlns:vt="http://schemas.openxmlformats.org/officeDocument/2006/docPropsVTypes"/>
</file>