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Retail Performance Report: Simple Analysis</w:t>
      </w:r>
    </w:p>
    <w:p>
      <w:pPr>
        <w:spacing w:after="120"/>
      </w:pPr>
      <w:r>
        <w:rPr>
          <w:i/>
          <w:iCs/>
          <w:color w:val="5B6B82"/>
        </w:rPr>
        <w:t xml:space="preserve">Source: Retail Performance &amp; Profitability Diagnostic Report (2023–2025)</w:t>
      </w:r>
    </w:p>
    <w:p>
      <w:pPr>
        <w:pStyle w:val="Heading1"/>
      </w:pPr>
      <w:r>
        <w:t xml:space="preserve">1. Report Overview</w:t>
      </w:r>
    </w:p>
    <w:p>
      <w:pPr>
        <w:spacing w:after="120"/>
      </w:pPr>
      <w:r>
        <w:t xml:space="preserve">This report is a diagnostic of retail sales and profit for 2023–2025, built from a Power BI dashboard. Its goal is to understand why sales fluctuate and why profit margins are shrinking.</w:t>
      </w:r>
    </w:p>
    <w:p>
      <w:pPr>
        <w:spacing w:after="120"/>
      </w:pPr>
      <w:r>
        <w:rPr>
          <w:b/>
          <w:bCs/>
        </w:rPr>
        <w:t xml:space="preserve">Key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C8D6" w:sz="4"/>
              <w:left w:val="single" w:color="BFC8D6" w:sz="4"/>
              <w:bottom w:val="single" w:color="BFC8D6" w:sz="4"/>
              <w:right w:val="single" w:color="BFC8D6" w:sz="4"/>
            </w:tcBorders>
            <w:shd w:fill="1E3A8A" w:color="auto" w:val="clear"/>
            <w:tcMar>
              <w:top w:type="dxa" w:w="80"/>
              <w:left w:type="dxa" w:w="120"/>
              <w:bottom w:type="dxa" w:w="80"/>
              <w:right w:type="dxa" w:w="120"/>
            </w:tcMar>
          </w:tcPr>
          <w:p>
            <w:r>
              <w:rPr>
                <w:b/>
                <w:bCs/>
                <w:color w:val="FFFFFF"/>
                <w:sz w:val="21"/>
                <w:szCs w:val="21"/>
              </w:rPr>
              <w:t xml:space="preserve">Metric</w:t>
            </w:r>
          </w:p>
        </w:tc>
        <w:tc>
          <w:tcPr>
            <w:tcW w:type="dxa" w:w="2400"/>
            <w:tcBorders>
              <w:top w:val="single" w:color="BFC8D6" w:sz="4"/>
              <w:left w:val="single" w:color="BFC8D6" w:sz="4"/>
              <w:bottom w:val="single" w:color="BFC8D6" w:sz="4"/>
              <w:right w:val="single" w:color="BFC8D6" w:sz="4"/>
            </w:tcBorders>
            <w:shd w:fill="1E3A8A" w:color="auto" w:val="clear"/>
            <w:tcMar>
              <w:top w:type="dxa" w:w="80"/>
              <w:left w:type="dxa" w:w="120"/>
              <w:bottom w:type="dxa" w:w="80"/>
              <w:right w:type="dxa" w:w="120"/>
            </w:tcMar>
          </w:tcPr>
          <w:p>
            <w:r>
              <w:rPr>
                <w:b/>
                <w:bCs/>
                <w:color w:val="FFFFFF"/>
                <w:sz w:val="21"/>
                <w:szCs w:val="21"/>
              </w:rPr>
              <w:t xml:space="preserve">Value</w:t>
            </w:r>
          </w:p>
        </w:tc>
        <w:tc>
          <w:tcPr>
            <w:tcW w:type="dxa" w:w="4560"/>
            <w:tcBorders>
              <w:top w:val="single" w:color="BFC8D6" w:sz="4"/>
              <w:left w:val="single" w:color="BFC8D6" w:sz="4"/>
              <w:bottom w:val="single" w:color="BFC8D6" w:sz="4"/>
              <w:right w:val="single" w:color="BFC8D6" w:sz="4"/>
            </w:tcBorders>
            <w:shd w:fill="1E3A8A" w:color="auto" w:val="clear"/>
            <w:tcMar>
              <w:top w:type="dxa" w:w="80"/>
              <w:left w:type="dxa" w:w="120"/>
              <w:bottom w:type="dxa" w:w="80"/>
              <w:right w:type="dxa" w:w="120"/>
            </w:tcMar>
          </w:tcPr>
          <w:p>
            <w:r>
              <w:rPr>
                <w:b/>
                <w:bCs/>
                <w:color w:val="FFFFFF"/>
                <w:sz w:val="21"/>
                <w:szCs w:val="21"/>
              </w:rPr>
              <w:t xml:space="preserve">Meaning</w:t>
            </w:r>
          </w:p>
        </w:tc>
      </w:tr>
      <w:tr>
        <w:tc>
          <w:tcPr>
            <w:tcW w:type="dxa" w:w="2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1"/>
                <w:szCs w:val="21"/>
              </w:rPr>
              <w:t xml:space="preserve">Total Sales</w:t>
            </w:r>
          </w:p>
        </w:tc>
        <w:tc>
          <w:tcPr>
            <w:tcW w:type="dxa" w:w="2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1"/>
                <w:szCs w:val="21"/>
              </w:rPr>
              <w:t xml:space="preserve">$22.96K</w:t>
            </w:r>
          </w:p>
        </w:tc>
        <w:tc>
          <w:tcPr>
            <w:tcW w:type="dxa" w:w="456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1"/>
                <w:szCs w:val="21"/>
              </w:rPr>
              <w:t xml:space="preserve">Total revenue</w:t>
            </w:r>
          </w:p>
        </w:tc>
      </w:tr>
      <w:tr>
        <w:tc>
          <w:tcPr>
            <w:tcW w:type="dxa" w:w="2400"/>
            <w:tcBorders>
              <w:top w:val="single" w:color="BFC8D6" w:sz="4"/>
              <w:left w:val="single" w:color="BFC8D6" w:sz="4"/>
              <w:bottom w:val="single" w:color="BFC8D6" w:sz="4"/>
              <w:right w:val="single" w:color="BFC8D6" w:sz="4"/>
            </w:tcBorders>
            <w:shd w:fill="F3F6FB" w:color="auto" w:val="clear"/>
            <w:tcMar>
              <w:top w:type="dxa" w:w="80"/>
              <w:left w:type="dxa" w:w="120"/>
              <w:bottom w:type="dxa" w:w="80"/>
              <w:right w:type="dxa" w:w="120"/>
            </w:tcMar>
          </w:tcPr>
          <w:p>
            <w:r>
              <w:rPr>
                <w:sz w:val="21"/>
                <w:szCs w:val="21"/>
              </w:rPr>
              <w:t xml:space="preserve">Total Profit</w:t>
            </w:r>
          </w:p>
        </w:tc>
        <w:tc>
          <w:tcPr>
            <w:tcW w:type="dxa" w:w="2400"/>
            <w:tcBorders>
              <w:top w:val="single" w:color="BFC8D6" w:sz="4"/>
              <w:left w:val="single" w:color="BFC8D6" w:sz="4"/>
              <w:bottom w:val="single" w:color="BFC8D6" w:sz="4"/>
              <w:right w:val="single" w:color="BFC8D6" w:sz="4"/>
            </w:tcBorders>
            <w:shd w:fill="F3F6FB" w:color="auto" w:val="clear"/>
            <w:tcMar>
              <w:top w:type="dxa" w:w="80"/>
              <w:left w:type="dxa" w:w="120"/>
              <w:bottom w:type="dxa" w:w="80"/>
              <w:right w:type="dxa" w:w="120"/>
            </w:tcMar>
          </w:tcPr>
          <w:p>
            <w:r>
              <w:rPr>
                <w:sz w:val="21"/>
                <w:szCs w:val="21"/>
              </w:rPr>
              <w:t xml:space="preserve">$4.60K</w:t>
            </w:r>
          </w:p>
        </w:tc>
        <w:tc>
          <w:tcPr>
            <w:tcW w:type="dxa" w:w="4560"/>
            <w:tcBorders>
              <w:top w:val="single" w:color="BFC8D6" w:sz="4"/>
              <w:left w:val="single" w:color="BFC8D6" w:sz="4"/>
              <w:bottom w:val="single" w:color="BFC8D6" w:sz="4"/>
              <w:right w:val="single" w:color="BFC8D6" w:sz="4"/>
            </w:tcBorders>
            <w:shd w:fill="F3F6FB" w:color="auto" w:val="clear"/>
            <w:tcMar>
              <w:top w:type="dxa" w:w="80"/>
              <w:left w:type="dxa" w:w="120"/>
              <w:bottom w:type="dxa" w:w="80"/>
              <w:right w:type="dxa" w:w="120"/>
            </w:tcMar>
          </w:tcPr>
          <w:p>
            <w:r>
              <w:rPr>
                <w:sz w:val="21"/>
                <w:szCs w:val="21"/>
              </w:rPr>
              <w:t xml:space="preserve">Total earnings after costs</w:t>
            </w:r>
          </w:p>
        </w:tc>
      </w:tr>
      <w:tr>
        <w:tc>
          <w:tcPr>
            <w:tcW w:type="dxa" w:w="2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1"/>
                <w:szCs w:val="21"/>
              </w:rPr>
              <w:t xml:space="preserve">Quantity Sold</w:t>
            </w:r>
          </w:p>
        </w:tc>
        <w:tc>
          <w:tcPr>
            <w:tcW w:type="dxa" w:w="2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1"/>
                <w:szCs w:val="21"/>
              </w:rPr>
              <w:t xml:space="preserve">528</w:t>
            </w:r>
          </w:p>
        </w:tc>
        <w:tc>
          <w:tcPr>
            <w:tcW w:type="dxa" w:w="456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1"/>
                <w:szCs w:val="21"/>
              </w:rPr>
              <w:t xml:space="preserve">Units sold</w:t>
            </w:r>
          </w:p>
        </w:tc>
      </w:tr>
      <w:tr>
        <w:tc>
          <w:tcPr>
            <w:tcW w:type="dxa" w:w="2400"/>
            <w:tcBorders>
              <w:top w:val="single" w:color="BFC8D6" w:sz="4"/>
              <w:left w:val="single" w:color="BFC8D6" w:sz="4"/>
              <w:bottom w:val="single" w:color="BFC8D6" w:sz="4"/>
              <w:right w:val="single" w:color="BFC8D6" w:sz="4"/>
            </w:tcBorders>
            <w:shd w:fill="F3F6FB" w:color="auto" w:val="clear"/>
            <w:tcMar>
              <w:top w:type="dxa" w:w="80"/>
              <w:left w:type="dxa" w:w="120"/>
              <w:bottom w:type="dxa" w:w="80"/>
              <w:right w:type="dxa" w:w="120"/>
            </w:tcMar>
          </w:tcPr>
          <w:p>
            <w:r>
              <w:rPr>
                <w:sz w:val="21"/>
                <w:szCs w:val="21"/>
              </w:rPr>
              <w:t xml:space="preserve">Avg. Discount</w:t>
            </w:r>
          </w:p>
        </w:tc>
        <w:tc>
          <w:tcPr>
            <w:tcW w:type="dxa" w:w="2400"/>
            <w:tcBorders>
              <w:top w:val="single" w:color="BFC8D6" w:sz="4"/>
              <w:left w:val="single" w:color="BFC8D6" w:sz="4"/>
              <w:bottom w:val="single" w:color="BFC8D6" w:sz="4"/>
              <w:right w:val="single" w:color="BFC8D6" w:sz="4"/>
            </w:tcBorders>
            <w:shd w:fill="F3F6FB" w:color="auto" w:val="clear"/>
            <w:tcMar>
              <w:top w:type="dxa" w:w="80"/>
              <w:left w:type="dxa" w:w="120"/>
              <w:bottom w:type="dxa" w:w="80"/>
              <w:right w:type="dxa" w:w="120"/>
            </w:tcMar>
          </w:tcPr>
          <w:p>
            <w:r>
              <w:rPr>
                <w:sz w:val="21"/>
                <w:szCs w:val="21"/>
              </w:rPr>
              <w:t xml:space="preserve">0.09 (9%)</w:t>
            </w:r>
          </w:p>
        </w:tc>
        <w:tc>
          <w:tcPr>
            <w:tcW w:type="dxa" w:w="4560"/>
            <w:tcBorders>
              <w:top w:val="single" w:color="BFC8D6" w:sz="4"/>
              <w:left w:val="single" w:color="BFC8D6" w:sz="4"/>
              <w:bottom w:val="single" w:color="BFC8D6" w:sz="4"/>
              <w:right w:val="single" w:color="BFC8D6" w:sz="4"/>
            </w:tcBorders>
            <w:shd w:fill="F3F6FB" w:color="auto" w:val="clear"/>
            <w:tcMar>
              <w:top w:type="dxa" w:w="80"/>
              <w:left w:type="dxa" w:w="120"/>
              <w:bottom w:type="dxa" w:w="80"/>
              <w:right w:type="dxa" w:w="120"/>
            </w:tcMar>
          </w:tcPr>
          <w:p>
            <w:r>
              <w:rPr>
                <w:sz w:val="21"/>
                <w:szCs w:val="21"/>
              </w:rPr>
              <w:t xml:space="preserve">Average discount given</w:t>
            </w:r>
          </w:p>
        </w:tc>
      </w:tr>
    </w:tbl>
    <w:p/>
    <w:p>
      <w:pPr>
        <w:spacing w:after="120"/>
      </w:pPr>
      <w:r>
        <w:rPr>
          <w:b/>
          <w:bCs/>
        </w:rPr>
        <w:t xml:space="preserve">Profit margin = 4.60 ÷ 22.96 ≈ 20%. </w:t>
      </w:r>
      <w:r>
        <w:t xml:space="preserve">In other words, roughly $20 of profit for every $100 of sales. Overall this is healthy, but as shown below, a few products pull the average down.</w:t>
      </w:r>
    </w:p>
    <w:p>
      <w:pPr>
        <w:spacing w:after="120"/>
      </w:pPr>
      <w:r>
        <w:rPr>
          <w:b/>
          <w:bCs/>
        </w:rPr>
        <w:t xml:space="preserve">Note on the dashboard: </w:t>
      </w:r>
      <w:r>
        <w:t xml:space="preserve">The dashboard image in the original PDF (Figure 1.1) did not load, so the original visuals could not be extracted. The figures below are rebuilt from the numbers printed in the report and are not copies of the original Power BI visuals.</w:t>
      </w:r>
    </w:p>
    <w:p>
      <w:pPr>
        <w:keepNext/>
        <w:spacing w:after="60" w:before="120"/>
        <w:jc w:val="center"/>
      </w:pPr>
      <w:r>
        <w:drawing>
          <wp:inline distT="0" distB="0" distL="0" distR="0">
            <wp:extent cx="5334000" cy="3486150"/>
            <wp:effectExtent t="0" r="0" b="0" l="0"/>
            <wp:docPr id="1" name="Figure 1: Dashboard-style overview rebuilt from the report's data" descr="Figure 1: Dashboard-style overview rebuilt from the report's data" title="Figure 1: Dashboard-style overview rebuilt from the report's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486150"/>
                    </a:xfrm>
                    <a:prstGeom prst="rect">
                      <a:avLst/>
                    </a:prstGeom>
                  </pic:spPr>
                </pic:pic>
              </a:graphicData>
            </a:graphic>
          </wp:inline>
        </w:drawing>
      </w:r>
    </w:p>
    <w:p>
      <w:pPr>
        <w:spacing w:after="160"/>
        <w:jc w:val="center"/>
      </w:pPr>
      <w:r>
        <w:rPr>
          <w:i/>
          <w:iCs/>
          <w:color w:val="5B6B82"/>
          <w:sz w:val="19"/>
          <w:szCs w:val="19"/>
        </w:rPr>
        <w:t xml:space="preserve">Figure 1: Dashboard-style overview rebuilt from the report's data</w:t>
      </w:r>
    </w:p>
    <w:p>
      <w:pPr>
        <w:pStyle w:val="Heading1"/>
      </w:pPr>
      <w:r>
        <w:t xml:space="preserve">2. Biggest Problem: High Discounts, Low Profit</w:t>
      </w:r>
    </w:p>
    <w:p>
      <w:pPr>
        <w:spacing w:after="120"/>
      </w:pPr>
      <w:r>
        <w:t xml:space="preserve">The report's core finding is that </w:t>
      </w:r>
      <w:r>
        <w:rPr>
          <w:b/>
          <w:bCs/>
        </w:rPr>
        <w:t xml:space="preserve">Phones</w:t>
      </w:r>
      <w:r>
        <w:t xml:space="preserve"> have very high sales and volume, but also receive heavy discounts, so relatively little profit is left over.</w:t>
      </w:r>
    </w:p>
    <w:p>
      <w:pPr>
        <w:spacing w:after="120"/>
      </w:pPr>
      <w:r>
        <w:rPr>
          <w:b/>
          <w:bCs/>
        </w:rPr>
        <w:t xml:space="preserve">Sub-category analysis (profit margin calculated by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1900"/>
        <w:gridCol w:w="1760"/>
      </w:tblGrid>
      <w:tr>
        <w:trPr>
          <w:tblHeader/>
        </w:trPr>
        <w:tc>
          <w:tcPr>
            <w:tcW w:type="dxa" w:w="2100"/>
            <w:tcBorders>
              <w:top w:val="single" w:color="BFC8D6" w:sz="4"/>
              <w:left w:val="single" w:color="BFC8D6" w:sz="4"/>
              <w:bottom w:val="single" w:color="BFC8D6" w:sz="4"/>
              <w:right w:val="single" w:color="BFC8D6" w:sz="4"/>
            </w:tcBorders>
            <w:shd w:fill="1E3A8A" w:color="auto" w:val="clear"/>
            <w:tcMar>
              <w:top w:type="dxa" w:w="80"/>
              <w:left w:type="dxa" w:w="120"/>
              <w:bottom w:type="dxa" w:w="80"/>
              <w:right w:type="dxa" w:w="120"/>
            </w:tcMar>
          </w:tcPr>
          <w:p>
            <w:r>
              <w:rPr>
                <w:b/>
                <w:bCs/>
                <w:color w:val="FFFFFF"/>
                <w:sz w:val="21"/>
                <w:szCs w:val="21"/>
              </w:rPr>
              <w:t xml:space="preserve">Sub-Category</w:t>
            </w:r>
          </w:p>
        </w:tc>
        <w:tc>
          <w:tcPr>
            <w:tcW w:type="dxa" w:w="1800"/>
            <w:tcBorders>
              <w:top w:val="single" w:color="BFC8D6" w:sz="4"/>
              <w:left w:val="single" w:color="BFC8D6" w:sz="4"/>
              <w:bottom w:val="single" w:color="BFC8D6" w:sz="4"/>
              <w:right w:val="single" w:color="BFC8D6" w:sz="4"/>
            </w:tcBorders>
            <w:shd w:fill="1E3A8A" w:color="auto" w:val="clear"/>
            <w:tcMar>
              <w:top w:type="dxa" w:w="80"/>
              <w:left w:type="dxa" w:w="120"/>
              <w:bottom w:type="dxa" w:w="80"/>
              <w:right w:type="dxa" w:w="120"/>
            </w:tcMar>
          </w:tcPr>
          <w:p>
            <w:r>
              <w:rPr>
                <w:b/>
                <w:bCs/>
                <w:color w:val="FFFFFF"/>
                <w:sz w:val="21"/>
                <w:szCs w:val="21"/>
              </w:rPr>
              <w:t xml:space="preserve">Sales</w:t>
            </w:r>
          </w:p>
        </w:tc>
        <w:tc>
          <w:tcPr>
            <w:tcW w:type="dxa" w:w="1800"/>
            <w:tcBorders>
              <w:top w:val="single" w:color="BFC8D6" w:sz="4"/>
              <w:left w:val="single" w:color="BFC8D6" w:sz="4"/>
              <w:bottom w:val="single" w:color="BFC8D6" w:sz="4"/>
              <w:right w:val="single" w:color="BFC8D6" w:sz="4"/>
            </w:tcBorders>
            <w:shd w:fill="1E3A8A" w:color="auto" w:val="clear"/>
            <w:tcMar>
              <w:top w:type="dxa" w:w="80"/>
              <w:left w:type="dxa" w:w="120"/>
              <w:bottom w:type="dxa" w:w="80"/>
              <w:right w:type="dxa" w:w="120"/>
            </w:tcMar>
          </w:tcPr>
          <w:p>
            <w:r>
              <w:rPr>
                <w:b/>
                <w:bCs/>
                <w:color w:val="FFFFFF"/>
                <w:sz w:val="21"/>
                <w:szCs w:val="21"/>
              </w:rPr>
              <w:t xml:space="preserve">Profit</w:t>
            </w:r>
          </w:p>
        </w:tc>
        <w:tc>
          <w:tcPr>
            <w:tcW w:type="dxa" w:w="1900"/>
            <w:tcBorders>
              <w:top w:val="single" w:color="BFC8D6" w:sz="4"/>
              <w:left w:val="single" w:color="BFC8D6" w:sz="4"/>
              <w:bottom w:val="single" w:color="BFC8D6" w:sz="4"/>
              <w:right w:val="single" w:color="BFC8D6" w:sz="4"/>
            </w:tcBorders>
            <w:shd w:fill="1E3A8A" w:color="auto" w:val="clear"/>
            <w:tcMar>
              <w:top w:type="dxa" w:w="80"/>
              <w:left w:type="dxa" w:w="120"/>
              <w:bottom w:type="dxa" w:w="80"/>
              <w:right w:type="dxa" w:w="120"/>
            </w:tcMar>
          </w:tcPr>
          <w:p>
            <w:r>
              <w:rPr>
                <w:b/>
                <w:bCs/>
                <w:color w:val="FFFFFF"/>
                <w:sz w:val="21"/>
                <w:szCs w:val="21"/>
              </w:rPr>
              <w:t xml:space="preserve">Profit Margin</w:t>
            </w:r>
          </w:p>
        </w:tc>
        <w:tc>
          <w:tcPr>
            <w:tcW w:type="dxa" w:w="1760"/>
            <w:tcBorders>
              <w:top w:val="single" w:color="BFC8D6" w:sz="4"/>
              <w:left w:val="single" w:color="BFC8D6" w:sz="4"/>
              <w:bottom w:val="single" w:color="BFC8D6" w:sz="4"/>
              <w:right w:val="single" w:color="BFC8D6" w:sz="4"/>
            </w:tcBorders>
            <w:shd w:fill="1E3A8A" w:color="auto" w:val="clear"/>
            <w:tcMar>
              <w:top w:type="dxa" w:w="80"/>
              <w:left w:type="dxa" w:w="120"/>
              <w:bottom w:type="dxa" w:w="80"/>
              <w:right w:type="dxa" w:w="120"/>
            </w:tcMar>
          </w:tcPr>
          <w:p>
            <w:r>
              <w:rPr>
                <w:b/>
                <w:bCs/>
                <w:color w:val="FFFFFF"/>
                <w:sz w:val="21"/>
                <w:szCs w:val="21"/>
              </w:rPr>
              <w:t xml:space="preserve">Discount</w:t>
            </w:r>
          </w:p>
        </w:tc>
      </w:tr>
      <w:tr>
        <w:tc>
          <w:tcPr>
            <w:tcW w:type="dxa" w:w="21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1"/>
                <w:szCs w:val="21"/>
              </w:rPr>
              <w:t xml:space="preserve">Supplies</w:t>
            </w:r>
          </w:p>
        </w:tc>
        <w:tc>
          <w:tcPr>
            <w:tcW w:type="dxa" w:w="18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1"/>
                <w:szCs w:val="21"/>
              </w:rPr>
              <w:t xml:space="preserve">$400.63</w:t>
            </w:r>
          </w:p>
        </w:tc>
        <w:tc>
          <w:tcPr>
            <w:tcW w:type="dxa" w:w="18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1"/>
                <w:szCs w:val="21"/>
              </w:rPr>
              <w:t xml:space="preserve">$122.86</w:t>
            </w:r>
          </w:p>
        </w:tc>
        <w:tc>
          <w:tcPr>
            <w:tcW w:type="dxa" w:w="19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1"/>
                <w:szCs w:val="21"/>
              </w:rPr>
              <w:t xml:space="preserve">~30.7%</w:t>
            </w:r>
          </w:p>
        </w:tc>
        <w:tc>
          <w:tcPr>
            <w:tcW w:type="dxa" w:w="176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1"/>
                <w:szCs w:val="21"/>
              </w:rPr>
              <w:t xml:space="preserve">0.00</w:t>
            </w:r>
          </w:p>
        </w:tc>
      </w:tr>
      <w:tr>
        <w:tc>
          <w:tcPr>
            <w:tcW w:type="dxa" w:w="2100"/>
            <w:tcBorders>
              <w:top w:val="single" w:color="BFC8D6" w:sz="4"/>
              <w:left w:val="single" w:color="BFC8D6" w:sz="4"/>
              <w:bottom w:val="single" w:color="BFC8D6" w:sz="4"/>
              <w:right w:val="single" w:color="BFC8D6" w:sz="4"/>
            </w:tcBorders>
            <w:shd w:fill="F3F6FB" w:color="auto" w:val="clear"/>
            <w:tcMar>
              <w:top w:type="dxa" w:w="80"/>
              <w:left w:type="dxa" w:w="120"/>
              <w:bottom w:type="dxa" w:w="80"/>
              <w:right w:type="dxa" w:w="120"/>
            </w:tcMar>
          </w:tcPr>
          <w:p>
            <w:r>
              <w:rPr>
                <w:sz w:val="21"/>
                <w:szCs w:val="21"/>
              </w:rPr>
              <w:t xml:space="preserve">Machines</w:t>
            </w:r>
          </w:p>
        </w:tc>
        <w:tc>
          <w:tcPr>
            <w:tcW w:type="dxa" w:w="1800"/>
            <w:tcBorders>
              <w:top w:val="single" w:color="BFC8D6" w:sz="4"/>
              <w:left w:val="single" w:color="BFC8D6" w:sz="4"/>
              <w:bottom w:val="single" w:color="BFC8D6" w:sz="4"/>
              <w:right w:val="single" w:color="BFC8D6" w:sz="4"/>
            </w:tcBorders>
            <w:shd w:fill="F3F6FB" w:color="auto" w:val="clear"/>
            <w:tcMar>
              <w:top w:type="dxa" w:w="80"/>
              <w:left w:type="dxa" w:w="120"/>
              <w:bottom w:type="dxa" w:w="80"/>
              <w:right w:type="dxa" w:w="120"/>
            </w:tcMar>
          </w:tcPr>
          <w:p>
            <w:r>
              <w:rPr>
                <w:sz w:val="21"/>
                <w:szCs w:val="21"/>
              </w:rPr>
              <w:t xml:space="preserve">$625.13</w:t>
            </w:r>
          </w:p>
        </w:tc>
        <w:tc>
          <w:tcPr>
            <w:tcW w:type="dxa" w:w="1800"/>
            <w:tcBorders>
              <w:top w:val="single" w:color="BFC8D6" w:sz="4"/>
              <w:left w:val="single" w:color="BFC8D6" w:sz="4"/>
              <w:bottom w:val="single" w:color="BFC8D6" w:sz="4"/>
              <w:right w:val="single" w:color="BFC8D6" w:sz="4"/>
            </w:tcBorders>
            <w:shd w:fill="F3F6FB" w:color="auto" w:val="clear"/>
            <w:tcMar>
              <w:top w:type="dxa" w:w="80"/>
              <w:left w:type="dxa" w:w="120"/>
              <w:bottom w:type="dxa" w:w="80"/>
              <w:right w:type="dxa" w:w="120"/>
            </w:tcMar>
          </w:tcPr>
          <w:p>
            <w:r>
              <w:rPr>
                <w:sz w:val="21"/>
                <w:szCs w:val="21"/>
              </w:rPr>
              <w:t xml:space="preserve">$175.98</w:t>
            </w:r>
          </w:p>
        </w:tc>
        <w:tc>
          <w:tcPr>
            <w:tcW w:type="dxa" w:w="1900"/>
            <w:tcBorders>
              <w:top w:val="single" w:color="BFC8D6" w:sz="4"/>
              <w:left w:val="single" w:color="BFC8D6" w:sz="4"/>
              <w:bottom w:val="single" w:color="BFC8D6" w:sz="4"/>
              <w:right w:val="single" w:color="BFC8D6" w:sz="4"/>
            </w:tcBorders>
            <w:shd w:fill="F3F6FB" w:color="auto" w:val="clear"/>
            <w:tcMar>
              <w:top w:type="dxa" w:w="80"/>
              <w:left w:type="dxa" w:w="120"/>
              <w:bottom w:type="dxa" w:w="80"/>
              <w:right w:type="dxa" w:w="120"/>
            </w:tcMar>
          </w:tcPr>
          <w:p>
            <w:r>
              <w:rPr>
                <w:sz w:val="21"/>
                <w:szCs w:val="21"/>
              </w:rPr>
              <w:t xml:space="preserve">~28.2%</w:t>
            </w:r>
          </w:p>
        </w:tc>
        <w:tc>
          <w:tcPr>
            <w:tcW w:type="dxa" w:w="1760"/>
            <w:tcBorders>
              <w:top w:val="single" w:color="BFC8D6" w:sz="4"/>
              <w:left w:val="single" w:color="BFC8D6" w:sz="4"/>
              <w:bottom w:val="single" w:color="BFC8D6" w:sz="4"/>
              <w:right w:val="single" w:color="BFC8D6" w:sz="4"/>
            </w:tcBorders>
            <w:shd w:fill="F3F6FB" w:color="auto" w:val="clear"/>
            <w:tcMar>
              <w:top w:type="dxa" w:w="80"/>
              <w:left w:type="dxa" w:w="120"/>
              <w:bottom w:type="dxa" w:w="80"/>
              <w:right w:type="dxa" w:w="120"/>
            </w:tcMar>
          </w:tcPr>
          <w:p>
            <w:r>
              <w:rPr>
                <w:sz w:val="21"/>
                <w:szCs w:val="21"/>
              </w:rPr>
              <w:t xml:space="preserve">0.40</w:t>
            </w:r>
          </w:p>
        </w:tc>
      </w:tr>
      <w:tr>
        <w:tc>
          <w:tcPr>
            <w:tcW w:type="dxa" w:w="21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1"/>
                <w:szCs w:val="21"/>
              </w:rPr>
              <w:t xml:space="preserve">Tables</w:t>
            </w:r>
          </w:p>
        </w:tc>
        <w:tc>
          <w:tcPr>
            <w:tcW w:type="dxa" w:w="18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1"/>
                <w:szCs w:val="21"/>
              </w:rPr>
              <w:t xml:space="preserve">$1,569.35</w:t>
            </w:r>
          </w:p>
        </w:tc>
        <w:tc>
          <w:tcPr>
            <w:tcW w:type="dxa" w:w="18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1"/>
                <w:szCs w:val="21"/>
              </w:rPr>
              <w:t xml:space="preserve">$224.32</w:t>
            </w:r>
          </w:p>
        </w:tc>
        <w:tc>
          <w:tcPr>
            <w:tcW w:type="dxa" w:w="19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1"/>
                <w:szCs w:val="21"/>
              </w:rPr>
              <w:t xml:space="preserve">~14.3%</w:t>
            </w:r>
          </w:p>
        </w:tc>
        <w:tc>
          <w:tcPr>
            <w:tcW w:type="dxa" w:w="176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1"/>
                <w:szCs w:val="21"/>
              </w:rPr>
              <w:t xml:space="preserve">0.75</w:t>
            </w:r>
          </w:p>
        </w:tc>
      </w:tr>
      <w:tr>
        <w:tc>
          <w:tcPr>
            <w:tcW w:type="dxa" w:w="2100"/>
            <w:tcBorders>
              <w:top w:val="single" w:color="BFC8D6" w:sz="4"/>
              <w:left w:val="single" w:color="BFC8D6" w:sz="4"/>
              <w:bottom w:val="single" w:color="BFC8D6" w:sz="4"/>
              <w:right w:val="single" w:color="BFC8D6" w:sz="4"/>
            </w:tcBorders>
            <w:shd w:fill="F3F6FB" w:color="auto" w:val="clear"/>
            <w:tcMar>
              <w:top w:type="dxa" w:w="80"/>
              <w:left w:type="dxa" w:w="120"/>
              <w:bottom w:type="dxa" w:w="80"/>
              <w:right w:type="dxa" w:w="120"/>
            </w:tcMar>
          </w:tcPr>
          <w:p>
            <w:r>
              <w:rPr>
                <w:sz w:val="21"/>
                <w:szCs w:val="21"/>
              </w:rPr>
              <w:t xml:space="preserve">Phones</w:t>
            </w:r>
          </w:p>
        </w:tc>
        <w:tc>
          <w:tcPr>
            <w:tcW w:type="dxa" w:w="1800"/>
            <w:tcBorders>
              <w:top w:val="single" w:color="BFC8D6" w:sz="4"/>
              <w:left w:val="single" w:color="BFC8D6" w:sz="4"/>
              <w:bottom w:val="single" w:color="BFC8D6" w:sz="4"/>
              <w:right w:val="single" w:color="BFC8D6" w:sz="4"/>
            </w:tcBorders>
            <w:shd w:fill="F3F6FB" w:color="auto" w:val="clear"/>
            <w:tcMar>
              <w:top w:type="dxa" w:w="80"/>
              <w:left w:type="dxa" w:w="120"/>
              <w:bottom w:type="dxa" w:w="80"/>
              <w:right w:type="dxa" w:w="120"/>
            </w:tcMar>
          </w:tcPr>
          <w:p>
            <w:r>
              <w:rPr>
                <w:sz w:val="21"/>
                <w:szCs w:val="21"/>
              </w:rPr>
              <w:t xml:space="preserve">$2,135.39</w:t>
            </w:r>
          </w:p>
        </w:tc>
        <w:tc>
          <w:tcPr>
            <w:tcW w:type="dxa" w:w="1800"/>
            <w:tcBorders>
              <w:top w:val="single" w:color="BFC8D6" w:sz="4"/>
              <w:left w:val="single" w:color="BFC8D6" w:sz="4"/>
              <w:bottom w:val="single" w:color="BFC8D6" w:sz="4"/>
              <w:right w:val="single" w:color="BFC8D6" w:sz="4"/>
            </w:tcBorders>
            <w:shd w:fill="F3F6FB" w:color="auto" w:val="clear"/>
            <w:tcMar>
              <w:top w:type="dxa" w:w="80"/>
              <w:left w:type="dxa" w:w="120"/>
              <w:bottom w:type="dxa" w:w="80"/>
              <w:right w:type="dxa" w:w="120"/>
            </w:tcMar>
          </w:tcPr>
          <w:p>
            <w:r>
              <w:rPr>
                <w:sz w:val="21"/>
                <w:szCs w:val="21"/>
              </w:rPr>
              <w:t xml:space="preserve">$434.56</w:t>
            </w:r>
          </w:p>
        </w:tc>
        <w:tc>
          <w:tcPr>
            <w:tcW w:type="dxa" w:w="1900"/>
            <w:tcBorders>
              <w:top w:val="single" w:color="BFC8D6" w:sz="4"/>
              <w:left w:val="single" w:color="BFC8D6" w:sz="4"/>
              <w:bottom w:val="single" w:color="BFC8D6" w:sz="4"/>
              <w:right w:val="single" w:color="BFC8D6" w:sz="4"/>
            </w:tcBorders>
            <w:shd w:fill="F3F6FB" w:color="auto" w:val="clear"/>
            <w:tcMar>
              <w:top w:type="dxa" w:w="80"/>
              <w:left w:type="dxa" w:w="120"/>
              <w:bottom w:type="dxa" w:w="80"/>
              <w:right w:type="dxa" w:w="120"/>
            </w:tcMar>
          </w:tcPr>
          <w:p>
            <w:r>
              <w:rPr>
                <w:sz w:val="21"/>
                <w:szCs w:val="21"/>
              </w:rPr>
              <w:t xml:space="preserve">~20.4%</w:t>
            </w:r>
          </w:p>
        </w:tc>
        <w:tc>
          <w:tcPr>
            <w:tcW w:type="dxa" w:w="1760"/>
            <w:tcBorders>
              <w:top w:val="single" w:color="BFC8D6" w:sz="4"/>
              <w:left w:val="single" w:color="BFC8D6" w:sz="4"/>
              <w:bottom w:val="single" w:color="BFC8D6" w:sz="4"/>
              <w:right w:val="single" w:color="BFC8D6" w:sz="4"/>
            </w:tcBorders>
            <w:shd w:fill="F3F6FB" w:color="auto" w:val="clear"/>
            <w:tcMar>
              <w:top w:type="dxa" w:w="80"/>
              <w:left w:type="dxa" w:w="120"/>
              <w:bottom w:type="dxa" w:w="80"/>
              <w:right w:type="dxa" w:w="120"/>
            </w:tcMar>
          </w:tcPr>
          <w:p>
            <w:r>
              <w:rPr>
                <w:sz w:val="21"/>
                <w:szCs w:val="21"/>
              </w:rPr>
              <w:t xml:space="preserve">1.95 (?)</w:t>
            </w:r>
          </w:p>
        </w:tc>
      </w:tr>
    </w:tbl>
    <w:p/>
    <w:p>
      <w:pPr>
        <w:keepNext/>
        <w:spacing w:after="60" w:before="120"/>
        <w:jc w:val="center"/>
      </w:pPr>
      <w:r>
        <w:drawing>
          <wp:inline distT="0" distB="0" distL="0" distR="0">
            <wp:extent cx="4191000" cy="2276475"/>
            <wp:effectExtent t="0" r="0" b="0" l="0"/>
            <wp:docPr id="1" name="Figure 2: Sales vs. profit by sub-category" descr="Figure 2: Sales vs. profit by sub-category" title="Figure 2: Sales vs. profit by sub-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276475"/>
                    </a:xfrm>
                    <a:prstGeom prst="rect">
                      <a:avLst/>
                    </a:prstGeom>
                  </pic:spPr>
                </pic:pic>
              </a:graphicData>
            </a:graphic>
          </wp:inline>
        </w:drawing>
      </w:r>
    </w:p>
    <w:p>
      <w:pPr>
        <w:spacing w:after="160"/>
        <w:jc w:val="center"/>
      </w:pPr>
      <w:r>
        <w:rPr>
          <w:i/>
          <w:iCs/>
          <w:color w:val="5B6B82"/>
          <w:sz w:val="19"/>
          <w:szCs w:val="19"/>
        </w:rPr>
        <w:t xml:space="preserve">Figure 2: Sales vs. profit by sub-category</w:t>
      </w:r>
    </w:p>
    <w:p>
      <w:pPr>
        <w:keepNext/>
        <w:spacing w:after="60" w:before="120"/>
        <w:jc w:val="center"/>
      </w:pPr>
      <w:r>
        <w:drawing>
          <wp:inline distT="0" distB="0" distL="0" distR="0">
            <wp:extent cx="4191000" cy="2276475"/>
            <wp:effectExtent t="0" r="0" b="0" l="0"/>
            <wp:docPr id="1" name="Figure 3: Profit margin and discount by sub-category (*1.95 likely a summed value)" descr="Figure 3: Profit margin and discount by sub-category (*1.95 likely a summed value)" title="Figure 3: Profit margin and discount by sub-category (*1.95 likely a summed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276475"/>
                    </a:xfrm>
                    <a:prstGeom prst="rect">
                      <a:avLst/>
                    </a:prstGeom>
                  </pic:spPr>
                </pic:pic>
              </a:graphicData>
            </a:graphic>
          </wp:inline>
        </w:drawing>
      </w:r>
    </w:p>
    <w:p>
      <w:pPr>
        <w:spacing w:after="160"/>
        <w:jc w:val="center"/>
      </w:pPr>
      <w:r>
        <w:rPr>
          <w:i/>
          <w:iCs/>
          <w:color w:val="5B6B82"/>
          <w:sz w:val="19"/>
          <w:szCs w:val="19"/>
        </w:rPr>
        <w:t xml:space="preserve">Figure 3: Profit margin and discount by sub-category (*1.95 likely a summed value)</w:t>
      </w:r>
    </w:p>
    <w:p>
      <w:pPr>
        <w:spacing w:after="120"/>
      </w:pPr>
      <w:r>
        <w:rPr>
          <w:b/>
          <w:bCs/>
        </w:rPr>
        <w:t xml:space="preserve">What this tells us:</w:t>
      </w:r>
    </w:p>
    <w:p>
      <w:pPr>
        <w:pStyle w:val="ListParagraph"/>
        <w:numPr>
          <w:ilvl w:val="0"/>
          <w:numId w:val="2"/>
        </w:numPr>
        <w:spacing w:after="80"/>
      </w:pPr>
      <w:r>
        <w:rPr>
          <w:b/>
          <w:bCs/>
        </w:rPr>
        <w:t xml:space="preserve">Supplies </w:t>
      </w:r>
      <w:r>
        <w:t xml:space="preserve">has the best margin (~31%) with zero discount. It is the healthiest product line.</w:t>
      </w:r>
    </w:p>
    <w:p>
      <w:pPr>
        <w:pStyle w:val="ListParagraph"/>
        <w:numPr>
          <w:ilvl w:val="0"/>
          <w:numId w:val="2"/>
        </w:numPr>
        <w:spacing w:after="80"/>
      </w:pPr>
      <w:r>
        <w:rPr>
          <w:b/>
          <w:bCs/>
        </w:rPr>
        <w:t xml:space="preserve">Tables </w:t>
      </w:r>
      <w:r>
        <w:t xml:space="preserve">has the weakest margin (~14%). Sales are high ($1,569) but profit is only $224. Its discount is 0.75 (75%), which is very high.</w:t>
      </w:r>
    </w:p>
    <w:p>
      <w:pPr>
        <w:pStyle w:val="ListParagraph"/>
        <w:numPr>
          <w:ilvl w:val="0"/>
          <w:numId w:val="2"/>
        </w:numPr>
        <w:spacing w:after="80"/>
      </w:pPr>
      <w:r>
        <w:rPr>
          <w:b/>
          <w:bCs/>
        </w:rPr>
        <w:t xml:space="preserve">Phones </w:t>
      </w:r>
      <w:r>
        <w:t xml:space="preserve">generates the most sales ($2,135) and the most profit ($434), but the report says profit is "dangerously low" relative to top performers.</w:t>
      </w:r>
    </w:p>
    <w:p>
      <w:pPr>
        <w:pStyle w:val="ListParagraph"/>
        <w:numPr>
          <w:ilvl w:val="0"/>
          <w:numId w:val="2"/>
        </w:numPr>
        <w:spacing w:after="80"/>
      </w:pPr>
      <w:r>
        <w:rPr>
          <w:b/>
          <w:bCs/>
        </w:rPr>
        <w:t xml:space="preserve">Machines </w:t>
      </w:r>
      <w:r>
        <w:t xml:space="preserve">has a good margin (~28%) even with a 0.40 discount, so it earns well despite discounting.</w:t>
      </w:r>
    </w:p>
    <w:p>
      <w:pPr>
        <w:spacing w:after="120" w:before="140"/>
      </w:pPr>
      <w:r>
        <w:rPr>
          <w:b/>
          <w:bCs/>
        </w:rPr>
        <w:t xml:space="preserve">Data caution: </w:t>
      </w:r>
      <w:r>
        <w:t xml:space="preserve">The report shows "1.95" as the discount figure next to Phones, but it appears outside the Phones row in the table. Discounts normally range from 0 to 1 (0%–100%), so 1.95 is most likely a sum of discounts rather than an average. Do not read it as a "195% discount". Please check in the dashboard whether it is a sum or an average.</w:t>
      </w:r>
    </w:p>
    <w:p>
      <w:pPr>
        <w:pStyle w:val="Heading1"/>
      </w:pPr>
      <w:r>
        <w:t xml:space="preserve">3. Customer and Shipping Findings</w:t>
      </w:r>
    </w:p>
    <w:p>
      <w:pPr>
        <w:pStyle w:val="ListParagraph"/>
        <w:numPr>
          <w:ilvl w:val="0"/>
          <w:numId w:val="2"/>
        </w:numPr>
        <w:spacing w:after="80"/>
      </w:pPr>
      <w:r>
        <w:rPr>
          <w:b/>
          <w:bCs/>
        </w:rPr>
        <w:t xml:space="preserve">Customer segment: </w:t>
      </w:r>
      <w:r>
        <w:t xml:space="preserve">Consumer leads at ~44.51%, followed by Corporate and Home Office.</w:t>
      </w:r>
    </w:p>
    <w:p>
      <w:pPr>
        <w:pStyle w:val="ListParagraph"/>
        <w:numPr>
          <w:ilvl w:val="0"/>
          <w:numId w:val="2"/>
        </w:numPr>
        <w:spacing w:after="80"/>
      </w:pPr>
      <w:r>
        <w:rPr>
          <w:b/>
          <w:bCs/>
        </w:rPr>
        <w:t xml:space="preserve">Shipping mode: </w:t>
      </w:r>
      <w:r>
        <w:t xml:space="preserve">Standard Class accounts for 64.65% of sales, nearly two-thirds. The report says its logistics cost is lower.</w:t>
      </w:r>
    </w:p>
    <w:p>
      <w:pPr>
        <w:pStyle w:val="ListParagraph"/>
        <w:numPr>
          <w:ilvl w:val="0"/>
          <w:numId w:val="2"/>
        </w:numPr>
        <w:spacing w:after="80"/>
      </w:pPr>
      <w:r>
        <w:rPr>
          <w:b/>
          <w:bCs/>
        </w:rPr>
        <w:t xml:space="preserve">Geography: </w:t>
      </w:r>
      <w:r>
        <w:t xml:space="preserve">Profit depends on a few core states. The report names Texas as a high-yield zone.</w:t>
      </w:r>
    </w:p>
    <w:p>
      <w:pPr>
        <w:spacing w:after="120" w:before="140"/>
      </w:pPr>
      <w:r>
        <w:rPr>
          <w:b/>
          <w:bCs/>
        </w:rPr>
        <w:t xml:space="preserve">Risk: </w:t>
      </w:r>
      <w:r>
        <w:t xml:space="preserve">If the business relies on a few segments, one shipping mode and a few states, a drop in any one of them could hurt the whole business.</w:t>
      </w:r>
    </w:p>
    <w:p>
      <w:pPr>
        <w:pStyle w:val="Heading1"/>
      </w:pPr>
      <w:r>
        <w:t xml:space="preserve">4. Report Recommendations (in Plain Language)</w:t>
      </w:r>
    </w:p>
    <w:p>
      <w:pPr>
        <w:pStyle w:val="ListParagraph"/>
        <w:numPr>
          <w:ilvl w:val="0"/>
          <w:numId w:val="3"/>
        </w:numPr>
        <w:spacing w:after="80"/>
      </w:pPr>
      <w:r>
        <w:rPr>
          <w:b/>
          <w:bCs/>
        </w:rPr>
        <w:t xml:space="preserve">Discount control: </w:t>
      </w:r>
      <w:r>
        <w:t xml:space="preserve">Require approval for discounts above 15–20% so products like Phones do not lose margin.</w:t>
      </w:r>
    </w:p>
    <w:p>
      <w:pPr>
        <w:pStyle w:val="ListParagraph"/>
        <w:numPr>
          <w:ilvl w:val="0"/>
          <w:numId w:val="3"/>
        </w:numPr>
        <w:spacing w:after="80"/>
      </w:pPr>
      <w:r>
        <w:rPr>
          <w:b/>
          <w:bCs/>
        </w:rPr>
        <w:t xml:space="preserve">Focus on Standard Class: </w:t>
      </w:r>
      <w:r>
        <w:t xml:space="preserve">Plan inventory and marketing around this channel.</w:t>
      </w:r>
    </w:p>
    <w:p>
      <w:pPr>
        <w:pStyle w:val="ListParagraph"/>
        <w:numPr>
          <w:ilvl w:val="0"/>
          <w:numId w:val="3"/>
        </w:numPr>
        <w:spacing w:after="80"/>
      </w:pPr>
      <w:r>
        <w:rPr>
          <w:b/>
          <w:bCs/>
        </w:rPr>
        <w:t xml:space="preserve">Geographic reallocation: </w:t>
      </w:r>
      <w:r>
        <w:t xml:space="preserve">Move promotional budget away from weak states and into strong ones such as Texas.</w:t>
      </w:r>
    </w:p>
    <w:p>
      <w:pPr>
        <w:pStyle w:val="Heading1"/>
      </w:pPr>
      <w:r>
        <w:t xml:space="preserve">5. Honest Assessment</w:t>
      </w:r>
    </w:p>
    <w:p>
      <w:pPr>
        <w:spacing w:after="120"/>
      </w:pPr>
      <w:r>
        <w:rPr>
          <w:b/>
          <w:bCs/>
        </w:rPr>
        <w:t xml:space="preserve">What is good:</w:t>
      </w:r>
    </w:p>
    <w:p>
      <w:pPr>
        <w:pStyle w:val="ListParagraph"/>
        <w:numPr>
          <w:ilvl w:val="0"/>
          <w:numId w:val="2"/>
        </w:numPr>
        <w:spacing w:after="80"/>
      </w:pPr>
      <w:r>
        <w:t xml:space="preserve">The problem is clear (discount vs. profit).</w:t>
      </w:r>
    </w:p>
    <w:p>
      <w:pPr>
        <w:pStyle w:val="ListParagraph"/>
        <w:numPr>
          <w:ilvl w:val="0"/>
          <w:numId w:val="2"/>
        </w:numPr>
        <w:spacing w:after="80"/>
      </w:pPr>
      <w:r>
        <w:t xml:space="preserve">The recommendations are practical and actionable.</w:t>
      </w:r>
    </w:p>
    <w:p>
      <w:pPr>
        <w:pStyle w:val="ListParagraph"/>
        <w:numPr>
          <w:ilvl w:val="0"/>
          <w:numId w:val="2"/>
        </w:numPr>
        <w:spacing w:after="80"/>
      </w:pPr>
      <w:r>
        <w:t xml:space="preserve">The dashboard structure (KPIs top-left, slicers on the right) is well planned.</w:t>
      </w:r>
    </w:p>
    <w:p>
      <w:pPr>
        <w:spacing w:after="120" w:before="140"/>
      </w:pPr>
      <w:r>
        <w:rPr>
          <w:b/>
          <w:bCs/>
        </w:rPr>
        <w:t xml:space="preserve">Gaps and points to watch:</w:t>
      </w:r>
    </w:p>
    <w:p>
      <w:pPr>
        <w:pStyle w:val="ListParagraph"/>
        <w:numPr>
          <w:ilvl w:val="0"/>
          <w:numId w:val="2"/>
        </w:numPr>
        <w:spacing w:after="80"/>
      </w:pPr>
      <w:r>
        <w:rPr>
          <w:b/>
          <w:bCs/>
        </w:rPr>
        <w:t xml:space="preserve">Small dataset: </w:t>
      </w:r>
      <w:r>
        <w:t xml:space="preserve">Total sales are only $22.96K across 528 units. Making big decisions from such a small sample is risky.</w:t>
      </w:r>
    </w:p>
    <w:p>
      <w:pPr>
        <w:pStyle w:val="ListParagraph"/>
        <w:numPr>
          <w:ilvl w:val="0"/>
          <w:numId w:val="2"/>
        </w:numPr>
        <w:spacing w:after="80"/>
      </w:pPr>
      <w:r>
        <w:rPr>
          <w:b/>
          <w:bCs/>
        </w:rPr>
        <w:t xml:space="preserve">Dashboard image missing: </w:t>
      </w:r>
      <w:r>
        <w:t xml:space="preserve">Figure 1.1 in the PDF is broken, so the original charts, trend lines and map could not be analyzed. The analysis uses only the text and tables.</w:t>
      </w:r>
    </w:p>
    <w:p>
      <w:pPr>
        <w:pStyle w:val="ListParagraph"/>
        <w:numPr>
          <w:ilvl w:val="0"/>
          <w:numId w:val="2"/>
        </w:numPr>
        <w:spacing w:after="80"/>
      </w:pPr>
      <w:r>
        <w:rPr>
          <w:b/>
          <w:bCs/>
        </w:rPr>
        <w:t xml:space="preserve">Only 4 sub-categories </w:t>
      </w:r>
      <w:r>
        <w:t xml:space="preserve">are shown, not the full breakdown.</w:t>
      </w:r>
    </w:p>
    <w:p>
      <w:pPr>
        <w:pStyle w:val="ListParagraph"/>
        <w:numPr>
          <w:ilvl w:val="0"/>
          <w:numId w:val="2"/>
        </w:numPr>
        <w:spacing w:after="80"/>
      </w:pPr>
      <w:r>
        <w:rPr>
          <w:b/>
          <w:bCs/>
        </w:rPr>
        <w:t xml:space="preserve">No trend data: </w:t>
      </w:r>
      <w:r>
        <w:t xml:space="preserve">The report covers 2023–2025 but gives no year-wise numbers, so the claimed "margin compression" is not evidenced in this document.</w:t>
      </w:r>
    </w:p>
    <w:p>
      <w:pPr>
        <w:pStyle w:val="ListParagraph"/>
        <w:numPr>
          <w:ilvl w:val="0"/>
          <w:numId w:val="2"/>
        </w:numPr>
        <w:spacing w:after="80"/>
      </w:pPr>
      <w:r>
        <w:rPr>
          <w:b/>
          <w:bCs/>
        </w:rPr>
        <w:t xml:space="preserve">Discount-profit correlation </w:t>
      </w:r>
      <w:r>
        <w:t xml:space="preserve">is not proven with numbers. Tables has the highest discount and lowest margin, which supports the idea, but Phones keeps a ~20% margin despite heavy discounting, so the relationship is not straightforward.</w:t>
      </w:r>
    </w:p>
    <w:p>
      <w:pPr>
        <w:pStyle w:val="ListParagraph"/>
        <w:numPr>
          <w:ilvl w:val="0"/>
          <w:numId w:val="2"/>
        </w:numPr>
        <w:spacing w:after="80"/>
      </w:pPr>
      <w:r>
        <w:rPr>
          <w:b/>
          <w:bCs/>
        </w:rPr>
        <w:t xml:space="preserve">The "15–20% threshold" </w:t>
      </w:r>
      <w:r>
        <w:t xml:space="preserve">is not explained; the report does not say what data it came from.</w:t>
      </w:r>
    </w:p>
    <w:p>
      <w:pPr>
        <w:pStyle w:val="Heading1"/>
      </w:pPr>
      <w:r>
        <w:t xml:space="preserve">6. Next Steps</w:t>
      </w:r>
    </w:p>
    <w:p>
      <w:pPr>
        <w:pStyle w:val="ListParagraph"/>
        <w:numPr>
          <w:ilvl w:val="0"/>
          <w:numId w:val="3"/>
        </w:numPr>
        <w:spacing w:after="80"/>
      </w:pPr>
      <w:r>
        <w:t xml:space="preserve">Share the dashboard screenshot or .pbix file so the charts and trends can be properly analyzed.</w:t>
      </w:r>
    </w:p>
    <w:p>
      <w:pPr>
        <w:pStyle w:val="ListParagraph"/>
        <w:numPr>
          <w:ilvl w:val="0"/>
          <w:numId w:val="3"/>
        </w:numPr>
        <w:spacing w:after="80"/>
      </w:pPr>
      <w:r>
        <w:t xml:space="preserve">Review year-wise and state-wise data to confirm the margin compression.</w:t>
      </w:r>
    </w:p>
    <w:p>
      <w:pPr>
        <w:pStyle w:val="ListParagraph"/>
        <w:numPr>
          <w:ilvl w:val="0"/>
          <w:numId w:val="3"/>
        </w:numPr>
        <w:spacing w:after="80"/>
      </w:pPr>
      <w:r>
        <w:t xml:space="preserve">Compare profit across discount bands (0–10%, 10–20%, 20%+) to find the right discount limit.</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B82F6" w:sz="8" w:space="2"/>
      </w:pBdr>
      <w:spacing w:after="140" w:before="300"/>
      <w:outlineLvl w:val="0"/>
    </w:pPr>
    <w:rPr>
      <w:rFonts w:ascii="Calibri" w:cs="Calibri" w:eastAsia="Calibri" w:hAnsi="Calibri"/>
      <w:b/>
      <w:bCs/>
      <w:color w:val="1E3A8A"/>
      <w:sz w:val="30"/>
      <w:szCs w:val="30"/>
    </w:rPr>
  </w:style>
  <w:style w:type="paragraph" w:styleId="Title">
    <w:name w:val="Title"/>
    <w:basedOn w:val="Normal"/>
    <w:qFormat/>
    <w:pPr>
      <w:spacing w:after="80"/>
    </w:pPr>
    <w:rPr>
      <w:rFonts w:ascii="Calibri" w:cs="Calibri" w:eastAsia="Calibri" w:hAnsi="Calibri"/>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33bb6977580b24ae090c3ec6f9697ee968223a.png"/><Relationship Id="rId8" Type="http://schemas.openxmlformats.org/officeDocument/2006/relationships/image" Target="media/a8c478e8b4cbd69f5686fd87fbe08c3d66b86692.png"/><Relationship Id="rId9" Type="http://schemas.openxmlformats.org/officeDocument/2006/relationships/image" Target="media/08b3b11eb423dfe916e4cd950ac3ba30d58e34a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2026-10-03T11:53:04.812Z</dcterms:created>
  <dcterms:modified xsi:type="dcterms:W3CDTF">2026-10-03T11:53:04.812Z</dcterms:modified>
</cp:coreProperties>
</file>

<file path=docProps/custom.xml><?xml version="1.0" encoding="utf-8"?>
<Properties xmlns="http://schemas.openxmlformats.org/officeDocument/2006/custom-properties" xmlns:vt="http://schemas.openxmlformats.org/officeDocument/2006/docPropsVTypes"/>
</file>