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8168" w14:textId="12CC1B79" w:rsidR="002306B3" w:rsidRDefault="00000000">
      <w:pPr>
        <w:spacing w:after="80"/>
      </w:pPr>
      <w:r>
        <w:rPr>
          <w:b/>
          <w:bCs/>
          <w:color w:val="1E56A0"/>
          <w:sz w:val="48"/>
          <w:szCs w:val="48"/>
        </w:rPr>
        <w:t>Fin</w:t>
      </w:r>
      <w:r w:rsidR="006F2EAE">
        <w:rPr>
          <w:b/>
          <w:bCs/>
          <w:color w:val="1E56A0"/>
          <w:sz w:val="48"/>
          <w:szCs w:val="48"/>
        </w:rPr>
        <w:t xml:space="preserve">ancial </w:t>
      </w:r>
      <w:r>
        <w:rPr>
          <w:b/>
          <w:bCs/>
          <w:color w:val="1E56A0"/>
          <w:sz w:val="48"/>
          <w:szCs w:val="48"/>
        </w:rPr>
        <w:t>Systems Dashboard</w:t>
      </w:r>
    </w:p>
    <w:p w14:paraId="3405218A" w14:textId="77777777" w:rsidR="002306B3" w:rsidRPr="006F2EAE" w:rsidRDefault="00000000">
      <w:pPr>
        <w:spacing w:after="60"/>
        <w:rPr>
          <w:color w:val="000000" w:themeColor="text1"/>
        </w:rPr>
      </w:pPr>
      <w:r w:rsidRPr="006F2EAE">
        <w:rPr>
          <w:color w:val="000000" w:themeColor="text1"/>
          <w:sz w:val="28"/>
          <w:szCs w:val="28"/>
        </w:rPr>
        <w:t>Project Documentation</w:t>
      </w:r>
    </w:p>
    <w:p w14:paraId="43E46BCC" w14:textId="5EA24C73" w:rsidR="002306B3" w:rsidRPr="006F2EAE" w:rsidRDefault="00000000">
      <w:pPr>
        <w:spacing w:after="320"/>
        <w:rPr>
          <w:color w:val="000000" w:themeColor="text1"/>
        </w:rPr>
      </w:pPr>
      <w:r w:rsidRPr="006F2EAE">
        <w:rPr>
          <w:i/>
          <w:iCs/>
          <w:color w:val="000000" w:themeColor="text1"/>
          <w:sz w:val="22"/>
          <w:szCs w:val="22"/>
        </w:rPr>
        <w:t>Prepared as part of application for Financ</w:t>
      </w:r>
      <w:r w:rsidR="006F2EAE">
        <w:rPr>
          <w:i/>
          <w:iCs/>
          <w:color w:val="000000" w:themeColor="text1"/>
          <w:sz w:val="22"/>
          <w:szCs w:val="22"/>
        </w:rPr>
        <w:t>e Analyst</w:t>
      </w:r>
    </w:p>
    <w:p w14:paraId="30C8CE1E" w14:textId="77777777" w:rsidR="002306B3" w:rsidRDefault="00000000">
      <w:pPr>
        <w:pStyle w:val="Heading1"/>
      </w:pPr>
      <w:r>
        <w:rPr>
          <w:color w:val="1E56A0"/>
        </w:rPr>
        <w:t>Overview</w:t>
      </w:r>
    </w:p>
    <w:p w14:paraId="1D981AF6" w14:textId="18BF7FC4" w:rsidR="002306B3" w:rsidRDefault="00000000" w:rsidP="006F2EAE">
      <w:pPr>
        <w:spacing w:after="140"/>
      </w:pPr>
      <w:r>
        <w:rPr>
          <w:color w:val="111827"/>
        </w:rPr>
        <w:t>This document explain</w:t>
      </w:r>
      <w:r w:rsidR="006F2EAE">
        <w:rPr>
          <w:color w:val="111827"/>
        </w:rPr>
        <w:t>s</w:t>
      </w:r>
      <w:r>
        <w:rPr>
          <w:color w:val="111827"/>
        </w:rPr>
        <w:t xml:space="preserve"> the Fin</w:t>
      </w:r>
      <w:r w:rsidR="006F2EAE">
        <w:rPr>
          <w:color w:val="111827"/>
        </w:rPr>
        <w:t xml:space="preserve">ancial </w:t>
      </w:r>
      <w:r>
        <w:rPr>
          <w:color w:val="111827"/>
        </w:rPr>
        <w:t>Systems Dashboard, a web-based financial consolidation and reporting tool I built to demonstrate practical knowledge of enterprise financial systems. The dashboard is organized into six sections, each covering a different area of responsibility that is relevant to the Financial Systems Analyst role. Below is a plain-language walkthrough of what each section does and the type of data it presents.</w:t>
      </w:r>
      <w:r w:rsidR="006F2EAE">
        <w:t xml:space="preserve"> </w:t>
      </w:r>
      <w:r>
        <w:rPr>
          <w:color w:val="111827"/>
        </w:rPr>
        <w:t>The dashboard is built using HTML, CSS, and JavaScript, with Chart.js used for the visual charts. All data is simulated but structured to reflect how a real mid-sized company's financials would look.</w:t>
      </w:r>
    </w:p>
    <w:p w14:paraId="6F4F20A9" w14:textId="5310E658" w:rsidR="002306B3" w:rsidRDefault="00000000">
      <w:pPr>
        <w:pStyle w:val="Heading1"/>
      </w:pPr>
      <w:r>
        <w:rPr>
          <w:color w:val="1E56A0"/>
        </w:rPr>
        <w:t>Section 1</w:t>
      </w:r>
      <w:r w:rsidR="006F2EAE">
        <w:rPr>
          <w:color w:val="1E56A0"/>
        </w:rPr>
        <w:t xml:space="preserve"> </w:t>
      </w:r>
      <w:r>
        <w:rPr>
          <w:color w:val="1E56A0"/>
        </w:rPr>
        <w:t>Consolidated P&amp;L</w:t>
      </w:r>
    </w:p>
    <w:p w14:paraId="49A4F6AB" w14:textId="77777777" w:rsidR="002306B3" w:rsidRDefault="00000000">
      <w:pPr>
        <w:spacing w:after="140"/>
      </w:pPr>
      <w:r>
        <w:rPr>
          <w:color w:val="111827"/>
        </w:rPr>
        <w:t>This is the first thing you see when the dashboard loads. It shows the company's Profit and Loss statement, broken down by division. There are four divisions in this example: Manufacturing, Distribution, Services, and Technology.</w:t>
      </w:r>
    </w:p>
    <w:p w14:paraId="5897E0F3" w14:textId="77777777" w:rsidR="002306B3" w:rsidRPr="006F2EAE" w:rsidRDefault="00000000">
      <w:pPr>
        <w:pStyle w:val="Heading2"/>
        <w:rPr>
          <w:color w:val="000000" w:themeColor="text1"/>
        </w:rPr>
      </w:pPr>
      <w:r w:rsidRPr="006F2EAE">
        <w:rPr>
          <w:color w:val="000000" w:themeColor="text1"/>
        </w:rPr>
        <w:t>KPI Cards</w:t>
      </w:r>
    </w:p>
    <w:p w14:paraId="559DBA85" w14:textId="5FFF758D" w:rsidR="002306B3" w:rsidRPr="006F2EAE" w:rsidRDefault="00000000">
      <w:pPr>
        <w:spacing w:after="140"/>
        <w:rPr>
          <w:color w:val="000000" w:themeColor="text1"/>
        </w:rPr>
      </w:pPr>
      <w:r w:rsidRPr="006F2EAE">
        <w:rPr>
          <w:color w:val="000000" w:themeColor="text1"/>
        </w:rPr>
        <w:t>At the top, four summary cards show the most important numbers at a glance:</w:t>
      </w:r>
    </w:p>
    <w:p w14:paraId="1F095DE7" w14:textId="27EE313B" w:rsidR="002306B3" w:rsidRPr="006F2EAE" w:rsidRDefault="00000000">
      <w:pPr>
        <w:pStyle w:val="ListParagraph"/>
        <w:numPr>
          <w:ilvl w:val="0"/>
          <w:numId w:val="2"/>
        </w:numPr>
        <w:spacing w:after="80"/>
        <w:rPr>
          <w:color w:val="000000" w:themeColor="text1"/>
        </w:rPr>
      </w:pPr>
      <w:r w:rsidRPr="006F2EAE">
        <w:rPr>
          <w:color w:val="000000" w:themeColor="text1"/>
        </w:rPr>
        <w:t>Total Revenue</w:t>
      </w:r>
      <w:r w:rsidR="006F2EAE" w:rsidRPr="006F2EAE">
        <w:rPr>
          <w:color w:val="000000" w:themeColor="text1"/>
        </w:rPr>
        <w:t>:</w:t>
      </w:r>
      <w:r w:rsidRPr="006F2EAE">
        <w:rPr>
          <w:color w:val="000000" w:themeColor="text1"/>
        </w:rPr>
        <w:t xml:space="preserve"> the full amount the company earned ($10M for the full year)</w:t>
      </w:r>
    </w:p>
    <w:p w14:paraId="45643BBD" w14:textId="6C11092D" w:rsidR="002306B3" w:rsidRPr="006F2EAE" w:rsidRDefault="00000000">
      <w:pPr>
        <w:pStyle w:val="ListParagraph"/>
        <w:numPr>
          <w:ilvl w:val="0"/>
          <w:numId w:val="2"/>
        </w:numPr>
        <w:spacing w:after="80"/>
        <w:rPr>
          <w:color w:val="000000" w:themeColor="text1"/>
        </w:rPr>
      </w:pPr>
      <w:r w:rsidRPr="006F2EAE">
        <w:rPr>
          <w:color w:val="000000" w:themeColor="text1"/>
        </w:rPr>
        <w:t>Gross Profit</w:t>
      </w:r>
      <w:r w:rsidR="006F2EAE" w:rsidRPr="006F2EAE">
        <w:rPr>
          <w:color w:val="000000" w:themeColor="text1"/>
        </w:rPr>
        <w:t>:</w:t>
      </w:r>
      <w:r w:rsidRPr="006F2EAE">
        <w:rPr>
          <w:color w:val="000000" w:themeColor="text1"/>
        </w:rPr>
        <w:t xml:space="preserve"> what remains after subtracting the cost of making or delivering the product ($3.8M)</w:t>
      </w:r>
    </w:p>
    <w:p w14:paraId="31548CD1" w14:textId="39212C12" w:rsidR="002306B3" w:rsidRPr="006F2EAE" w:rsidRDefault="00000000">
      <w:pPr>
        <w:pStyle w:val="ListParagraph"/>
        <w:numPr>
          <w:ilvl w:val="0"/>
          <w:numId w:val="2"/>
        </w:numPr>
        <w:spacing w:after="80"/>
        <w:rPr>
          <w:color w:val="000000" w:themeColor="text1"/>
        </w:rPr>
      </w:pPr>
      <w:r w:rsidRPr="006F2EAE">
        <w:rPr>
          <w:color w:val="000000" w:themeColor="text1"/>
        </w:rPr>
        <w:t>EBITDA</w:t>
      </w:r>
      <w:r w:rsidR="006F2EAE" w:rsidRPr="006F2EAE">
        <w:rPr>
          <w:color w:val="000000" w:themeColor="text1"/>
        </w:rPr>
        <w:t>:</w:t>
      </w:r>
      <w:r w:rsidRPr="006F2EAE">
        <w:rPr>
          <w:color w:val="000000" w:themeColor="text1"/>
        </w:rPr>
        <w:t xml:space="preserve"> earnings before interest, tax, depreciation and amortization. A common way to measure operational performance ($2.1M)</w:t>
      </w:r>
    </w:p>
    <w:p w14:paraId="13AAE886" w14:textId="387020FB" w:rsidR="002306B3" w:rsidRPr="006F2EAE" w:rsidRDefault="00000000">
      <w:pPr>
        <w:pStyle w:val="ListParagraph"/>
        <w:numPr>
          <w:ilvl w:val="0"/>
          <w:numId w:val="2"/>
        </w:numPr>
        <w:spacing w:after="80"/>
        <w:rPr>
          <w:color w:val="000000" w:themeColor="text1"/>
        </w:rPr>
      </w:pPr>
      <w:r w:rsidRPr="006F2EAE">
        <w:rPr>
          <w:color w:val="000000" w:themeColor="text1"/>
        </w:rPr>
        <w:t>Net Income</w:t>
      </w:r>
      <w:r w:rsidR="006F2EAE" w:rsidRPr="006F2EAE">
        <w:rPr>
          <w:color w:val="000000" w:themeColor="text1"/>
        </w:rPr>
        <w:t>:</w:t>
      </w:r>
      <w:r w:rsidRPr="006F2EAE">
        <w:rPr>
          <w:color w:val="000000" w:themeColor="text1"/>
        </w:rPr>
        <w:t xml:space="preserve"> the final profit after all expenses, tax and interest are accounted for ($0.9M)</w:t>
      </w:r>
    </w:p>
    <w:p w14:paraId="1EA711CE" w14:textId="77777777" w:rsidR="002306B3" w:rsidRPr="006F2EAE" w:rsidRDefault="00000000">
      <w:pPr>
        <w:spacing w:after="140"/>
        <w:rPr>
          <w:color w:val="000000" w:themeColor="text1"/>
        </w:rPr>
      </w:pPr>
      <w:r w:rsidRPr="006F2EAE">
        <w:rPr>
          <w:color w:val="000000" w:themeColor="text1"/>
        </w:rPr>
        <w:t>Each card also shows whether the number went up or down compared to the previous year, with a green arrow for improvement and red for decline.</w:t>
      </w:r>
    </w:p>
    <w:p w14:paraId="0A62DD5D" w14:textId="77777777" w:rsidR="002306B3" w:rsidRPr="006F2EAE" w:rsidRDefault="00000000">
      <w:pPr>
        <w:pStyle w:val="Heading2"/>
        <w:rPr>
          <w:color w:val="000000" w:themeColor="text1"/>
        </w:rPr>
      </w:pPr>
      <w:r w:rsidRPr="006F2EAE">
        <w:rPr>
          <w:color w:val="000000" w:themeColor="text1"/>
        </w:rPr>
        <w:t>P&amp;L Table</w:t>
      </w:r>
    </w:p>
    <w:p w14:paraId="0DD2DDE1" w14:textId="77777777" w:rsidR="002306B3" w:rsidRDefault="00000000">
      <w:pPr>
        <w:spacing w:after="140"/>
      </w:pPr>
      <w:r>
        <w:rPr>
          <w:color w:val="111827"/>
        </w:rPr>
        <w:t>Below the cards is a detailed table showing each division's Revenue, COGS (Cost of Goods Sold), Gross Profit, EBITDA, Net Income, and a visual margin bar. There is also a row for Intercompany Eliminations. This is an important accounting concept — when one division sells services to another division inside the same company, that transaction can't be counted as real external revenue. The elimination row removes it from the consolidated total.</w:t>
      </w:r>
    </w:p>
    <w:p w14:paraId="6D96B0D7" w14:textId="77777777" w:rsidR="002306B3" w:rsidRPr="006F2EAE" w:rsidRDefault="00000000">
      <w:pPr>
        <w:spacing w:after="140"/>
        <w:rPr>
          <w:color w:val="000000" w:themeColor="text1"/>
        </w:rPr>
      </w:pPr>
      <w:r w:rsidRPr="006F2EAE">
        <w:rPr>
          <w:color w:val="000000" w:themeColor="text1"/>
        </w:rPr>
        <w:lastRenderedPageBreak/>
        <w:t>The toggle buttons at the top right of the table (FY 2025, Q3, Q2, Q1) allow the user to switch between time periods. When clicked, all the numbers in the table update automatically without the page reloading.</w:t>
      </w:r>
    </w:p>
    <w:p w14:paraId="490B1979" w14:textId="77777777" w:rsidR="002306B3" w:rsidRPr="006F2EAE" w:rsidRDefault="00000000">
      <w:pPr>
        <w:pStyle w:val="Heading2"/>
        <w:rPr>
          <w:color w:val="000000" w:themeColor="text1"/>
        </w:rPr>
      </w:pPr>
      <w:r w:rsidRPr="006F2EAE">
        <w:rPr>
          <w:color w:val="000000" w:themeColor="text1"/>
        </w:rPr>
        <w:t>Monthly Revenue Chart</w:t>
      </w:r>
    </w:p>
    <w:p w14:paraId="49DD0A0D" w14:textId="77777777" w:rsidR="002306B3" w:rsidRPr="006F2EAE" w:rsidRDefault="00000000">
      <w:pPr>
        <w:spacing w:after="140"/>
        <w:rPr>
          <w:color w:val="000000" w:themeColor="text1"/>
        </w:rPr>
      </w:pPr>
      <w:r w:rsidRPr="006F2EAE">
        <w:rPr>
          <w:color w:val="000000" w:themeColor="text1"/>
        </w:rPr>
        <w:t>A bar chart shows how revenue was distributed across each month of the year. December is highlighted in a darker blue since it's the peak month. Hovering over any bar shows the exact dollar amount.</w:t>
      </w:r>
    </w:p>
    <w:p w14:paraId="49401EE3" w14:textId="72C446B1" w:rsidR="002306B3" w:rsidRDefault="00000000">
      <w:pPr>
        <w:pStyle w:val="Heading1"/>
      </w:pPr>
      <w:r>
        <w:rPr>
          <w:color w:val="1E56A0"/>
        </w:rPr>
        <w:t>Section 2 Cash Flow</w:t>
      </w:r>
    </w:p>
    <w:p w14:paraId="3BEDBD56" w14:textId="1F1F76C8" w:rsidR="002306B3" w:rsidRDefault="00000000">
      <w:pPr>
        <w:spacing w:after="140"/>
      </w:pPr>
      <w:r>
        <w:rPr>
          <w:color w:val="111827"/>
        </w:rPr>
        <w:t>This section shows how money actually moved in and out of the company during the year. It is different from the P&amp;L</w:t>
      </w:r>
      <w:r w:rsidR="006F2EAE">
        <w:rPr>
          <w:color w:val="111827"/>
        </w:rPr>
        <w:t>:</w:t>
      </w:r>
      <w:r>
        <w:rPr>
          <w:color w:val="111827"/>
        </w:rPr>
        <w:t xml:space="preserve"> the P&amp;L shows revenue and profit on paper, while the cash flow shows real physical money movement.</w:t>
      </w:r>
    </w:p>
    <w:p w14:paraId="2A856209" w14:textId="77777777" w:rsidR="002306B3" w:rsidRPr="006F2EAE" w:rsidRDefault="00000000">
      <w:pPr>
        <w:pStyle w:val="Heading2"/>
        <w:rPr>
          <w:color w:val="000000" w:themeColor="text1"/>
        </w:rPr>
      </w:pPr>
      <w:r w:rsidRPr="006F2EAE">
        <w:rPr>
          <w:color w:val="000000" w:themeColor="text1"/>
        </w:rPr>
        <w:t>KPI Cards</w:t>
      </w:r>
    </w:p>
    <w:p w14:paraId="5A0ECC48" w14:textId="77777777" w:rsidR="002306B3" w:rsidRDefault="00000000">
      <w:pPr>
        <w:spacing w:after="140"/>
      </w:pPr>
      <w:r>
        <w:rPr>
          <w:color w:val="111827"/>
        </w:rPr>
        <w:t>Four summary cards give a quick snapshot: total operating inflows, total operating outflows, free cash flow (what's left after operating and investing activities), and the closing cash balance at year end.</w:t>
      </w:r>
    </w:p>
    <w:p w14:paraId="04BFDE45" w14:textId="77777777" w:rsidR="002306B3" w:rsidRPr="006F2EAE" w:rsidRDefault="00000000">
      <w:pPr>
        <w:pStyle w:val="Heading2"/>
        <w:rPr>
          <w:color w:val="000000" w:themeColor="text1"/>
        </w:rPr>
      </w:pPr>
      <w:r w:rsidRPr="006F2EAE">
        <w:rPr>
          <w:color w:val="000000" w:themeColor="text1"/>
        </w:rPr>
        <w:t>Operating Activities</w:t>
      </w:r>
    </w:p>
    <w:p w14:paraId="4FBEB70F" w14:textId="77777777" w:rsidR="002306B3" w:rsidRPr="006F2EAE" w:rsidRDefault="00000000">
      <w:pPr>
        <w:spacing w:after="140"/>
        <w:rPr>
          <w:color w:val="000000" w:themeColor="text1"/>
        </w:rPr>
      </w:pPr>
      <w:r w:rsidRPr="006F2EAE">
        <w:rPr>
          <w:color w:val="000000" w:themeColor="text1"/>
        </w:rPr>
        <w:t>This card shows day-to-day money movement. Inflows (shown in green) include things like customer receipts, interest received and tax refunds. Outflows (shown in red) include supplier payments, employee wages, tax paid and interest paid. A net row at the bottom shows the overall result of all operating activity.</w:t>
      </w:r>
    </w:p>
    <w:p w14:paraId="6281AAEA" w14:textId="77777777" w:rsidR="002306B3" w:rsidRPr="006F2EAE" w:rsidRDefault="00000000">
      <w:pPr>
        <w:pStyle w:val="Heading2"/>
        <w:rPr>
          <w:color w:val="000000" w:themeColor="text1"/>
        </w:rPr>
      </w:pPr>
      <w:r w:rsidRPr="006F2EAE">
        <w:rPr>
          <w:color w:val="000000" w:themeColor="text1"/>
        </w:rPr>
        <w:t>Investing and Financing Activities</w:t>
      </w:r>
    </w:p>
    <w:p w14:paraId="2386C580" w14:textId="0FC4B4D9" w:rsidR="002306B3" w:rsidRPr="006F2EAE" w:rsidRDefault="00000000">
      <w:pPr>
        <w:spacing w:after="140"/>
        <w:rPr>
          <w:color w:val="000000" w:themeColor="text1"/>
        </w:rPr>
      </w:pPr>
      <w:r w:rsidRPr="006F2EAE">
        <w:rPr>
          <w:color w:val="000000" w:themeColor="text1"/>
        </w:rPr>
        <w:t xml:space="preserve">The second card is split into two parts. Investing shows money spent on long-term assets </w:t>
      </w:r>
      <w:r w:rsidR="006F2EAE" w:rsidRPr="006F2EAE">
        <w:rPr>
          <w:color w:val="000000" w:themeColor="text1"/>
        </w:rPr>
        <w:t>(</w:t>
      </w:r>
      <w:r w:rsidRPr="006F2EAE">
        <w:rPr>
          <w:color w:val="000000" w:themeColor="text1"/>
        </w:rPr>
        <w:t>like capital expenditure and acquisitions</w:t>
      </w:r>
      <w:r w:rsidR="006F2EAE" w:rsidRPr="006F2EAE">
        <w:rPr>
          <w:color w:val="000000" w:themeColor="text1"/>
        </w:rPr>
        <w:t>)</w:t>
      </w:r>
      <w:r w:rsidRPr="006F2EAE">
        <w:rPr>
          <w:color w:val="000000" w:themeColor="text1"/>
        </w:rPr>
        <w:t xml:space="preserve"> as well as any cash received from selling assets. Financing shows money raised from or repaid to lenders, and dividends paid to shareholders.</w:t>
      </w:r>
    </w:p>
    <w:p w14:paraId="045387F6" w14:textId="77777777" w:rsidR="002306B3" w:rsidRPr="006F2EAE" w:rsidRDefault="00000000">
      <w:pPr>
        <w:pStyle w:val="Heading2"/>
        <w:rPr>
          <w:color w:val="000000" w:themeColor="text1"/>
        </w:rPr>
      </w:pPr>
      <w:r w:rsidRPr="006F2EAE">
        <w:rPr>
          <w:color w:val="000000" w:themeColor="text1"/>
        </w:rPr>
        <w:t>Monthly Cash Balance Chart</w:t>
      </w:r>
    </w:p>
    <w:p w14:paraId="13938E49" w14:textId="77777777" w:rsidR="002306B3" w:rsidRDefault="00000000">
      <w:pPr>
        <w:spacing w:after="140"/>
      </w:pPr>
      <w:r>
        <w:rPr>
          <w:color w:val="111827"/>
        </w:rPr>
        <w:t>A line chart shows how the company's cash balance changed throughout the year. The upward trend indicates the company was generating and retaining cash over the period.</w:t>
      </w:r>
    </w:p>
    <w:p w14:paraId="35278342" w14:textId="3A37D1F2" w:rsidR="002306B3" w:rsidRDefault="00000000">
      <w:pPr>
        <w:pStyle w:val="Heading1"/>
      </w:pPr>
      <w:r>
        <w:rPr>
          <w:color w:val="1E56A0"/>
        </w:rPr>
        <w:t>Section 3 Budget vs Actual</w:t>
      </w:r>
    </w:p>
    <w:p w14:paraId="47E3521E" w14:textId="77777777" w:rsidR="002306B3" w:rsidRDefault="00000000">
      <w:pPr>
        <w:spacing w:after="140"/>
      </w:pPr>
      <w:r>
        <w:rPr>
          <w:color w:val="111827"/>
        </w:rPr>
        <w:t>This section compares what the company planned to earn (budget) against what it actually achieved (actual). This type of analysis is very common in finance teams and is used to understand where the business over or underperformed.</w:t>
      </w:r>
    </w:p>
    <w:p w14:paraId="76D22C40" w14:textId="77777777" w:rsidR="002306B3" w:rsidRPr="006F2EAE" w:rsidRDefault="00000000">
      <w:pPr>
        <w:pStyle w:val="Heading2"/>
        <w:rPr>
          <w:color w:val="000000" w:themeColor="text1"/>
        </w:rPr>
      </w:pPr>
      <w:r w:rsidRPr="006F2EAE">
        <w:rPr>
          <w:color w:val="000000" w:themeColor="text1"/>
        </w:rPr>
        <w:t>KPI Cards</w:t>
      </w:r>
    </w:p>
    <w:p w14:paraId="77F88DE8" w14:textId="77777777" w:rsidR="002306B3" w:rsidRPr="006F2EAE" w:rsidRDefault="00000000">
      <w:pPr>
        <w:spacing w:after="140"/>
        <w:rPr>
          <w:color w:val="000000" w:themeColor="text1"/>
        </w:rPr>
      </w:pPr>
      <w:r w:rsidRPr="006F2EAE">
        <w:rPr>
          <w:color w:val="000000" w:themeColor="text1"/>
        </w:rPr>
        <w:lastRenderedPageBreak/>
        <w:t>The four cards shows variances for Revenue, COGS, OpEx (operating expenses), and Net Income. A positive variance means the result was better than planned, and a negative variance means it was worse.</w:t>
      </w:r>
    </w:p>
    <w:p w14:paraId="1568E476" w14:textId="77777777" w:rsidR="002306B3" w:rsidRPr="006F2EAE" w:rsidRDefault="00000000">
      <w:pPr>
        <w:pStyle w:val="Heading2"/>
        <w:rPr>
          <w:color w:val="000000" w:themeColor="text1"/>
        </w:rPr>
      </w:pPr>
      <w:r w:rsidRPr="006F2EAE">
        <w:rPr>
          <w:color w:val="000000" w:themeColor="text1"/>
        </w:rPr>
        <w:t>Variance Table</w:t>
      </w:r>
    </w:p>
    <w:p w14:paraId="74113AFC" w14:textId="77777777" w:rsidR="002306B3" w:rsidRPr="006F2EAE" w:rsidRDefault="00000000">
      <w:pPr>
        <w:spacing w:after="140"/>
        <w:rPr>
          <w:color w:val="000000" w:themeColor="text1"/>
        </w:rPr>
      </w:pPr>
      <w:r w:rsidRPr="006F2EAE">
        <w:rPr>
          <w:color w:val="000000" w:themeColor="text1"/>
        </w:rPr>
        <w:t>The table shows budget vs actual numbers for each division, along with the dollar difference and percentage difference. Favorable results are shown in green and unfavorable in red. A status badge on the right quickly indicates whether each division was on target, favorable, or unfavorable.</w:t>
      </w:r>
    </w:p>
    <w:p w14:paraId="5410D79F" w14:textId="77777777" w:rsidR="002306B3" w:rsidRPr="006F2EAE" w:rsidRDefault="00000000">
      <w:pPr>
        <w:pStyle w:val="Heading2"/>
        <w:rPr>
          <w:color w:val="000000" w:themeColor="text1"/>
        </w:rPr>
      </w:pPr>
      <w:r w:rsidRPr="006F2EAE">
        <w:rPr>
          <w:color w:val="000000" w:themeColor="text1"/>
        </w:rPr>
        <w:t>Budget vs Actual Chart</w:t>
      </w:r>
    </w:p>
    <w:p w14:paraId="252CD531" w14:textId="77777777" w:rsidR="002306B3" w:rsidRDefault="00000000">
      <w:pPr>
        <w:spacing w:after="140"/>
      </w:pPr>
      <w:r w:rsidRPr="006F2EAE">
        <w:rPr>
          <w:color w:val="000000" w:themeColor="text1"/>
        </w:rPr>
        <w:t xml:space="preserve">A grouped bar chart shows </w:t>
      </w:r>
      <w:r>
        <w:rPr>
          <w:color w:val="111827"/>
        </w:rPr>
        <w:t>budget and actual side by side for each month. The grey bars represent the budget and the blue bars represent actual results. This makes it easy to see at a glance which months the company outperformed or underperformed their plan.</w:t>
      </w:r>
    </w:p>
    <w:p w14:paraId="21333D6C" w14:textId="54416C10" w:rsidR="002306B3" w:rsidRDefault="00000000">
      <w:pPr>
        <w:pStyle w:val="Heading1"/>
      </w:pPr>
      <w:r>
        <w:rPr>
          <w:color w:val="1E56A0"/>
        </w:rPr>
        <w:t>Section 4 Data Pipeline</w:t>
      </w:r>
    </w:p>
    <w:p w14:paraId="45C818AC" w14:textId="77777777" w:rsidR="002306B3" w:rsidRDefault="00000000">
      <w:pPr>
        <w:spacing w:after="140"/>
      </w:pPr>
      <w:r>
        <w:rPr>
          <w:color w:val="111827"/>
        </w:rPr>
        <w:t>This section simulates the automated process that moves financial data from the source system (Great Plains, which is the company's accounting software) into OneStream, which is the consolidation platform. This type of pipeline is what runs every month during the financial close process.</w:t>
      </w:r>
    </w:p>
    <w:p w14:paraId="2867606B" w14:textId="77777777" w:rsidR="002306B3" w:rsidRPr="006F2EAE" w:rsidRDefault="00000000">
      <w:pPr>
        <w:pStyle w:val="Heading2"/>
        <w:rPr>
          <w:color w:val="000000" w:themeColor="text1"/>
        </w:rPr>
      </w:pPr>
      <w:r w:rsidRPr="006F2EAE">
        <w:rPr>
          <w:color w:val="000000" w:themeColor="text1"/>
        </w:rPr>
        <w:t>Pipeline Steps</w:t>
      </w:r>
    </w:p>
    <w:p w14:paraId="20EAABDC" w14:textId="77777777" w:rsidR="002306B3" w:rsidRPr="006F2EAE" w:rsidRDefault="00000000">
      <w:pPr>
        <w:spacing w:after="140"/>
        <w:rPr>
          <w:color w:val="000000" w:themeColor="text1"/>
        </w:rPr>
      </w:pPr>
      <w:r w:rsidRPr="006F2EAE">
        <w:rPr>
          <w:color w:val="000000" w:themeColor="text1"/>
        </w:rPr>
        <w:t>Five steps are displayed in sequence, each with a numbered badge and a status indicator:</w:t>
      </w:r>
    </w:p>
    <w:p w14:paraId="65CFD93B" w14:textId="7B2DCA77" w:rsidR="002306B3" w:rsidRPr="006F2EAE" w:rsidRDefault="00000000">
      <w:pPr>
        <w:pStyle w:val="ListParagraph"/>
        <w:numPr>
          <w:ilvl w:val="0"/>
          <w:numId w:val="2"/>
        </w:numPr>
        <w:spacing w:after="80"/>
        <w:rPr>
          <w:color w:val="000000" w:themeColor="text1"/>
        </w:rPr>
      </w:pPr>
      <w:r w:rsidRPr="006F2EAE">
        <w:rPr>
          <w:color w:val="000000" w:themeColor="text1"/>
        </w:rPr>
        <w:t>Extract</w:t>
      </w:r>
      <w:r w:rsidR="006F2EAE" w:rsidRPr="006F2EAE">
        <w:rPr>
          <w:color w:val="000000" w:themeColor="text1"/>
        </w:rPr>
        <w:t>:</w:t>
      </w:r>
      <w:r w:rsidRPr="006F2EAE">
        <w:rPr>
          <w:color w:val="000000" w:themeColor="text1"/>
        </w:rPr>
        <w:t xml:space="preserve"> pulls the trial balance data from the Great Plains SQL database (1,248 rows across 4 divisions)</w:t>
      </w:r>
    </w:p>
    <w:p w14:paraId="71CDA31E" w14:textId="34267186" w:rsidR="002306B3" w:rsidRPr="006F2EAE" w:rsidRDefault="00000000">
      <w:pPr>
        <w:pStyle w:val="ListParagraph"/>
        <w:numPr>
          <w:ilvl w:val="0"/>
          <w:numId w:val="2"/>
        </w:numPr>
        <w:spacing w:after="80"/>
        <w:rPr>
          <w:color w:val="000000" w:themeColor="text1"/>
        </w:rPr>
      </w:pPr>
      <w:r w:rsidRPr="006F2EAE">
        <w:rPr>
          <w:color w:val="000000" w:themeColor="text1"/>
        </w:rPr>
        <w:t>Transform</w:t>
      </w:r>
      <w:r w:rsidR="006F2EAE" w:rsidRPr="006F2EAE">
        <w:rPr>
          <w:color w:val="000000" w:themeColor="text1"/>
        </w:rPr>
        <w:t>:</w:t>
      </w:r>
      <w:r w:rsidRPr="006F2EAE">
        <w:rPr>
          <w:color w:val="000000" w:themeColor="text1"/>
        </w:rPr>
        <w:t xml:space="preserve"> applies account mapping rules to convert the raw GL codes into the format OneStream expects</w:t>
      </w:r>
    </w:p>
    <w:p w14:paraId="78F7AB4F" w14:textId="624B1664" w:rsidR="002306B3" w:rsidRPr="006F2EAE" w:rsidRDefault="00000000">
      <w:pPr>
        <w:pStyle w:val="ListParagraph"/>
        <w:numPr>
          <w:ilvl w:val="0"/>
          <w:numId w:val="2"/>
        </w:numPr>
        <w:spacing w:after="80"/>
        <w:rPr>
          <w:color w:val="000000" w:themeColor="text1"/>
        </w:rPr>
      </w:pPr>
      <w:r w:rsidRPr="006F2EAE">
        <w:rPr>
          <w:color w:val="000000" w:themeColor="text1"/>
        </w:rPr>
        <w:t>Validate</w:t>
      </w:r>
      <w:r w:rsidR="006F2EAE" w:rsidRPr="006F2EAE">
        <w:rPr>
          <w:color w:val="000000" w:themeColor="text1"/>
        </w:rPr>
        <w:t>:</w:t>
      </w:r>
      <w:r w:rsidRPr="006F2EAE">
        <w:rPr>
          <w:color w:val="000000" w:themeColor="text1"/>
        </w:rPr>
        <w:t xml:space="preserve"> checks that debits equal credits and flags any anomalies against prior period thresholds</w:t>
      </w:r>
    </w:p>
    <w:p w14:paraId="5073E7D0" w14:textId="3041481C" w:rsidR="002306B3" w:rsidRPr="006F2EAE" w:rsidRDefault="00000000">
      <w:pPr>
        <w:pStyle w:val="ListParagraph"/>
        <w:numPr>
          <w:ilvl w:val="0"/>
          <w:numId w:val="2"/>
        </w:numPr>
        <w:spacing w:after="80"/>
        <w:rPr>
          <w:color w:val="000000" w:themeColor="text1"/>
        </w:rPr>
      </w:pPr>
      <w:r w:rsidRPr="006F2EAE">
        <w:rPr>
          <w:color w:val="000000" w:themeColor="text1"/>
        </w:rPr>
        <w:t>Load</w:t>
      </w:r>
      <w:r w:rsidR="006F2EAE" w:rsidRPr="006F2EAE">
        <w:rPr>
          <w:color w:val="000000" w:themeColor="text1"/>
        </w:rPr>
        <w:t>:</w:t>
      </w:r>
      <w:r w:rsidRPr="006F2EAE">
        <w:rPr>
          <w:color w:val="000000" w:themeColor="text1"/>
        </w:rPr>
        <w:t xml:space="preserve"> pushes the cleaned data into OneStream via a REST API call</w:t>
      </w:r>
    </w:p>
    <w:p w14:paraId="099108FB" w14:textId="0E791468" w:rsidR="002306B3" w:rsidRPr="006F2EAE" w:rsidRDefault="00000000">
      <w:pPr>
        <w:pStyle w:val="ListParagraph"/>
        <w:numPr>
          <w:ilvl w:val="0"/>
          <w:numId w:val="2"/>
        </w:numPr>
        <w:spacing w:after="80"/>
        <w:rPr>
          <w:color w:val="000000" w:themeColor="text1"/>
        </w:rPr>
      </w:pPr>
      <w:r w:rsidRPr="006F2EAE">
        <w:rPr>
          <w:color w:val="000000" w:themeColor="text1"/>
        </w:rPr>
        <w:t>Notify</w:t>
      </w:r>
      <w:r w:rsidR="006F2EAE" w:rsidRPr="006F2EAE">
        <w:rPr>
          <w:color w:val="000000" w:themeColor="text1"/>
        </w:rPr>
        <w:t>:</w:t>
      </w:r>
      <w:r w:rsidRPr="006F2EAE">
        <w:rPr>
          <w:color w:val="000000" w:themeColor="text1"/>
        </w:rPr>
        <w:t xml:space="preserve"> sends a close completion email to 12 recipients confirming the pipeline finished</w:t>
      </w:r>
    </w:p>
    <w:p w14:paraId="1C1246AC" w14:textId="3C76008D" w:rsidR="002306B3" w:rsidRPr="006F2EAE" w:rsidRDefault="00000000">
      <w:pPr>
        <w:spacing w:after="140"/>
        <w:rPr>
          <w:color w:val="000000" w:themeColor="text1"/>
        </w:rPr>
      </w:pPr>
      <w:r w:rsidRPr="006F2EAE">
        <w:rPr>
          <w:color w:val="000000" w:themeColor="text1"/>
        </w:rPr>
        <w:t>In this example, step 3 shows a warning badge because two validation issues were flagged. These kind</w:t>
      </w:r>
      <w:r w:rsidR="006F2EAE" w:rsidRPr="006F2EAE">
        <w:rPr>
          <w:color w:val="000000" w:themeColor="text1"/>
        </w:rPr>
        <w:t>s</w:t>
      </w:r>
      <w:r w:rsidRPr="006F2EAE">
        <w:rPr>
          <w:color w:val="000000" w:themeColor="text1"/>
        </w:rPr>
        <w:t xml:space="preserve"> of warnings would be reviewed manually before the data is approved for reporting.</w:t>
      </w:r>
    </w:p>
    <w:p w14:paraId="042E04E3" w14:textId="77777777" w:rsidR="002306B3" w:rsidRPr="006F2EAE" w:rsidRDefault="00000000">
      <w:pPr>
        <w:pStyle w:val="Heading2"/>
        <w:rPr>
          <w:color w:val="000000" w:themeColor="text1"/>
        </w:rPr>
      </w:pPr>
      <w:r w:rsidRPr="006F2EAE">
        <w:rPr>
          <w:color w:val="000000" w:themeColor="text1"/>
        </w:rPr>
        <w:t>Integration Health</w:t>
      </w:r>
    </w:p>
    <w:p w14:paraId="747E281E" w14:textId="1FA738F8" w:rsidR="002306B3" w:rsidRPr="006F2EAE" w:rsidRDefault="00000000">
      <w:pPr>
        <w:spacing w:after="140"/>
        <w:rPr>
          <w:color w:val="000000" w:themeColor="text1"/>
        </w:rPr>
      </w:pPr>
      <w:r w:rsidRPr="006F2EAE">
        <w:rPr>
          <w:color w:val="000000" w:themeColor="text1"/>
        </w:rPr>
        <w:t>Progress bars on the right shows the reliability of each system connection</w:t>
      </w:r>
      <w:r w:rsidR="006F2EAE" w:rsidRPr="006F2EAE">
        <w:rPr>
          <w:color w:val="000000" w:themeColor="text1"/>
        </w:rPr>
        <w:t>:</w:t>
      </w:r>
      <w:r w:rsidRPr="006F2EAE">
        <w:rPr>
          <w:color w:val="000000" w:themeColor="text1"/>
        </w:rPr>
        <w:t xml:space="preserve"> Great Plains, Enablon, Concur and Finario. Most are at 94-100%, with Concur showing 81% which would indicate a recurring connectivity or data quality issue that need to be investigated.</w:t>
      </w:r>
    </w:p>
    <w:p w14:paraId="26D5F4D2" w14:textId="77777777" w:rsidR="002306B3" w:rsidRPr="006F2EAE" w:rsidRDefault="00000000">
      <w:pPr>
        <w:pStyle w:val="Heading2"/>
        <w:rPr>
          <w:color w:val="000000" w:themeColor="text1"/>
        </w:rPr>
      </w:pPr>
      <w:r w:rsidRPr="006F2EAE">
        <w:rPr>
          <w:color w:val="000000" w:themeColor="text1"/>
        </w:rPr>
        <w:lastRenderedPageBreak/>
        <w:t>Automation Log</w:t>
      </w:r>
    </w:p>
    <w:p w14:paraId="791DE1BF" w14:textId="77777777" w:rsidR="002306B3" w:rsidRDefault="00000000">
      <w:pPr>
        <w:spacing w:after="140"/>
      </w:pPr>
      <w:r>
        <w:rPr>
          <w:color w:val="111827"/>
        </w:rPr>
        <w:t>A terminal-style log shows the pipeline running line by line, with timestamps for each step. Green lines indicate successful steps, blue lines are informational messages, and yellow lines are warnings. This is similar to what you would see when running an ETL script in Python and watching the output in your terminal.</w:t>
      </w:r>
    </w:p>
    <w:p w14:paraId="29DFA7AD" w14:textId="47598887" w:rsidR="002306B3" w:rsidRDefault="00000000">
      <w:pPr>
        <w:pStyle w:val="Heading1"/>
      </w:pPr>
      <w:r>
        <w:rPr>
          <w:color w:val="1E56A0"/>
        </w:rPr>
        <w:t>Section 5 Close Status</w:t>
      </w:r>
    </w:p>
    <w:p w14:paraId="04305AD6" w14:textId="77777777" w:rsidR="002306B3" w:rsidRDefault="00000000">
      <w:pPr>
        <w:spacing w:after="140"/>
      </w:pPr>
      <w:r>
        <w:rPr>
          <w:color w:val="111827"/>
        </w:rPr>
        <w:t>Every month, the finance team goes through a structured checklist to officially close the books. This section shows that checklist for the December 2025 close.</w:t>
      </w:r>
    </w:p>
    <w:p w14:paraId="4E19860E" w14:textId="77777777" w:rsidR="002306B3" w:rsidRDefault="00000000">
      <w:pPr>
        <w:spacing w:after="140"/>
      </w:pPr>
      <w:r>
        <w:rPr>
          <w:color w:val="111827"/>
        </w:rPr>
        <w:t>The table lists each task, who owns it, which system it involves, the due date, and a status badge. In this example, 7 out of 8 tasks are complete. The Concur expense allocation is still in review, and the board reporting package is scheduled for a future date.</w:t>
      </w:r>
    </w:p>
    <w:p w14:paraId="399C9F54" w14:textId="0A17571F" w:rsidR="006F2EAE" w:rsidRPr="006F2EAE" w:rsidRDefault="00000000" w:rsidP="006F2EAE">
      <w:pPr>
        <w:spacing w:after="140"/>
        <w:rPr>
          <w:color w:val="111827"/>
        </w:rPr>
      </w:pPr>
      <w:r>
        <w:rPr>
          <w:color w:val="111827"/>
        </w:rPr>
        <w:t>This kind of workflow visibility is important in a SOX-compliant environment because every step needs to be tracked and signed off. It also helps the finance systems team prioritize support during busy close periods. Every one of these actions would be logged and reviewable in a real audit.</w:t>
      </w:r>
    </w:p>
    <w:p w14:paraId="395C6FD5" w14:textId="77777777" w:rsidR="006F2EAE" w:rsidRDefault="006F2EAE" w:rsidP="006F2EAE">
      <w:pPr>
        <w:spacing w:after="140"/>
      </w:pPr>
    </w:p>
    <w:p w14:paraId="0E9B9DB2" w14:textId="78C51BF5" w:rsidR="002306B3" w:rsidRPr="006F2EAE" w:rsidRDefault="00000000">
      <w:pPr>
        <w:spacing w:after="140"/>
        <w:rPr>
          <w:b/>
          <w:bCs/>
        </w:rPr>
      </w:pPr>
      <w:r w:rsidRPr="006F2EAE">
        <w:rPr>
          <w:b/>
          <w:bCs/>
          <w:color w:val="111827"/>
        </w:rPr>
        <w:t>This dashboard was built</w:t>
      </w:r>
      <w:r w:rsidR="006F2EAE" w:rsidRPr="006F2EAE">
        <w:rPr>
          <w:b/>
          <w:bCs/>
          <w:color w:val="111827"/>
        </w:rPr>
        <w:t xml:space="preserve"> </w:t>
      </w:r>
      <w:r w:rsidRPr="006F2EAE">
        <w:rPr>
          <w:b/>
          <w:bCs/>
          <w:color w:val="111827"/>
        </w:rPr>
        <w:t xml:space="preserve">by myself </w:t>
      </w:r>
      <w:r w:rsidR="006F2EAE" w:rsidRPr="006F2EAE">
        <w:rPr>
          <w:b/>
          <w:bCs/>
          <w:color w:val="111827"/>
        </w:rPr>
        <w:t xml:space="preserve">with the assistance of AI tools </w:t>
      </w:r>
      <w:r w:rsidRPr="006F2EAE">
        <w:rPr>
          <w:b/>
          <w:bCs/>
          <w:color w:val="111827"/>
        </w:rPr>
        <w:t>as a way to demonstrate understanding of the systems and responsibilities described in the job description. Each section maps directly to one or more of the listed responsibilities</w:t>
      </w:r>
      <w:r w:rsidR="006F2EAE" w:rsidRPr="006F2EAE">
        <w:rPr>
          <w:b/>
          <w:bCs/>
          <w:color w:val="111827"/>
        </w:rPr>
        <w:t>:</w:t>
      </w:r>
      <w:r w:rsidRPr="006F2EAE">
        <w:rPr>
          <w:b/>
          <w:bCs/>
          <w:color w:val="111827"/>
        </w:rPr>
        <w:t xml:space="preserve"> from consolidation and reporting, to data pipelines, close workflows, and access governance.</w:t>
      </w:r>
      <w:r w:rsidR="006F2EAE" w:rsidRPr="006F2EAE">
        <w:rPr>
          <w:b/>
          <w:bCs/>
        </w:rPr>
        <w:t xml:space="preserve"> </w:t>
      </w:r>
      <w:r w:rsidRPr="006F2EAE">
        <w:rPr>
          <w:b/>
          <w:bCs/>
          <w:color w:val="111827"/>
        </w:rPr>
        <w:t>The project is live and accessible via GitHub Pages. I am happy to walk through any part of it in more detail during an interview.</w:t>
      </w:r>
    </w:p>
    <w:p w14:paraId="02FD60E7" w14:textId="77777777" w:rsidR="002306B3" w:rsidRDefault="002306B3"/>
    <w:sectPr w:rsidR="002306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76B14"/>
    <w:multiLevelType w:val="hybridMultilevel"/>
    <w:tmpl w:val="C3DE9690"/>
    <w:lvl w:ilvl="0" w:tplc="AF30460A">
      <w:start w:val="1"/>
      <w:numFmt w:val="bullet"/>
      <w:lvlText w:val="●"/>
      <w:lvlJc w:val="left"/>
      <w:pPr>
        <w:ind w:left="720" w:hanging="360"/>
      </w:pPr>
    </w:lvl>
    <w:lvl w:ilvl="1" w:tplc="3C5C1B50">
      <w:start w:val="1"/>
      <w:numFmt w:val="bullet"/>
      <w:lvlText w:val="○"/>
      <w:lvlJc w:val="left"/>
      <w:pPr>
        <w:ind w:left="1440" w:hanging="360"/>
      </w:pPr>
    </w:lvl>
    <w:lvl w:ilvl="2" w:tplc="56FC79F8">
      <w:start w:val="1"/>
      <w:numFmt w:val="bullet"/>
      <w:lvlText w:val="■"/>
      <w:lvlJc w:val="left"/>
      <w:pPr>
        <w:ind w:left="2160" w:hanging="360"/>
      </w:pPr>
    </w:lvl>
    <w:lvl w:ilvl="3" w:tplc="BDE44608">
      <w:start w:val="1"/>
      <w:numFmt w:val="bullet"/>
      <w:lvlText w:val="●"/>
      <w:lvlJc w:val="left"/>
      <w:pPr>
        <w:ind w:left="2880" w:hanging="360"/>
      </w:pPr>
    </w:lvl>
    <w:lvl w:ilvl="4" w:tplc="EFC02CC4">
      <w:start w:val="1"/>
      <w:numFmt w:val="bullet"/>
      <w:lvlText w:val="○"/>
      <w:lvlJc w:val="left"/>
      <w:pPr>
        <w:ind w:left="3600" w:hanging="360"/>
      </w:pPr>
    </w:lvl>
    <w:lvl w:ilvl="5" w:tplc="E95E5FE6">
      <w:start w:val="1"/>
      <w:numFmt w:val="bullet"/>
      <w:lvlText w:val="■"/>
      <w:lvlJc w:val="left"/>
      <w:pPr>
        <w:ind w:left="4320" w:hanging="360"/>
      </w:pPr>
    </w:lvl>
    <w:lvl w:ilvl="6" w:tplc="8D0EF2AC">
      <w:start w:val="1"/>
      <w:numFmt w:val="bullet"/>
      <w:lvlText w:val="●"/>
      <w:lvlJc w:val="left"/>
      <w:pPr>
        <w:ind w:left="5040" w:hanging="360"/>
      </w:pPr>
    </w:lvl>
    <w:lvl w:ilvl="7" w:tplc="761A2EBA">
      <w:start w:val="1"/>
      <w:numFmt w:val="bullet"/>
      <w:lvlText w:val="●"/>
      <w:lvlJc w:val="left"/>
      <w:pPr>
        <w:ind w:left="5760" w:hanging="360"/>
      </w:pPr>
    </w:lvl>
    <w:lvl w:ilvl="8" w:tplc="FC366D12">
      <w:start w:val="1"/>
      <w:numFmt w:val="bullet"/>
      <w:lvlText w:val="●"/>
      <w:lvlJc w:val="left"/>
      <w:pPr>
        <w:ind w:left="6480" w:hanging="360"/>
      </w:pPr>
    </w:lvl>
  </w:abstractNum>
  <w:abstractNum w:abstractNumId="1" w15:restartNumberingAfterBreak="0">
    <w:nsid w:val="68D63A06"/>
    <w:multiLevelType w:val="hybridMultilevel"/>
    <w:tmpl w:val="8EEA429C"/>
    <w:lvl w:ilvl="0" w:tplc="CC00DA36">
      <w:start w:val="1"/>
      <w:numFmt w:val="bullet"/>
      <w:lvlText w:val="•"/>
      <w:lvlJc w:val="left"/>
      <w:pPr>
        <w:ind w:left="720" w:hanging="360"/>
      </w:pPr>
    </w:lvl>
    <w:lvl w:ilvl="1" w:tplc="F52053C2">
      <w:numFmt w:val="decimal"/>
      <w:lvlText w:val=""/>
      <w:lvlJc w:val="left"/>
    </w:lvl>
    <w:lvl w:ilvl="2" w:tplc="BECC0C2C">
      <w:numFmt w:val="decimal"/>
      <w:lvlText w:val=""/>
      <w:lvlJc w:val="left"/>
    </w:lvl>
    <w:lvl w:ilvl="3" w:tplc="33CA3466">
      <w:numFmt w:val="decimal"/>
      <w:lvlText w:val=""/>
      <w:lvlJc w:val="left"/>
    </w:lvl>
    <w:lvl w:ilvl="4" w:tplc="B3FEAFF8">
      <w:numFmt w:val="decimal"/>
      <w:lvlText w:val=""/>
      <w:lvlJc w:val="left"/>
    </w:lvl>
    <w:lvl w:ilvl="5" w:tplc="67E88FB0">
      <w:numFmt w:val="decimal"/>
      <w:lvlText w:val=""/>
      <w:lvlJc w:val="left"/>
    </w:lvl>
    <w:lvl w:ilvl="6" w:tplc="C3E25690">
      <w:numFmt w:val="decimal"/>
      <w:lvlText w:val=""/>
      <w:lvlJc w:val="left"/>
    </w:lvl>
    <w:lvl w:ilvl="7" w:tplc="2EDAAA20">
      <w:numFmt w:val="decimal"/>
      <w:lvlText w:val=""/>
      <w:lvlJc w:val="left"/>
    </w:lvl>
    <w:lvl w:ilvl="8" w:tplc="3A0A2212">
      <w:numFmt w:val="decimal"/>
      <w:lvlText w:val=""/>
      <w:lvlJc w:val="left"/>
    </w:lvl>
  </w:abstractNum>
  <w:num w:numId="1" w16cid:durableId="477067348">
    <w:abstractNumId w:val="0"/>
    <w:lvlOverride w:ilvl="0">
      <w:startOverride w:val="1"/>
    </w:lvlOverride>
  </w:num>
  <w:num w:numId="2" w16cid:durableId="1778871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6B3"/>
    <w:rsid w:val="002306B3"/>
    <w:rsid w:val="006F2EAE"/>
    <w:rsid w:val="007D4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A8ECC"/>
  <w15:docId w15:val="{AE07F1F2-C3EA-4F20-BF38-82C08481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1155</Words>
  <Characters>6590</Characters>
  <Application>Microsoft Office Word</Application>
  <DocSecurity>0</DocSecurity>
  <Lines>54</Lines>
  <Paragraphs>15</Paragraphs>
  <ScaleCrop>false</ScaleCrop>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Tanisha Raskar</cp:lastModifiedBy>
  <cp:revision>2</cp:revision>
  <dcterms:created xsi:type="dcterms:W3CDTF">2026-05-25T20:19:00Z</dcterms:created>
  <dcterms:modified xsi:type="dcterms:W3CDTF">2026-05-25T20:24:00Z</dcterms:modified>
</cp:coreProperties>
</file>