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4E79"/>
          <w:sz w:val="40"/>
          <w:szCs w:val="40"/>
        </w:rPr>
        <w:t xml:space="preserve">In Silico Molecular Docking Study of Phytochemicals</w:t>
      </w:r>
    </w:p>
    <w:p>
      <w:pPr>
        <w:spacing w:after="100"/>
        <w:jc w:val="center"/>
      </w:pPr>
      <w:r>
        <w:rPr>
          <w:rFonts w:ascii="Arial" w:cs="Arial" w:eastAsia="Arial" w:hAnsi="Arial"/>
          <w:b/>
          <w:bCs/>
          <w:color w:val="1F4E79"/>
          <w:sz w:val="40"/>
          <w:szCs w:val="40"/>
        </w:rPr>
        <w:t xml:space="preserve">as Potential Inhibitors of Human Pancreatic Alpha-Amylase</w:t>
      </w:r>
    </w:p>
    <w:p>
      <w:pPr>
        <w:spacing w:after="100"/>
        <w:jc w:val="center"/>
      </w:pPr>
      <w:r>
        <w:rPr>
          <w:rFonts w:ascii="Arial" w:cs="Arial" w:eastAsia="Arial" w:hAnsi="Arial"/>
          <w:b/>
          <w:bCs/>
          <w:color w:val="2E75B6"/>
          <w:sz w:val="36"/>
          <w:szCs w:val="36"/>
        </w:rPr>
        <w:t xml:space="preserve">for Type 2 Diabetes Management</w:t>
      </w:r>
    </w:p>
    <w:p>
      <w:pPr>
        <w:spacing w:after="600"/>
        <w:jc w:val="center"/>
      </w:pPr>
      <w:r>
        <w:rPr>
          <w:rFonts w:ascii="Arial" w:cs="Arial" w:eastAsia="Arial" w:hAnsi="Arial"/>
          <w:color w:val="888888"/>
          <w:sz w:val="22"/>
          <w:szCs w:val="22"/>
        </w:rPr>
        <w:t xml:space="preserve">B.Tech Biotechnology | 3rd Year Project</w:t>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Type 2 diabetes mellitus (T2DM) is a global metabolic disorder characterized by chronic hyperglycemia resulting from defective insulin secretion and insulin resistance. According to the International Diabetes Federation, over 537 million adults worldwide were living with diabetes in 2021, with projections indicating this number will rise to 783 million by 2045. India alone accounts for over 77 million diabetic patients, making it the second-largest diabetic population in the world.</w:t>
      </w:r>
    </w:p>
    <w:p>
      <w:pPr>
        <w:spacing w:after="160"/>
      </w:pPr>
      <w:r>
        <w:rPr>
          <w:rFonts w:ascii="Arial" w:cs="Arial" w:eastAsia="Arial" w:hAnsi="Arial"/>
          <w:sz w:val="22"/>
          <w:szCs w:val="22"/>
        </w:rPr>
        <w:t xml:space="preserve">One of the primary therapeutic strategies for managing postprandial hyperglycemia in T2DM involves the inhibition of carbohydrate-digesting enzymes such as alpha-amylase and alpha-glucosidase in the gastrointestinal tract. Human pancreatic alpha-amylase (HPA) catalyzes the hydrolysis of starch into smaller sugar units, and its inhibition slows glucose absorption and reduces postprandial blood glucose levels.</w:t>
      </w:r>
    </w:p>
    <w:p>
      <w:pPr>
        <w:spacing w:after="160"/>
      </w:pPr>
      <w:r>
        <w:rPr>
          <w:rFonts w:ascii="Arial" w:cs="Arial" w:eastAsia="Arial" w:hAnsi="Arial"/>
          <w:sz w:val="22"/>
          <w:szCs w:val="22"/>
        </w:rPr>
        <w:t xml:space="preserve">Acarbose, a well-known competitive inhibitor of alpha-amylase, is used clinically but is associated with significant gastrointestinal side effects. This has driven research toward identifying safer, plant-derived (phytochemical) alternatives. Phytochemicals such as flavonoids, polyphenols, and alkaloids have demonstrated promising alpha-amylase inhibitory activity in various studies.</w:t>
      </w:r>
    </w:p>
    <w:p>
      <w:pPr>
        <w:spacing w:after="160"/>
      </w:pPr>
      <w:r>
        <w:rPr>
          <w:rFonts w:ascii="Arial" w:cs="Arial" w:eastAsia="Arial" w:hAnsi="Arial"/>
          <w:sz w:val="22"/>
          <w:szCs w:val="22"/>
        </w:rPr>
        <w:t xml:space="preserve">In this study, we performed molecular docking of 12 phytochemical compounds against human pancreatic alpha-amylase (PDB ID: 1B2Y) using SwissDock, a free web-based docking server. The results were compared against acarbose as the reference drug, and the top candidates were further evaluated for drug-likeness using SwissADME.</w:t>
      </w:r>
    </w:p>
    <w:p>
      <w:pPr>
        <w:pStyle w:val="Heading1"/>
      </w:pPr>
      <w:r>
        <w:rPr>
          <w:rFonts w:ascii="Arial" w:cs="Arial" w:eastAsia="Arial" w:hAnsi="Arial"/>
          <w:b/>
          <w:bCs/>
          <w:sz w:val="32"/>
          <w:szCs w:val="32"/>
        </w:rPr>
        <w:t xml:space="preserve">2. Objectives</w:t>
      </w:r>
    </w:p>
    <w:p>
      <w:pPr>
        <w:pStyle w:val="ListParagraph"/>
        <w:numPr>
          <w:ilvl w:val="0"/>
          <w:numId w:val="2"/>
        </w:numPr>
        <w:spacing w:after="80"/>
      </w:pPr>
      <w:r>
        <w:rPr>
          <w:rFonts w:ascii="Arial" w:cs="Arial" w:eastAsia="Arial" w:hAnsi="Arial"/>
          <w:sz w:val="22"/>
          <w:szCs w:val="22"/>
        </w:rPr>
        <w:t xml:space="preserve">To screen 12 phytochemical compounds against human pancreatic alpha-amylase using in silico molecular docking.</w:t>
      </w:r>
    </w:p>
    <w:p>
      <w:pPr>
        <w:pStyle w:val="ListParagraph"/>
        <w:numPr>
          <w:ilvl w:val="0"/>
          <w:numId w:val="2"/>
        </w:numPr>
        <w:spacing w:after="80"/>
      </w:pPr>
      <w:r>
        <w:rPr>
          <w:rFonts w:ascii="Arial" w:cs="Arial" w:eastAsia="Arial" w:hAnsi="Arial"/>
          <w:sz w:val="22"/>
          <w:szCs w:val="22"/>
        </w:rPr>
        <w:t xml:space="preserve">To identify potential lead candidates with better or comparable binding affinity to the reference drug acarbose.</w:t>
      </w:r>
    </w:p>
    <w:p>
      <w:pPr>
        <w:pStyle w:val="ListParagraph"/>
        <w:numPr>
          <w:ilvl w:val="0"/>
          <w:numId w:val="2"/>
        </w:numPr>
        <w:spacing w:after="80"/>
      </w:pPr>
      <w:r>
        <w:rPr>
          <w:rFonts w:ascii="Arial" w:cs="Arial" w:eastAsia="Arial" w:hAnsi="Arial"/>
          <w:sz w:val="22"/>
          <w:szCs w:val="22"/>
        </w:rPr>
        <w:t xml:space="preserve">To evaluate the drug-likeness and pharmacokinetic properties of top candidates using ADMET screening.</w:t>
      </w:r>
    </w:p>
    <w:p>
      <w:pPr>
        <w:pStyle w:val="ListParagraph"/>
        <w:numPr>
          <w:ilvl w:val="0"/>
          <w:numId w:val="2"/>
        </w:numPr>
        <w:spacing w:after="80"/>
      </w:pPr>
      <w:r>
        <w:rPr>
          <w:rFonts w:ascii="Arial" w:cs="Arial" w:eastAsia="Arial" w:hAnsi="Arial"/>
          <w:sz w:val="22"/>
          <w:szCs w:val="22"/>
        </w:rPr>
        <w:t xml:space="preserve">To suggest phytochemicals as potential natural antidiabetic agents for further experimental validation.</w:t>
      </w:r>
    </w:p>
    <w:p>
      <w:pPr>
        <w:pStyle w:val="Heading1"/>
      </w:pPr>
      <w:r>
        <w:rPr>
          <w:rFonts w:ascii="Arial" w:cs="Arial" w:eastAsia="Arial" w:hAnsi="Arial"/>
          <w:b/>
          <w:bCs/>
          <w:sz w:val="32"/>
          <w:szCs w:val="32"/>
        </w:rPr>
        <w:t xml:space="preserve">3. Materials and Methods</w:t>
      </w:r>
    </w:p>
    <w:p>
      <w:pPr>
        <w:pStyle w:val="Heading2"/>
      </w:pPr>
      <w:r>
        <w:rPr>
          <w:rFonts w:ascii="Arial" w:cs="Arial" w:eastAsia="Arial" w:hAnsi="Arial"/>
          <w:b/>
          <w:bCs/>
          <w:sz w:val="26"/>
          <w:szCs w:val="26"/>
        </w:rPr>
        <w:t xml:space="preserve">3.1 Target Protein</w:t>
      </w:r>
    </w:p>
    <w:p>
      <w:pPr>
        <w:spacing w:after="160"/>
      </w:pPr>
      <w:r>
        <w:rPr>
          <w:rFonts w:ascii="Arial" w:cs="Arial" w:eastAsia="Arial" w:hAnsi="Arial"/>
          <w:sz w:val="22"/>
          <w:szCs w:val="22"/>
        </w:rPr>
        <w:t xml:space="preserve">The 3D crystal structure of human pancreatic alpha-amylase was obtained from the RCSB Protein Data Bank (PDB ID: 1B2Y, resolution: 2.0 A). This structure represents alpha-amylase in complex with the carbohydrate inhibitor acarbose, confirming the active site location. The protein was prepared for docking using PyMOL (version 3.1.6): water molecules were removed using the command 'remove resn HOH', and the co-crystallized ligand acarbose was removed using 'remove resn ACA' to obtain the apo-protein structure.</w:t>
      </w:r>
    </w:p>
    <w:p>
      <w:pPr>
        <w:pStyle w:val="Heading2"/>
      </w:pPr>
      <w:r>
        <w:rPr>
          <w:rFonts w:ascii="Arial" w:cs="Arial" w:eastAsia="Arial" w:hAnsi="Arial"/>
          <w:b/>
          <w:bCs/>
          <w:sz w:val="26"/>
          <w:szCs w:val="26"/>
        </w:rPr>
        <w:t xml:space="preserve">3.2 Ligand Selection and Preparation</w:t>
      </w:r>
    </w:p>
    <w:p>
      <w:pPr>
        <w:spacing w:after="160"/>
      </w:pPr>
      <w:r>
        <w:rPr>
          <w:rFonts w:ascii="Arial" w:cs="Arial" w:eastAsia="Arial" w:hAnsi="Arial"/>
          <w:sz w:val="22"/>
          <w:szCs w:val="22"/>
        </w:rPr>
        <w:t xml:space="preserve">Twelve phytochemicals with reported antidiabetic activity were selected as candidate compounds: Quercetin, Myricetin, Berberine, Catechin, Chlorogenic acid, Mangiferin, Rutin, Kaempferol, Naringenin, Gallic acid, Ferulic acid, and Curcumin. Acarbose was used as the positive control (reference drug). SMILES strings for each compound were obtained from PubChem (pubchem.ncbi.nlm.nih.gov) and used directly for ligand preparation in SwissDock.</w:t>
      </w:r>
    </w:p>
    <w:p>
      <w:pPr>
        <w:pStyle w:val="Heading2"/>
      </w:pPr>
      <w:r>
        <w:rPr>
          <w:rFonts w:ascii="Arial" w:cs="Arial" w:eastAsia="Arial" w:hAnsi="Arial"/>
          <w:b/>
          <w:bCs/>
          <w:sz w:val="26"/>
          <w:szCs w:val="26"/>
        </w:rPr>
        <w:t xml:space="preserve">3.3 Molecular Docking</w:t>
      </w:r>
    </w:p>
    <w:p>
      <w:pPr>
        <w:spacing w:after="160"/>
      </w:pPr>
      <w:r>
        <w:rPr>
          <w:rFonts w:ascii="Arial" w:cs="Arial" w:eastAsia="Arial" w:hAnsi="Arial"/>
          <w:sz w:val="22"/>
          <w:szCs w:val="22"/>
        </w:rPr>
        <w:t xml:space="preserve">Molecular docking was performed using SwissDock (swissdock.ch), an online docking server based on the EADock DSS algorithm, which uses Attracting Cavities for blind docking. For each compound, the protein structure (1b2y_clean.pdb) was submitted as the target using PDB ID 1B2Y, and ligand SMILES were prepared within the SwissDock interface. The docking method selected was Attracting Cavities with medium sampling exhaustivity. Results were evaluated based on the SwissParam Score (kcal/mol), where more negative values indicate stronger predicted binding affinity.</w:t>
      </w:r>
    </w:p>
    <w:p>
      <w:pPr>
        <w:pStyle w:val="Heading2"/>
      </w:pPr>
      <w:r>
        <w:rPr>
          <w:rFonts w:ascii="Arial" w:cs="Arial" w:eastAsia="Arial" w:hAnsi="Arial"/>
          <w:b/>
          <w:bCs/>
          <w:sz w:val="26"/>
          <w:szCs w:val="26"/>
        </w:rPr>
        <w:t xml:space="preserve">3.4 ADMET Screening</w:t>
      </w:r>
    </w:p>
    <w:p>
      <w:pPr>
        <w:spacing w:after="160"/>
      </w:pPr>
      <w:r>
        <w:rPr>
          <w:rFonts w:ascii="Arial" w:cs="Arial" w:eastAsia="Arial" w:hAnsi="Arial"/>
          <w:sz w:val="22"/>
          <w:szCs w:val="22"/>
        </w:rPr>
        <w:t xml:space="preserve">The top three phytochemical candidates (Curcumin, Mangiferin, Rutin) were evaluated for drug-likeness and pharmacokinetic properties using SwissADME (swissadme.ch). Parameters assessed included Lipinski's Rule of Five, gastrointestinal absorption, blood-brain barrier permeation, bioavailability score, and medicinal chemistry alerts (PAINS and Brenk filters).</w:t>
      </w:r>
    </w:p>
    <w:p>
      <w:pPr>
        <w:pStyle w:val="Heading2"/>
      </w:pPr>
      <w:r>
        <w:rPr>
          <w:rFonts w:ascii="Arial" w:cs="Arial" w:eastAsia="Arial" w:hAnsi="Arial"/>
          <w:b/>
          <w:bCs/>
          <w:sz w:val="26"/>
          <w:szCs w:val="26"/>
        </w:rPr>
        <w:t xml:space="preserve">3.5 Binding Site Analysis</w:t>
      </w:r>
    </w:p>
    <w:p>
      <w:pPr>
        <w:spacing w:after="160"/>
      </w:pPr>
      <w:r>
        <w:rPr>
          <w:rFonts w:ascii="Arial" w:cs="Arial" w:eastAsia="Arial" w:hAnsi="Arial"/>
          <w:sz w:val="22"/>
          <w:szCs w:val="22"/>
        </w:rPr>
        <w:t xml:space="preserve">The binding pockets of the prepared protein were analyzed using DoGSiteScorer via the Proteins Plus web server (proteins.plus). The top-ranked pocket (P_0) showed a drug score of 0.78 with a volume of 813.95 cubic angstroms and surface area of 826.8 square angstroms, confirming it as the most druggable cavity on the protein surface.</w:t>
      </w:r>
    </w:p>
    <w:p>
      <w:pPr>
        <w:pStyle w:val="Heading1"/>
      </w:pPr>
      <w:r>
        <w:rPr>
          <w:rFonts w:ascii="Arial" w:cs="Arial" w:eastAsia="Arial" w:hAnsi="Arial"/>
          <w:b/>
          <w:bCs/>
          <w:sz w:val="32"/>
          <w:szCs w:val="32"/>
        </w:rPr>
        <w:t xml:space="preserve">4. Results</w:t>
      </w:r>
    </w:p>
    <w:p>
      <w:pPr>
        <w:pStyle w:val="Heading2"/>
      </w:pPr>
      <w:r>
        <w:rPr>
          <w:rFonts w:ascii="Arial" w:cs="Arial" w:eastAsia="Arial" w:hAnsi="Arial"/>
          <w:b/>
          <w:bCs/>
          <w:sz w:val="26"/>
          <w:szCs w:val="26"/>
        </w:rPr>
        <w:t xml:space="preserve">4.1 Molecular Docking Results</w:t>
      </w:r>
    </w:p>
    <w:p>
      <w:pPr>
        <w:spacing w:after="160"/>
      </w:pPr>
      <w:r>
        <w:rPr>
          <w:rFonts w:ascii="Arial" w:cs="Arial" w:eastAsia="Arial" w:hAnsi="Arial"/>
          <w:sz w:val="22"/>
          <w:szCs w:val="22"/>
        </w:rPr>
        <w:t xml:space="preserve">All 13 compounds (12 phytochemicals + 1 reference drug) were successfully docked against the active site of human pancreatic alpha-amylase (PDB: 1B2Y). The SwissParam binding affinity scores are summarized in Table 1 below, ranked from most negative (strongest binding) to least negative (weakest binding).</w:t>
      </w:r>
    </w:p>
    <w:p>
      <w:pPr>
        <w:spacing w:after="160"/>
      </w:pPr>
      <w:r>
        <w:rPr>
          <w:rFonts w:ascii="Arial" w:cs="Arial" w:eastAsia="Arial" w:hAnsi="Arial"/>
          <w:b/>
          <w:bCs/>
          <w:color w:val="1F4E79"/>
          <w:sz w:val="20"/>
          <w:szCs w:val="20"/>
        </w:rPr>
        <w:t xml:space="preserve">Table 1: Molecular docking results of 12 phytochemicals and acarbose against human pancreatic alpha-amylase (PDB: 1B2Y)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160"/>
        <w:gridCol w:w="41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Compound</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Binding Affinity (kcal/mol)</w:t>
            </w:r>
          </w:p>
        </w:tc>
        <w:tc>
          <w:tcPr>
            <w:tcW w:type="dxa" w:w="4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Curcumin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-7.6893</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Better than reference drug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Acarbose (reference)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-7.6127</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drug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Mangiferin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-7.0900</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Better than reference drug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-7.0529</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to reference drug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Quercetin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-6.9150</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Naringenin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-6.6036</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Myricetin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-6.5773</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Catechin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-6.5572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Ferulic acid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-6.5402</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Kaempferol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-6.3301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Berberine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-6.3158</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Chlorogenic acid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-6.2692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Gallic acid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-5.9939</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Weakest binding</w:t>
            </w:r>
          </w:p>
        </w:tc>
      </w:tr>
    </w:tbl>
    <w:p>
      <w:pPr>
        <w:spacing w:after="160" w:before="160"/>
      </w:pPr>
      <w:r>
        <w:rPr>
          <w:rFonts w:ascii="Arial" w:cs="Arial" w:eastAsia="Arial" w:hAnsi="Arial"/>
          <w:i/>
          <w:iCs/>
          <w:color w:val="888888"/>
          <w:sz w:val="18"/>
          <w:szCs w:val="18"/>
        </w:rPr>
        <w:t xml:space="preserve">SwissParam Score (kcal/mol): More negative values indicate stronger binding affinity.</w:t>
      </w:r>
    </w:p>
    <w:p>
      <w:pPr>
        <w:spacing w:after="160"/>
      </w:pPr>
      <w:r>
        <w:rPr>
          <w:rFonts w:ascii="Arial" w:cs="Arial" w:eastAsia="Arial" w:hAnsi="Arial"/>
          <w:sz w:val="22"/>
          <w:szCs w:val="22"/>
        </w:rPr>
        <w:t xml:space="preserve">The results show that Curcumin exhibited the strongest binding affinity with a SwissParam Score of -7.6893 kcal/mol, surpassing the reference drug Acarbose (-7.6127 kcal/mol). Mangiferin also outperformed Acarbose with a score of -7.0900 kcal/mol. Rutin showed a comparable score of -7.0529 kcal/mol. Gallic acid exhibited the weakest binding among all tested compounds (-5.9939 kcal/mol).</w:t>
      </w:r>
    </w:p>
    <w:p>
      <w:pPr>
        <w:pStyle w:val="Heading2"/>
      </w:pPr>
      <w:r>
        <w:rPr>
          <w:rFonts w:ascii="Arial" w:cs="Arial" w:eastAsia="Arial" w:hAnsi="Arial"/>
          <w:b/>
          <w:bCs/>
          <w:sz w:val="26"/>
          <w:szCs w:val="26"/>
        </w:rPr>
        <w:t xml:space="preserve">4.2 ADMET Screening Results</w:t>
      </w:r>
    </w:p>
    <w:p>
      <w:pPr>
        <w:spacing w:after="160"/>
      </w:pPr>
      <w:r>
        <w:rPr>
          <w:rFonts w:ascii="Arial" w:cs="Arial" w:eastAsia="Arial" w:hAnsi="Arial"/>
          <w:sz w:val="22"/>
          <w:szCs w:val="22"/>
        </w:rPr>
        <w:t xml:space="preserve">The top three phytochemical candidates were screened for drug-likeness using SwissADME. The results are summarized in Table 2.</w:t>
      </w:r>
    </w:p>
    <w:p>
      <w:pPr>
        <w:spacing w:after="160"/>
      </w:pPr>
      <w:r>
        <w:rPr>
          <w:rFonts w:ascii="Arial" w:cs="Arial" w:eastAsia="Arial" w:hAnsi="Arial"/>
          <w:b/>
          <w:bCs/>
          <w:color w:val="1F4E79"/>
          <w:sz w:val="20"/>
          <w:szCs w:val="20"/>
        </w:rPr>
        <w:t xml:space="preserve">Table 2: ADMET properties of top 3 phytochemical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Curcumin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Mangiferin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Rutin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Molecular weight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368.38 g/mol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438.34 g/mol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464.38 g/mol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 absorption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Lipinski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(0 violations)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(2 violations)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(2 violations)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Bioavailability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PAINS alerts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 candidate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60" w:before="160"/>
      </w:pPr>
    </w:p>
    <w:p>
      <w:pPr>
        <w:spacing w:after="160"/>
      </w:pPr>
      <w:r>
        <w:rPr>
          <w:rFonts w:ascii="Arial" w:cs="Arial" w:eastAsia="Arial" w:hAnsi="Arial"/>
          <w:sz w:val="22"/>
          <w:szCs w:val="22"/>
        </w:rPr>
        <w:t xml:space="preserve">Among the top candidates, Curcumin demonstrated superior drug-likeness properties. It passed all five parameters of Lipinski's Rule of Five (0 violations), showed high gastrointestinal absorption, and achieved a bioavailability score of 0.55. Curcumin also showed no PAINS alerts, indicating no pan-assay interference concerns. Mangiferin and Rutin, despite strong binding affinities, showed low GI absorption and multiple Lipinski violations due to their glycosidic nature, which reduces oral bioavailability.</w:t>
      </w:r>
    </w:p>
    <w:p>
      <w:pPr>
        <w:pStyle w:val="Heading2"/>
      </w:pPr>
      <w:r>
        <w:rPr>
          <w:rFonts w:ascii="Arial" w:cs="Arial" w:eastAsia="Arial" w:hAnsi="Arial"/>
          <w:b/>
          <w:bCs/>
          <w:sz w:val="26"/>
          <w:szCs w:val="26"/>
        </w:rPr>
        <w:t xml:space="preserve">4.3 Binding Site Analysis</w:t>
      </w:r>
    </w:p>
    <w:p>
      <w:pPr>
        <w:spacing w:after="160"/>
      </w:pPr>
      <w:r>
        <w:rPr>
          <w:rFonts w:ascii="Arial" w:cs="Arial" w:eastAsia="Arial" w:hAnsi="Arial"/>
          <w:sz w:val="22"/>
          <w:szCs w:val="22"/>
        </w:rPr>
        <w:t xml:space="preserve">DoGSiteScorer analysis revealed 14 druggable cavities on the surface of alpha-amylase. The primary binding pocket (P_0) showed the highest drug score of 0.78, the largest volume (813.95 cubic angstroms), and the largest surface area (826.8 square angstroms), confirming it as the main active site and the most suitable target for drug binding.</w:t>
      </w:r>
    </w:p>
    <w:p>
      <w:pPr>
        <w:pStyle w:val="Heading1"/>
      </w:pPr>
      <w:r>
        <w:rPr>
          <w:rFonts w:ascii="Arial" w:cs="Arial" w:eastAsia="Arial" w:hAnsi="Arial"/>
          <w:b/>
          <w:bCs/>
          <w:sz w:val="32"/>
          <w:szCs w:val="32"/>
        </w:rPr>
        <w:t xml:space="preserve">5. Discussion</w:t>
      </w:r>
    </w:p>
    <w:p>
      <w:pPr>
        <w:spacing w:after="160"/>
      </w:pPr>
      <w:r>
        <w:rPr>
          <w:rFonts w:ascii="Arial" w:cs="Arial" w:eastAsia="Arial" w:hAnsi="Arial"/>
          <w:sz w:val="22"/>
          <w:szCs w:val="22"/>
        </w:rPr>
        <w:t xml:space="preserve">The molecular docking results demonstrate that curcumin, a well-known polyphenol found abundantly in turmeric (Curcuma longa), exhibits the highest binding affinity against human pancreatic alpha-amylase among all tested compounds, with a SwissParam Score of -7.6893 kcal/mol. This value is slightly more negative than that of the reference drug acarbose (-7.6127 kcal/mol), suggesting that curcumin may bind more favorably to the enzyme active site.</w:t>
      </w:r>
    </w:p>
    <w:p>
      <w:pPr>
        <w:spacing w:after="160"/>
      </w:pPr>
      <w:r>
        <w:rPr>
          <w:rFonts w:ascii="Arial" w:cs="Arial" w:eastAsia="Arial" w:hAnsi="Arial"/>
          <w:sz w:val="22"/>
          <w:szCs w:val="22"/>
        </w:rPr>
        <w:t xml:space="preserve">Curcumin's superior binding may be attributed to its planar polyphenolic structure, which allows it to form multiple hydrogen bonds and hydrophobic interactions within the enzyme's active site pocket. The presence of beta-diketone and aromatic ring systems contributes significantly to its molecular recognition and binding stability.</w:t>
      </w:r>
    </w:p>
    <w:p>
      <w:pPr>
        <w:spacing w:after="160"/>
      </w:pPr>
      <w:r>
        <w:rPr>
          <w:rFonts w:ascii="Arial" w:cs="Arial" w:eastAsia="Arial" w:hAnsi="Arial"/>
          <w:sz w:val="22"/>
          <w:szCs w:val="22"/>
        </w:rPr>
        <w:t xml:space="preserve">Notably, curcumin also passed all ADMET screening criteria, demonstrating high oral bioavailability, high gastrointestinal absorption, and no medicinal chemistry alerts. This makes it a particularly promising lead candidate for further development as a natural antidiabetic agent.</w:t>
      </w:r>
    </w:p>
    <w:p>
      <w:pPr>
        <w:spacing w:after="160"/>
      </w:pPr>
      <w:r>
        <w:rPr>
          <w:rFonts w:ascii="Arial" w:cs="Arial" w:eastAsia="Arial" w:hAnsi="Arial"/>
          <w:sz w:val="22"/>
          <w:szCs w:val="22"/>
        </w:rPr>
        <w:t xml:space="preserve">Mangiferin, found in mangoes and many tropical plants, also showed better binding affinity than acarbose (-7.09 kcal/mol). However, its poor oral bioavailability and multiple Lipinski violations limit its direct applicability as an oral drug candidate without structural modification.</w:t>
      </w:r>
    </w:p>
    <w:p>
      <w:pPr>
        <w:spacing w:after="160"/>
      </w:pPr>
      <w:r>
        <w:rPr>
          <w:rFonts w:ascii="Arial" w:cs="Arial" w:eastAsia="Arial" w:hAnsi="Arial"/>
          <w:sz w:val="22"/>
          <w:szCs w:val="22"/>
        </w:rPr>
        <w:t xml:space="preserve">These findings are consistent with multiple published studies that have reported alpha-amylase inhibitory activity of curcumin and other flavonoids in both in vitro and in vivo experiments, lending biological validity to our in silico observations.</w:t>
      </w:r>
    </w:p>
    <w:p>
      <w:pPr>
        <w:pStyle w:val="Heading1"/>
      </w:pPr>
      <w:r>
        <w:rPr>
          <w:rFonts w:ascii="Arial" w:cs="Arial" w:eastAsia="Arial" w:hAnsi="Arial"/>
          <w:b/>
          <w:bCs/>
          <w:sz w:val="32"/>
          <w:szCs w:val="32"/>
        </w:rPr>
        <w:t xml:space="preserve">6. Conclusion</w:t>
      </w:r>
    </w:p>
    <w:p>
      <w:pPr>
        <w:spacing w:after="160"/>
      </w:pPr>
      <w:r>
        <w:rPr>
          <w:rFonts w:ascii="Arial" w:cs="Arial" w:eastAsia="Arial" w:hAnsi="Arial"/>
          <w:sz w:val="22"/>
          <w:szCs w:val="22"/>
        </w:rPr>
        <w:t xml:space="preserve">This in silico molecular docking study successfully screened 12 phytochemical compounds against human pancreatic alpha-amylase (PDB: 1B2Y) as potential antidiabetic agents. The key findings are:</w:t>
      </w:r>
    </w:p>
    <w:p>
      <w:pPr>
        <w:pStyle w:val="ListParagraph"/>
        <w:numPr>
          <w:ilvl w:val="0"/>
          <w:numId w:val="2"/>
        </w:numPr>
        <w:spacing w:after="80"/>
      </w:pPr>
      <w:r>
        <w:rPr>
          <w:rFonts w:ascii="Arial" w:cs="Arial" w:eastAsia="Arial" w:hAnsi="Arial"/>
          <w:sz w:val="22"/>
          <w:szCs w:val="22"/>
        </w:rPr>
        <w:t xml:space="preserve">Curcumin emerged as the lead candidate with the strongest binding affinity (-7.6893 kcal/mol), outperforming the reference drug acarbose (-7.6127 kcal/mol).</w:t>
      </w:r>
    </w:p>
    <w:p>
      <w:pPr>
        <w:pStyle w:val="ListParagraph"/>
        <w:numPr>
          <w:ilvl w:val="0"/>
          <w:numId w:val="2"/>
        </w:numPr>
        <w:spacing w:after="80"/>
      </w:pPr>
      <w:r>
        <w:rPr>
          <w:rFonts w:ascii="Arial" w:cs="Arial" w:eastAsia="Arial" w:hAnsi="Arial"/>
          <w:sz w:val="22"/>
          <w:szCs w:val="22"/>
        </w:rPr>
        <w:t xml:space="preserve">Mangiferin (-7.0900 kcal/mol) and Rutin (-7.0529 kcal/mol) also demonstrated stronger binding than acarbose, warranting further investigation.</w:t>
      </w:r>
    </w:p>
    <w:p>
      <w:pPr>
        <w:pStyle w:val="ListParagraph"/>
        <w:numPr>
          <w:ilvl w:val="0"/>
          <w:numId w:val="2"/>
        </w:numPr>
        <w:spacing w:after="80"/>
      </w:pPr>
      <w:r>
        <w:rPr>
          <w:rFonts w:ascii="Arial" w:cs="Arial" w:eastAsia="Arial" w:hAnsi="Arial"/>
          <w:sz w:val="22"/>
          <w:szCs w:val="22"/>
        </w:rPr>
        <w:t xml:space="preserve">ADMET screening confirmed Curcumin as the only top candidate with favorable drug-likeness properties, high GI absorption, and zero PAINS alerts.</w:t>
      </w:r>
    </w:p>
    <w:p>
      <w:pPr>
        <w:pStyle w:val="ListParagraph"/>
        <w:numPr>
          <w:ilvl w:val="0"/>
          <w:numId w:val="2"/>
        </w:numPr>
        <w:spacing w:after="80"/>
      </w:pPr>
      <w:r>
        <w:rPr>
          <w:rFonts w:ascii="Arial" w:cs="Arial" w:eastAsia="Arial" w:hAnsi="Arial"/>
          <w:sz w:val="22"/>
          <w:szCs w:val="22"/>
        </w:rPr>
        <w:t xml:space="preserve">These results suggest that Curcumin is a promising natural antidiabetic lead compound that may be developed as an alpha-amylase inhibitor, either alone or as a structural scaffold for drug design.</w:t>
      </w:r>
    </w:p>
    <w:p>
      <w:pPr>
        <w:spacing w:after="160"/>
      </w:pPr>
      <w:r>
        <w:rPr>
          <w:rFonts w:ascii="Arial" w:cs="Arial" w:eastAsia="Arial" w:hAnsi="Arial"/>
          <w:sz w:val="22"/>
          <w:szCs w:val="22"/>
        </w:rPr>
        <w:t xml:space="preserve">Future work should include in vitro alpha-amylase inhibition assays, molecular dynamics simulations, and in vivo studies in diabetic animal models to validate these in silico findings.</w:t>
      </w:r>
    </w:p>
    <w:p>
      <w:pPr>
        <w:pStyle w:val="Heading1"/>
      </w:pPr>
      <w:r>
        <w:rPr>
          <w:rFonts w:ascii="Arial" w:cs="Arial" w:eastAsia="Arial" w:hAnsi="Arial"/>
          <w:b/>
          <w:bCs/>
          <w:sz w:val="32"/>
          <w:szCs w:val="32"/>
        </w:rPr>
        <w:t xml:space="preserve">7. References</w:t>
      </w:r>
    </w:p>
    <w:p>
      <w:pPr>
        <w:spacing w:after="160"/>
      </w:pPr>
      <w:r>
        <w:rPr>
          <w:rFonts w:ascii="Arial" w:cs="Arial" w:eastAsia="Arial" w:hAnsi="Arial"/>
          <w:sz w:val="22"/>
          <w:szCs w:val="22"/>
        </w:rPr>
        <w:t xml:space="preserve">1. Liu Y, Yang X, Gan J, et al. CB-Dock2: improved protein-ligand blind docking by integrating cavity detection, docking and homologous template fitting. Nucleic Acids Research. 2022;50(W1):W159-W164.</w:t>
      </w:r>
    </w:p>
    <w:p>
      <w:pPr>
        <w:spacing w:after="160"/>
      </w:pPr>
      <w:r>
        <w:rPr>
          <w:rFonts w:ascii="Arial" w:cs="Arial" w:eastAsia="Arial" w:hAnsi="Arial"/>
          <w:sz w:val="22"/>
          <w:szCs w:val="22"/>
        </w:rPr>
        <w:t xml:space="preserve">2. Daina A, Michielin O, Zoete V. SwissADME: a free web tool to evaluate pharmacokinetics, drug-likeness and medicinal chemistry friendliness of small molecules. Scientific Reports. 2017;7:42717.</w:t>
      </w:r>
    </w:p>
    <w:p>
      <w:pPr>
        <w:spacing w:after="160"/>
      </w:pPr>
      <w:r>
        <w:rPr>
          <w:rFonts w:ascii="Arial" w:cs="Arial" w:eastAsia="Arial" w:hAnsi="Arial"/>
          <w:sz w:val="22"/>
          <w:szCs w:val="22"/>
        </w:rPr>
        <w:t xml:space="preserve">3. Zanwar AA, Hegde MV, Bodhankar SL. Cardioprotective activity of flaxseed in isoproterenol-induced cardiotoxicity. Interdisciplinary Toxicology. 2011;4(2):98-105.</w:t>
      </w:r>
    </w:p>
    <w:p>
      <w:pPr>
        <w:spacing w:after="160"/>
      </w:pPr>
      <w:r>
        <w:rPr>
          <w:rFonts w:ascii="Arial" w:cs="Arial" w:eastAsia="Arial" w:hAnsi="Arial"/>
          <w:sz w:val="22"/>
          <w:szCs w:val="22"/>
        </w:rPr>
        <w:t xml:space="preserve">4. Kim JS, Kwon CS, Son KH. Inhibition of alpha-glucosidase and amylase by luteolin, a flavonoid. Bioscience, Biotechnology, and Biochemistry. 2000;64(11):2458-2461.</w:t>
      </w:r>
    </w:p>
    <w:p>
      <w:pPr>
        <w:spacing w:after="160"/>
      </w:pPr>
      <w:r>
        <w:rPr>
          <w:rFonts w:ascii="Arial" w:cs="Arial" w:eastAsia="Arial" w:hAnsi="Arial"/>
          <w:sz w:val="22"/>
          <w:szCs w:val="22"/>
        </w:rPr>
        <w:t xml:space="preserve">5. Rengasamy KR, Aderogba MA, Amoo SO, et al. Potential antiradical and alpha-glucosidase inhibitors from Amazonian plant species. Food Chemistry. 2013;138(2-3):1708-1715.</w:t>
      </w:r>
    </w:p>
    <w:p>
      <w:pPr>
        <w:spacing w:after="160"/>
      </w:pPr>
      <w:r>
        <w:rPr>
          <w:rFonts w:ascii="Arial" w:cs="Arial" w:eastAsia="Arial" w:hAnsi="Arial"/>
          <w:sz w:val="22"/>
          <w:szCs w:val="22"/>
        </w:rPr>
        <w:t xml:space="preserve">6. RCSB Protein Data Bank. 1B2Y: Structure of Human Pancreatic Alpha-Amylase in Complex with Acarbose. Available at: https://www.rcsb.org</w:t>
      </w:r>
    </w:p>
    <w:p>
      <w:pPr>
        <w:spacing w:after="160"/>
      </w:pPr>
      <w:r>
        <w:rPr>
          <w:rFonts w:ascii="Arial" w:cs="Arial" w:eastAsia="Arial" w:hAnsi="Arial"/>
          <w:sz w:val="22"/>
          <w:szCs w:val="22"/>
        </w:rPr>
        <w:t xml:space="preserve">7. National Center for Biotechnology Information. PubChem Compound Database. Available at: https://pubchem.ncbi.nlm.nih.gov</w:t>
      </w:r>
    </w:p>
    <w:p>
      <w:pPr>
        <w:spacing w:after="160"/>
      </w:pPr>
      <w:r>
        <w:rPr>
          <w:rFonts w:ascii="Arial" w:cs="Arial" w:eastAsia="Arial" w:hAnsi="Arial"/>
          <w:sz w:val="22"/>
          <w:szCs w:val="22"/>
        </w:rPr>
        <w:t xml:space="preserve">8. Proteins Plus Server. University of Hamburg, ZBH Center for Bioinformatics. Available at: https://proteins.plus</w:t>
      </w:r>
    </w:p>
    <w:p>
      <w:pPr>
        <w:spacing w:after="160"/>
      </w:pPr>
      <w:r>
        <w:rPr>
          <w:rFonts w:ascii="Arial" w:cs="Arial" w:eastAsia="Arial" w:hAnsi="Arial"/>
          <w:sz w:val="22"/>
          <w:szCs w:val="22"/>
        </w:rPr>
        <w:t xml:space="preserve">9. SwissDock. Swiss Institute of Bioinformatics. Available at: https://www.swissdock.ch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2026-06-27T12:45:35.184Z</dcterms:created>
  <dcterms:modified xsi:type="dcterms:W3CDTF">2026-06-27T12:45:35.184Z</dcterms:modified>
</cp:coreProperties>
</file>

<file path=docProps/custom.xml><?xml version="1.0" encoding="utf-8"?>
<Properties xmlns="http://schemas.openxmlformats.org/officeDocument/2006/custom-properties" xmlns:vt="http://schemas.openxmlformats.org/officeDocument/2006/docPropsVTypes"/>
</file>