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Bank Loan Analysis: Risk, Repayment &amp; Portfolio Performance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(MySQL Analysis Project)</w:t>
      </w:r>
    </w:p>
    <w:p>
      <w:pPr>
        <w:spacing w:after="150"/>
      </w:pPr>
      <w:r>
        <w:rPr>
          <w:sz w:val="22"/>
          <w:szCs w:val="22"/>
        </w:rPr>
        <w:t xml:space="preserve">Dataset: financial_loan.csv  |  Rows: 38,576 loan records  |  Columns: 24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rPr>
          <w:sz w:val="22"/>
          <w:szCs w:val="22"/>
        </w:rPr>
        <w:t xml:space="preserve">Loan portfolios carry risk that is only visible through careful analysis of historical performance. This project analyzes a bank's loan book using MySQL to understand how loans have performed across different borrower segments, credit grades, and geographies, and to evaluate whether the loan book as a whole has been profitable. The analysis moves through five stages: cleaning the raw data, establishing portfolio-level KPIs, breaking the portfolio down by category, examining where default risk concentrates, and finally assessing profitability.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Establish reliable, cleaned data as the foundation for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Measure core portfolio KPIs: application volume, funded amount, amount received, interest rate, and DTI.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Classify loans into Good, Bad, and Current categories and measure the split.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Identify where default risk concentrates - by state, loan term, and credit grade.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Profile borrowers by employment tenure, employer, income, and verification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Assess whether loan pricing (interest rate) reflected the actual risk taken.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Determine overall portfolio profitability.</w:t>
      </w:r>
    </w:p>
    <w:p>
      <w:pPr>
        <w:pStyle w:val="Heading1"/>
        <w:spacing w:after="150" w:before="300"/>
      </w:pPr>
      <w:r>
        <w:t xml:space="preserve">3. Data Cleaning</w:t>
      </w:r>
    </w:p>
    <w:p>
      <w:pPr>
        <w:spacing w:after="150"/>
      </w:pPr>
      <w:r>
        <w:rPr>
          <w:sz w:val="22"/>
          <w:szCs w:val="22"/>
        </w:rPr>
        <w:t xml:space="preserve">The raw dataset required several corrections before it could be reliably analyzed: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Date fields (issue_date, last_payment_date, last_credit_pull_date, next_payment_date) were stored as text in DD-MM-YYYY format and were converted to proper DATE types.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1,433 records (3.7%) had a missing emp_title. These were retained as NULL rather than removed, since income and loan amount were fully populated for those 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emp_length (text values such as '10+ years', '&lt; 1 year') was converted into a numeric emp_years column to allow correct sorting and averaging.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Inconsistent whitespace in term and other text fields (e.g. ' 36 months') was trimmed.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derived loan_type column (Good / Bad / Current) was created from loan_status to simplify downstream risk and profitability queries.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derived issue_month column (YYYY-MM) was created to enable trend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and member_id were checked for duplicates - none were found.</w:t>
      </w:r>
    </w:p>
    <w:p>
      <w:pPr>
        <w:pStyle w:val="Heading1"/>
        <w:spacing w:after="150" w:before="300"/>
      </w:pPr>
      <w:r>
        <w:t xml:space="preserve">4. Key Performance Indicators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Total Loan Applications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38,576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Total Funded Amount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$435,757,075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Total Amount Received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$473,070,933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Average Interest Rate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12.05%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Average DTI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13.33%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Loan Quality: Good vs. Bad vs. Current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Loan Type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Good (Fully Paid)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32,145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83.33%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Bad (Charged Off)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5,333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13.82%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Current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1,098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2.85%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The large majority of loans (83.3%) were fully repaid, indicating a fundamentally healthy loan book, with charged-off loans representing a manageable 13.8% of applications.</w:t>
      </w:r>
    </w:p>
    <w:p>
      <w:pPr>
        <w:pStyle w:val="Heading1"/>
        <w:spacing w:after="150" w:before="300"/>
      </w:pPr>
      <w:r>
        <w:t xml:space="preserve">6. Risk Analysis</w:t>
      </w:r>
    </w:p>
    <w:p>
      <w:pPr>
        <w:pStyle w:val="Heading2"/>
        <w:spacing w:after="120" w:before="250"/>
      </w:pPr>
      <w:r>
        <w:t xml:space="preserve">6.1 Default Rate by Credit Grade</w:t>
      </w:r>
    </w:p>
    <w:p>
      <w:pPr>
        <w:spacing w:after="150"/>
      </w:pPr>
      <w:r>
        <w:rPr>
          <w:sz w:val="22"/>
          <w:szCs w:val="22"/>
        </w:rPr>
        <w:t xml:space="preserve">Default rate increases consistently and almost linearly as credit grade moves from A to G, confirming that the grading system used to assess borrowers is a reliable predictor of risk: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Loans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Rate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9,689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5.70%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11,674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11.50%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7,904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16.02%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5,182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20.69%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E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2,786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24.80%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F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1,028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30.25%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G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313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31.31%</w:t>
            </w:r>
          </w:p>
        </w:tc>
      </w:tr>
    </w:tbl>
    <w:p>
      <w:pPr>
        <w:spacing w:after="150"/>
      </w:pPr>
    </w:p>
    <w:p>
      <w:pPr>
        <w:pStyle w:val="Heading2"/>
        <w:spacing w:after="120" w:before="250"/>
      </w:pPr>
      <w:r>
        <w:t xml:space="preserve">6.2 Debt-to-Income (DTI) as a Risk Signal</w:t>
      </w:r>
    </w:p>
    <w:p>
      <w:pPr>
        <w:spacing w:after="150"/>
      </w:pPr>
      <w:r>
        <w:rPr>
          <w:sz w:val="22"/>
          <w:szCs w:val="22"/>
        </w:rPr>
        <w:t xml:space="preserve">Average DTI is higher among Bad loans (14.00%) than Good loans (13.17%), supporting DTI as a meaningful, if modest, risk indicator. Current (still-active) loans show the highest average DTI of the three groups (14.72%), worth monitoring as these loans have not yet completed their term.</w:t>
      </w:r>
    </w:p>
    <w:p>
      <w:pPr>
        <w:pStyle w:val="Heading2"/>
        <w:spacing w:after="120" w:before="250"/>
      </w:pPr>
      <w:r>
        <w:t xml:space="preserve">6.3 Verification Status: A Counterintuitive Finding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Verification Status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Loans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Rate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Verified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12,335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15.70%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Source Verified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9,777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14.14%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Not Verified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16,464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12.24%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Contrary to expectation, fully 'Verified' loans defaulted at the highest rate (15.70%), while 'Not Verified' loans defaulted the least (12.24%). A plausible explanation is that verification was not applied at random, but was likely triggered for applications that already appeared riskier (e.g. inconsistent income claims), meaning 'Verified' reflects a flagged application rather than a confirmed-safe one. This is one of the more notable findings of the analysis.</w:t>
      </w:r>
    </w:p>
    <w:p>
      <w:pPr>
        <w:pStyle w:val="Heading2"/>
        <w:spacing w:after="120" w:before="250"/>
      </w:pPr>
      <w:r>
        <w:t xml:space="preserve">6.4 Geographic Concentration</w:t>
      </w:r>
    </w:p>
    <w:p>
      <w:pPr>
        <w:spacing w:after="150"/>
      </w:pPr>
      <w:r>
        <w:rPr>
          <w:sz w:val="22"/>
          <w:szCs w:val="22"/>
        </w:rPr>
        <w:t xml:space="preserve">California accounts for the largest share of the portfolio by a wide margin - 6,894 applications and $78.48M in funded amount, more than New York ($42.08M) and Texas ($31.24M) combined.</w:t>
      </w:r>
    </w:p>
    <w:p>
      <w:pPr>
        <w:pStyle w:val="Heading1"/>
        <w:spacing w:after="150" w:before="300"/>
      </w:pPr>
      <w:r>
        <w:t xml:space="preserve">7. Pricing Analysis</w:t>
      </w:r>
    </w:p>
    <w:p>
      <w:pPr>
        <w:spacing w:after="150"/>
      </w:pPr>
      <w:r>
        <w:rPr>
          <w:sz w:val="22"/>
          <w:szCs w:val="22"/>
        </w:rPr>
        <w:t xml:space="preserve">Interest rates rise together with credit grade, indicating that riskier borrowers were charged proportionally more - evidence that the bank's risk-based pricing model functioned as intended. Comparing average interest rate directly by loan_type (Good vs Bad) further shows whether the additional rate charged to riskier grades was sufficient to offset the higher default rates observed in Section 6.1.</w:t>
      </w:r>
    </w:p>
    <w:p>
      <w:pPr>
        <w:pStyle w:val="Heading1"/>
        <w:spacing w:after="150" w:before="300"/>
      </w:pPr>
      <w:r>
        <w:t xml:space="preserve">8. Borrower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DTI and average income vary across employment tenure (emp_years) and home ownership status, offering a view into which borrower segments are more financially stable.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small number of employers account for a disproportionate share of loan applications, useful for identifying concentration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Average income also varies meaningfully by loan purpose.</w:t>
      </w:r>
    </w:p>
    <w:p>
      <w:pPr>
        <w:pStyle w:val="Heading1"/>
        <w:spacing w:after="150" w:before="300"/>
      </w:pPr>
      <w:r>
        <w:t xml:space="preserve">9. Profitability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Funded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Received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Net Return</w:t>
            </w:r>
          </w:p>
        </w:tc>
      </w:tr>
      <w:tr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$435,757,075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$473,070,933</w:t>
            </w:r>
          </w:p>
        </w:tc>
        <w:tc>
          <w:tcPr>
            <w:tcW w:type="dxa" w:w="4500"/>
          </w:tcPr>
          <w:p>
            <w:r>
              <w:rPr>
                <w:sz w:val="22"/>
                <w:szCs w:val="22"/>
              </w:rPr>
              <w:t xml:space="preserve">+$37,313,858 (8.56%)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Despite a 13.82% default rate, the portfolio generated a net positive return of 8.56% overall - interest income from performing loans more than offset the losses from charged-off loans.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50"/>
      </w:pPr>
      <w:r>
        <w:rPr>
          <w:sz w:val="22"/>
          <w:szCs w:val="22"/>
        </w:rPr>
        <w:t xml:space="preserve">This analysis shows a fundamentally healthy loan portfolio: the credit grading system reliably predicts risk, DTI is a meaningful (if secondary) risk signal, and the portfolio as a whole is profitable despite a moderate default rate. The most actionable finding is the verification-status result in Section 6.3, which suggests the verification process may be functioning more as a risk-flagging mechanism than a risk-reduction one, and could warrant further investigation by the bank's underwriting team.</w:t>
      </w:r>
    </w:p>
    <w:p>
      <w:pPr>
        <w:pStyle w:val="Heading1"/>
        <w:spacing w:after="150" w:before="300"/>
      </w:pPr>
      <w:r>
        <w:t xml:space="preserve">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MySQL / MySQL Workbench - data cleaning, transformation, and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Microsoft Excel / Power BI - dashboard and visualization (in progress)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2026-07-10T00:34:27.918Z</dcterms:created>
  <dcterms:modified xsi:type="dcterms:W3CDTF">2026-07-10T00:34:27.928Z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