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40" w:lineRule="auto"/>
      </w:pPr>
      <w:r>
        <w:rPr>
          <w:rFonts w:ascii="Calibri" w:hAnsi="Calibri"/>
          <w:b/>
          <w:color w:val="F15B4A"/>
          <w:sz w:val="18"/>
        </w:rPr>
        <w:t>A2 SUBMISSION / PROJECT RATIONALE</w:t>
      </w:r>
    </w:p>
    <w:p>
      <w:pPr>
        <w:spacing w:before="0" w:after="40" w:line="228" w:lineRule="auto"/>
      </w:pPr>
      <w:r>
        <w:rPr>
          <w:rFonts w:ascii="Calibri" w:hAnsi="Calibri"/>
          <w:b/>
          <w:color w:val="0B2545"/>
          <w:sz w:val="56"/>
        </w:rPr>
        <w:t>OPTICS OVER</w:t>
        <w:br/>
        <w:t>REALITY</w:t>
      </w:r>
    </w:p>
    <w:p>
      <w:pPr>
        <w:spacing w:before="0" w:after="360" w:line="240" w:lineRule="auto"/>
      </w:pPr>
      <w:r>
        <w:rPr>
          <w:rFonts w:ascii="Calibri" w:hAnsi="Calibri"/>
          <w:color w:val="5F6870"/>
          <w:sz w:val="26"/>
        </w:rPr>
        <w:t>An interactive visualisation of how a public-facing image can make displacement easier to ignore.</w:t>
      </w:r>
    </w:p>
    <w:p>
      <w:pPr>
        <w:spacing w:before="0" w:after="240" w:line="276" w:lineRule="auto"/>
        <w:shd w:val="clear" w:color="auto" w:fill="EAF1F7"/>
        <w:pBdr>
          <w:left w:val="single" w:sz="24" w:space="10" w:color="F15B4A"/>
        </w:pBdr>
      </w:pPr>
      <w:r>
        <w:rPr>
          <w:rFonts w:ascii="Calibri" w:hAnsi="Calibri"/>
          <w:b/>
          <w:color w:val="F15B4A"/>
          <w:sz w:val="18"/>
        </w:rPr>
        <w:t>PROJECT INTENT</w:t>
        <w:br/>
      </w:r>
      <w:r>
        <w:rPr>
          <w:rFonts w:ascii="Calibri" w:hAnsi="Calibri"/>
          <w:color w:val="1C1F21"/>
          <w:sz w:val="21"/>
        </w:rPr>
        <w:t>This A2 project brings our A1 iceberg insight to life: in India, city-making around high-visibility events and world-class development can prioritise the image presented to outsiders, while people, homes and livelihoods are moved outside that image.</w:t>
      </w:r>
    </w:p>
    <w:p>
      <w:pPr>
        <w:pStyle w:val="Heading1"/>
        <w:spacing w:before="320" w:after="120" w:line="240" w:lineRule="auto"/>
      </w:pPr>
      <w:r>
        <w:rPr>
          <w:rFonts w:ascii="Calibri" w:hAnsi="Calibri"/>
          <w:b/>
          <w:color w:val="2E74B5"/>
          <w:sz w:val="30"/>
        </w:rPr>
        <w:t>The research insight</w:t>
      </w:r>
    </w:p>
    <w:p>
      <w:pPr>
        <w:spacing w:before="0" w:after="140" w:line="264" w:lineRule="auto"/>
      </w:pPr>
      <w:r>
        <w:rPr>
          <w:rFonts w:ascii="Calibri" w:hAnsi="Calibri"/>
          <w:i w:val="0"/>
          <w:color w:val="1C1F21"/>
          <w:sz w:val="21"/>
        </w:rPr>
        <w:t>The project asks: how does a city turn a selective public image into evidence of progress? The four case channels show a repeated relationship between visible improvement and less-visible displacement. They are not presented as identical events; they are evidence of a recurring pattern identified through the A1 research.</w:t>
      </w:r>
    </w:p>
    <w:p>
      <w:pPr>
        <w:spacing w:before="0" w:after="240" w:line="300" w:lineRule="auto"/>
      </w:pPr>
      <w:r>
        <w:rPr>
          <w:rFonts w:ascii="Calibri" w:hAnsi="Calibri"/>
          <w:b/>
          <w:color w:val="2E74B5"/>
          <w:sz w:val="20"/>
        </w:rPr>
        <w:t>WHAT IS SHOWN</w:t>
      </w:r>
      <w:r>
        <w:rPr>
          <w:rFonts w:ascii="Calibri" w:hAnsi="Calibri"/>
          <w:b/>
          <w:color w:val="5F6870"/>
          <w:sz w:val="20"/>
        </w:rPr>
        <w:t xml:space="preserve">  -&gt;  </w:t>
      </w:r>
      <w:r>
        <w:rPr>
          <w:rFonts w:ascii="Calibri" w:hAnsi="Calibri"/>
          <w:b/>
          <w:color w:val="F15B4A"/>
          <w:sz w:val="20"/>
        </w:rPr>
        <w:t>WHAT IS PUSHED OUTSIDE THE FRAME</w:t>
      </w:r>
      <w:r>
        <w:rPr>
          <w:rFonts w:ascii="Calibri" w:hAnsi="Calibri"/>
          <w:b/>
          <w:color w:val="5F6870"/>
          <w:sz w:val="20"/>
        </w:rPr>
        <w:t xml:space="preserve">  -&gt;  </w:t>
      </w:r>
      <w:r>
        <w:rPr>
          <w:rFonts w:ascii="Calibri" w:hAnsi="Calibri"/>
          <w:b/>
          <w:color w:val="0B2545"/>
          <w:sz w:val="20"/>
        </w:rPr>
        <w:t>WHAT BECOMES "PROGRESS"</w:t>
      </w:r>
    </w:p>
    <w:p>
      <w:pPr>
        <w:pStyle w:val="Heading1"/>
        <w:spacing w:before="320" w:after="120" w:line="240" w:lineRule="auto"/>
      </w:pPr>
      <w:r>
        <w:rPr>
          <w:rFonts w:ascii="Calibri" w:hAnsi="Calibri"/>
          <w:b/>
          <w:color w:val="2E74B5"/>
          <w:sz w:val="30"/>
        </w:rPr>
        <w:t>How to read the interaction</w:t>
      </w:r>
    </w:p>
    <w:p>
      <w:pPr>
        <w:spacing w:before="0" w:after="100" w:line="252" w:lineRule="auto"/>
      </w:pPr>
      <w:r>
        <w:rPr>
          <w:rFonts w:ascii="Calibri" w:hAnsi="Calibri"/>
          <w:b/>
          <w:color w:val="2E74B5"/>
          <w:sz w:val="18"/>
        </w:rPr>
        <w:t>01 / SELECT A CHANNEL</w:t>
      </w:r>
      <w:r>
        <w:rPr>
          <w:rFonts w:ascii="Calibri" w:hAnsi="Calibri"/>
          <w:color w:val="1C1F21"/>
          <w:sz w:val="20"/>
        </w:rPr>
        <w:br/>
        <w:t>Choose one of four India-based case records on the CRT rail.</w:t>
      </w:r>
    </w:p>
    <w:p>
      <w:pPr>
        <w:spacing w:before="0" w:after="100" w:line="252" w:lineRule="auto"/>
      </w:pPr>
      <w:r>
        <w:rPr>
          <w:rFonts w:ascii="Calibri" w:hAnsi="Calibri"/>
          <w:b/>
          <w:color w:val="2E74B5"/>
          <w:sz w:val="18"/>
        </w:rPr>
        <w:t>02 / READ THE NARROW VIEW</w:t>
      </w:r>
      <w:r>
        <w:rPr>
          <w:rFonts w:ascii="Calibri" w:hAnsi="Calibri"/>
          <w:color w:val="1C1F21"/>
          <w:sz w:val="20"/>
        </w:rPr>
        <w:br/>
        <w:t>The framed image stands for the polished, public-facing layer of the city.</w:t>
      </w:r>
    </w:p>
    <w:p>
      <w:pPr>
        <w:spacing w:before="0" w:after="100" w:line="252" w:lineRule="auto"/>
      </w:pPr>
      <w:r>
        <w:rPr>
          <w:rFonts w:ascii="Calibri" w:hAnsi="Calibri"/>
          <w:b/>
          <w:color w:val="2E74B5"/>
          <w:sz w:val="18"/>
        </w:rPr>
        <w:t>03 / ZOOM OUT / REVEAL RECORD</w:t>
      </w:r>
      <w:r>
        <w:rPr>
          <w:rFonts w:ascii="Calibri" w:hAnsi="Calibri"/>
          <w:color w:val="1C1F21"/>
          <w:sz w:val="20"/>
        </w:rPr>
        <w:br/>
        <w:t>The frame expands and the case evidence becomes readable beyond the first impression.</w:t>
      </w:r>
    </w:p>
    <w:p>
      <w:pPr>
        <w:spacing w:before="0" w:after="100" w:line="252" w:lineRule="auto"/>
      </w:pPr>
      <w:r>
        <w:rPr>
          <w:rFonts w:ascii="Calibri" w:hAnsi="Calibri"/>
          <w:b/>
          <w:color w:val="2E74B5"/>
          <w:sz w:val="18"/>
        </w:rPr>
        <w:t>04 / COMPARE THE TWO VIEWS</w:t>
      </w:r>
      <w:r>
        <w:rPr>
          <w:rFonts w:ascii="Calibri" w:hAnsi="Calibri"/>
          <w:color w:val="1C1F21"/>
          <w:sz w:val="20"/>
        </w:rPr>
        <w:br/>
        <w:t>The interaction makes the gap between visibility and lived consequence felt rather than only explained.</w:t>
      </w:r>
    </w:p>
    <w:p>
      <w:pPr>
        <w:spacing w:before="160" w:after="80" w:line="276" w:lineRule="auto"/>
        <w:shd w:val="clear" w:color="auto" w:fill="F2F4F7"/>
        <w:pBdr>
          <w:left w:val="single" w:sz="16" w:space="8" w:color="0B2545"/>
        </w:pBdr>
      </w:pPr>
      <w:r>
        <w:rPr>
          <w:rFonts w:ascii="Calibri" w:hAnsi="Calibri"/>
          <w:b/>
          <w:color w:val="F15B4A"/>
          <w:sz w:val="18"/>
        </w:rPr>
        <w:t>WHY THE CRT SHELL MATTERS</w:t>
        <w:br/>
      </w:r>
      <w:r>
        <w:rPr>
          <w:rFonts w:ascii="Calibri" w:hAnsi="Calibri"/>
          <w:color w:val="1C1F21"/>
          <w:sz w:val="20"/>
        </w:rPr>
        <w:t>The television is a metaphor for mediated public vision: a screen selects what can be seen, a channel selects which record is heard, and zooming out reveals that the first view was never the whole story.</w:t>
      </w:r>
    </w:p>
    <w:p>
      <w:r>
        <w:br w:type="page"/>
      </w:r>
    </w:p>
    <w:p>
      <w:pPr>
        <w:pStyle w:val="Heading1"/>
        <w:spacing w:before="320" w:after="120" w:line="240" w:lineRule="auto"/>
      </w:pPr>
      <w:r>
        <w:rPr>
          <w:rFonts w:ascii="Calibri" w:hAnsi="Calibri"/>
          <w:b/>
          <w:color w:val="2E74B5"/>
          <w:sz w:val="30"/>
        </w:rPr>
        <w:t>The four case records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C1F21"/>
          <w:sz w:val="21"/>
        </w:rPr>
        <w:t>Each channel pairs a concise research finding with a source. The image is an illustrative public-facing view, not documentary evidence from any one case. The written findings and linked sources are the evidence.</w:t>
      </w:r>
    </w:p>
    <w:p>
      <w:pPr>
        <w:spacing w:before="160" w:after="40" w:line="240" w:lineRule="auto"/>
      </w:pPr>
      <w:r>
        <w:rPr>
          <w:rFonts w:ascii="Calibri" w:hAnsi="Calibri"/>
          <w:b/>
          <w:color w:val="F15B4A"/>
          <w:sz w:val="18"/>
        </w:rPr>
        <w:t>01 / AHMEDABAD / THE WALL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2"/>
        </w:rPr>
        <w:t>THE WALL HID THE SETTLEMENT. IT DID NOT REMOVE IT.</w:t>
      </w:r>
    </w:p>
    <w:p>
      <w:pPr>
        <w:spacing w:before="0" w:after="40" w:line="259" w:lineRule="auto"/>
      </w:pPr>
      <w:r>
        <w:rPr>
          <w:rFonts w:ascii="Calibri" w:hAnsi="Calibri"/>
          <w:color w:val="1C1F21"/>
          <w:sz w:val="20"/>
        </w:rPr>
        <w:t>Ahead of Donald Trump's February 2020 visit, Ahmedabad built a wall along his motorcade route. Officials cited security and beautification; critics said it blocked the view of a nearby slum.</w:t>
      </w:r>
    </w:p>
    <w:p>
      <w:pPr>
        <w:spacing w:before="0" w:after="100" w:line="240" w:lineRule="auto"/>
      </w:pPr>
      <w:r>
        <w:rPr>
          <w:rFonts w:ascii="Calibri" w:hAnsi="Calibri"/>
          <w:i/>
          <w:color w:val="5F6870"/>
          <w:sz w:val="17"/>
        </w:rPr>
        <w:t>REPORTING / ASSOCIATED PRESS VIA LOS ANGELES TIMES / 18 FEBRUARY 2020</w:t>
      </w:r>
    </w:p>
    <w:p>
      <w:pPr>
        <w:spacing w:before="160" w:after="40" w:line="240" w:lineRule="auto"/>
      </w:pPr>
      <w:r>
        <w:rPr>
          <w:rFonts w:ascii="Calibri" w:hAnsi="Calibri"/>
          <w:b/>
          <w:color w:val="F15B4A"/>
          <w:sz w:val="18"/>
        </w:rPr>
        <w:t>02 / NEW DELHI / THE MAKEOVER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2"/>
        </w:rPr>
        <w:t>THE MAKEOVER WAS VISIBLE. THE DISPLACEMENT WAS NOT.</w:t>
      </w:r>
    </w:p>
    <w:p>
      <w:pPr>
        <w:spacing w:before="0" w:after="40" w:line="259" w:lineRule="auto"/>
      </w:pPr>
      <w:r>
        <w:rPr>
          <w:rFonts w:ascii="Calibri" w:hAnsi="Calibri"/>
          <w:color w:val="1C1F21"/>
          <w:sz w:val="20"/>
        </w:rPr>
        <w:t>Ahead of the 2023 G20 summit, New Delhi resurfaced roads, added lights, murals and flowers. AP reported that hundreds of houses and roadside stalls were demolished, displacing thousands; many residents received short-notice evictions.</w:t>
      </w:r>
    </w:p>
    <w:p>
      <w:pPr>
        <w:spacing w:before="0" w:after="100" w:line="240" w:lineRule="auto"/>
      </w:pPr>
      <w:r>
        <w:rPr>
          <w:rFonts w:ascii="Calibri" w:hAnsi="Calibri"/>
          <w:i/>
          <w:color w:val="5F6870"/>
          <w:sz w:val="17"/>
        </w:rPr>
        <w:t>REPORTING / ASSOCIATED PRESS / 4 SEPTEMBER 2023</w:t>
      </w:r>
    </w:p>
    <w:p>
      <w:pPr>
        <w:spacing w:before="160" w:after="40" w:line="240" w:lineRule="auto"/>
      </w:pPr>
      <w:r>
        <w:rPr>
          <w:rFonts w:ascii="Calibri" w:hAnsi="Calibri"/>
          <w:b/>
          <w:color w:val="F15B4A"/>
          <w:sz w:val="18"/>
        </w:rPr>
        <w:t>03 / NEW DELHI / THE GAMES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2"/>
        </w:rPr>
        <w:t>THE STADIUM WAS CENTRAL. RESETTLEMENT WAS NOT.</w:t>
      </w:r>
    </w:p>
    <w:p>
      <w:pPr>
        <w:spacing w:before="0" w:after="40" w:line="259" w:lineRule="auto"/>
      </w:pPr>
      <w:r>
        <w:rPr>
          <w:rFonts w:ascii="Calibri" w:hAnsi="Calibri"/>
          <w:color w:val="1C1F21"/>
          <w:sz w:val="20"/>
        </w:rPr>
        <w:t>Bhan and Menon-Sen's study followed nearly 3,000 households evicted during preparations for Delhi's Commonwealth Games and relocated to Bawana on the city's edge, documenting losses of rights and livelihoods.</w:t>
      </w:r>
    </w:p>
    <w:p>
      <w:pPr>
        <w:spacing w:before="0" w:after="100" w:line="240" w:lineRule="auto"/>
      </w:pPr>
      <w:r>
        <w:rPr>
          <w:rFonts w:ascii="Calibri" w:hAnsi="Calibri"/>
          <w:i/>
          <w:color w:val="5F6870"/>
          <w:sz w:val="17"/>
        </w:rPr>
        <w:t>STUDY / BHAN &amp; MENON-SEN / YODA PRESS / 2008</w:t>
      </w:r>
    </w:p>
    <w:p>
      <w:pPr>
        <w:spacing w:before="160" w:after="40" w:line="240" w:lineRule="auto"/>
      </w:pPr>
      <w:r>
        <w:rPr>
          <w:rFonts w:ascii="Calibri" w:hAnsi="Calibri"/>
          <w:b/>
          <w:color w:val="F15B4A"/>
          <w:sz w:val="18"/>
        </w:rPr>
        <w:t>04 / AHMEDABAD / THE RIVERFRONT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2"/>
        </w:rPr>
        <w:t>THE NEW EDGE WAS VISIBLE. THE OLD HOMES WERE NOT.</w:t>
      </w:r>
    </w:p>
    <w:p>
      <w:pPr>
        <w:spacing w:before="0" w:after="40" w:line="259" w:lineRule="auto"/>
      </w:pPr>
      <w:r>
        <w:rPr>
          <w:rFonts w:ascii="Calibri" w:hAnsi="Calibri"/>
          <w:color w:val="1C1F21"/>
          <w:sz w:val="20"/>
        </w:rPr>
        <w:t>Research on Ahmedabad's "world-class city" projects estimates 28,000 houses in 47 slums were demolished from 2003 to 2010, followed by another 1,000 houses from 20 slums along the Sabarmati riverfront in May 2011.</w:t>
      </w:r>
    </w:p>
    <w:p>
      <w:pPr>
        <w:spacing w:before="0" w:after="100" w:line="240" w:lineRule="auto"/>
      </w:pPr>
      <w:r>
        <w:rPr>
          <w:rFonts w:ascii="Calibri" w:hAnsi="Calibri"/>
          <w:i/>
          <w:color w:val="5F6870"/>
          <w:sz w:val="17"/>
        </w:rPr>
        <w:t>STUDY / PATEL, SLUIZAS &amp; MATHUR / ENVIRONMENT &amp; URBANIZATION / 2015</w:t>
      </w:r>
    </w:p>
    <w:p>
      <w:pPr>
        <w:pStyle w:val="Heading1"/>
        <w:spacing w:before="320" w:after="120" w:line="240" w:lineRule="auto"/>
      </w:pPr>
      <w:r>
        <w:rPr>
          <w:rFonts w:ascii="Calibri" w:hAnsi="Calibri"/>
          <w:b/>
          <w:color w:val="2E74B5"/>
          <w:sz w:val="30"/>
        </w:rPr>
        <w:t>Why this satisfies the A2 brief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C1F21"/>
          <w:sz w:val="21"/>
        </w:rPr>
        <w:t>The project does not simply display research. It gives the insight a clear visual argument: a narrow frame can make the public image feel complete; expanding that frame reveals the people and consequences that the first view leaves out.</w:t>
      </w:r>
    </w:p>
    <w:p>
      <w:pPr>
        <w:spacing w:before="0" w:after="60" w:line="252" w:lineRule="auto"/>
      </w:pPr>
      <w:r>
        <w:rPr>
          <w:rFonts w:ascii="Calibri" w:hAnsi="Calibri"/>
          <w:b/>
          <w:color w:val="2E74B5"/>
          <w:sz w:val="18"/>
        </w:rPr>
        <w:t>CLEAR</w:t>
      </w:r>
      <w:r>
        <w:rPr>
          <w:rFonts w:ascii="Calibri" w:hAnsi="Calibri"/>
          <w:color w:val="1C1F21"/>
          <w:sz w:val="20"/>
        </w:rPr>
        <w:t xml:space="preserve">  A viewer can identify the topic, the four cases, the event/development context, and the displacement pattern.</w:t>
      </w:r>
    </w:p>
    <w:p>
      <w:pPr>
        <w:spacing w:before="0" w:after="60" w:line="252" w:lineRule="auto"/>
      </w:pPr>
      <w:r>
        <w:rPr>
          <w:rFonts w:ascii="Calibri" w:hAnsi="Calibri"/>
          <w:b/>
          <w:color w:val="2E74B5"/>
          <w:sz w:val="18"/>
        </w:rPr>
        <w:t>COMPELLING</w:t>
      </w:r>
      <w:r>
        <w:rPr>
          <w:rFonts w:ascii="Calibri" w:hAnsi="Calibri"/>
          <w:color w:val="1C1F21"/>
          <w:sz w:val="20"/>
        </w:rPr>
        <w:t xml:space="preserve">  The viewer performs the central idea by changing the frame rather than only reading an explanation.</w:t>
      </w:r>
    </w:p>
    <w:p>
      <w:pPr>
        <w:spacing w:before="0" w:after="60" w:line="252" w:lineRule="auto"/>
      </w:pPr>
      <w:r>
        <w:rPr>
          <w:rFonts w:ascii="Calibri" w:hAnsi="Calibri"/>
          <w:b/>
          <w:color w:val="2E74B5"/>
          <w:sz w:val="18"/>
        </w:rPr>
        <w:t>GROUNDED</w:t>
      </w:r>
      <w:r>
        <w:rPr>
          <w:rFonts w:ascii="Calibri" w:hAnsi="Calibri"/>
          <w:color w:val="1C1F21"/>
          <w:sz w:val="20"/>
        </w:rPr>
        <w:t xml:space="preserve">  Case-specific copy is paired with visible source types and direct source links in the experience.</w:t>
      </w:r>
    </w:p>
    <w:p>
      <w:pPr>
        <w:spacing w:before="0" w:after="60" w:line="252" w:lineRule="auto"/>
      </w:pPr>
      <w:r>
        <w:rPr>
          <w:rFonts w:ascii="Calibri" w:hAnsi="Calibri"/>
          <w:b/>
          <w:color w:val="2E74B5"/>
          <w:sz w:val="18"/>
        </w:rPr>
        <w:t>REFLECTIVE</w:t>
      </w:r>
      <w:r>
        <w:rPr>
          <w:rFonts w:ascii="Calibri" w:hAnsi="Calibri"/>
          <w:color w:val="1C1F21"/>
          <w:sz w:val="20"/>
        </w:rPr>
        <w:t xml:space="preserve">  The final insight connects visibility to public perception: when the frame becomes the story, what falls outside it becomes easier to ignore.</w:t>
      </w:r>
    </w:p>
    <w:p>
      <w:pPr>
        <w:pStyle w:val="Heading1"/>
        <w:spacing w:before="320" w:after="120" w:line="240" w:lineRule="auto"/>
      </w:pPr>
      <w:r>
        <w:rPr>
          <w:rFonts w:ascii="Calibri" w:hAnsi="Calibri"/>
          <w:b/>
          <w:color w:val="2E74B5"/>
          <w:sz w:val="30"/>
        </w:rPr>
        <w:t>Source register</w:t>
      </w:r>
    </w:p>
    <w:p>
      <w:pPr>
        <w:spacing w:before="0" w:after="60" w:line="240" w:lineRule="auto"/>
      </w:pPr>
      <w:r>
        <w:rPr>
          <w:rFonts w:ascii="Calibri" w:hAnsi="Calibri"/>
          <w:color w:val="5F6870"/>
          <w:sz w:val="17"/>
        </w:rPr>
        <w:t xml:space="preserve">01 / Ahmedabad wall - </w:t>
      </w:r>
      <w:hyperlink r:id="rId11">
        <w:r>
          <w:rPr>
            <w:rFonts w:ascii="Calibri" w:hAnsi="Calibri"/>
            <w:color w:val="2E74B5"/>
            <w:u w:val="single"/>
          </w:rPr>
          <w:t>https://www.latimes.com/world-nation/story/2020-02-18/india-hastily-builds-wall-along-slum-ahead-of-trump-visit</w:t>
        </w:r>
      </w:hyperlink>
    </w:p>
    <w:p>
      <w:pPr>
        <w:spacing w:before="0" w:after="60" w:line="240" w:lineRule="auto"/>
      </w:pPr>
      <w:r>
        <w:rPr>
          <w:rFonts w:ascii="Calibri" w:hAnsi="Calibri"/>
          <w:color w:val="5F6870"/>
          <w:sz w:val="17"/>
        </w:rPr>
        <w:t xml:space="preserve">02 / New Delhi G20 - </w:t>
      </w:r>
      <w:hyperlink r:id="rId12">
        <w:r>
          <w:rPr>
            <w:rFonts w:ascii="Calibri" w:hAnsi="Calibri"/>
            <w:color w:val="2E74B5"/>
            <w:u w:val="single"/>
          </w:rPr>
          <w:t>https://apnews.com/article/9d449f133d5ed0aa8855ee65485ce873</w:t>
        </w:r>
      </w:hyperlink>
    </w:p>
    <w:p>
      <w:pPr>
        <w:spacing w:before="0" w:after="60" w:line="240" w:lineRule="auto"/>
      </w:pPr>
      <w:r>
        <w:rPr>
          <w:rFonts w:ascii="Calibri" w:hAnsi="Calibri"/>
          <w:color w:val="5F6870"/>
          <w:sz w:val="17"/>
        </w:rPr>
        <w:t xml:space="preserve">03 / Commonwealth Games resettlement - </w:t>
      </w:r>
      <w:hyperlink r:id="rId13">
        <w:r>
          <w:rPr>
            <w:rFonts w:ascii="Calibri" w:hAnsi="Calibri"/>
            <w:color w:val="2E74B5"/>
            <w:u w:val="single"/>
          </w:rPr>
          <w:t>https://iihs.co.in/publication/swept-off-the-map-surviving-eviction-and-resettlement-in-delhi/</w:t>
        </w:r>
      </w:hyperlink>
    </w:p>
    <w:p>
      <w:pPr>
        <w:spacing w:before="0" w:after="60" w:line="240" w:lineRule="auto"/>
      </w:pPr>
      <w:r>
        <w:rPr>
          <w:rFonts w:ascii="Calibri" w:hAnsi="Calibri"/>
          <w:color w:val="5F6870"/>
          <w:sz w:val="17"/>
        </w:rPr>
        <w:t xml:space="preserve">04 / Sabarmati riverfront - </w:t>
      </w:r>
      <w:hyperlink r:id="rId14">
        <w:r>
          <w:rPr>
            <w:rFonts w:ascii="Calibri" w:hAnsi="Calibri"/>
            <w:color w:val="2E74B5"/>
            <w:u w:val="single"/>
          </w:rPr>
          <w:t>https://journals.sagepub.com/doi/10.1177/0956247815569128</w:t>
        </w:r>
      </w:hyperlink>
    </w:p>
    <w:p>
      <w:pPr>
        <w:spacing w:before="200" w:after="0" w:line="240" w:lineRule="auto"/>
      </w:pPr>
      <w:r>
        <w:rPr>
          <w:rFonts w:ascii="Calibri" w:hAnsi="Calibri"/>
          <w:i/>
          <w:color w:val="5F6870"/>
          <w:sz w:val="17"/>
        </w:rPr>
        <w:t>Research note: the photograph used in the experience is illustrative. It is not presented as evidence from a specific case study. The annotations and linked sources carry the research claims.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40" w:lineRule="auto"/>
      <w:jc w:val="right"/>
    </w:pPr>
    <w:r>
      <w:rPr>
        <w:rFonts w:ascii="Calibri" w:hAnsi="Calibri"/>
        <w:color w:val="5F6870"/>
        <w:sz w:val="16"/>
      </w:rPr>
      <w:t>INTERACTIVE RESEARCH VISUALISATION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80" w:line="240" w:lineRule="auto"/>
      <w:jc w:val="left"/>
    </w:pPr>
    <w:r>
      <w:rPr>
        <w:rFonts w:ascii="Calibri" w:hAnsi="Calibri"/>
        <w:b/>
        <w:color w:val="5F6870"/>
        <w:sz w:val="16"/>
      </w:rPr>
      <w:t>OPTICS OVER REALITY / A2</w:t>
    </w:r>
    <w:r>
      <w:rPr>
        <w:rFonts w:ascii="Calibri" w:hAnsi="Calibri"/>
        <w:color w:val="5F6870"/>
        <w:sz w:val="16"/>
      </w:rPr>
      <w:tab/>
      <w:t>SUBMISSION COMPANION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C1F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latimes.com/world-nation/story/2020-02-18/india-hastily-builds-wall-along-slum-ahead-of-trump-visit" TargetMode="External"/><Relationship Id="rId12" Type="http://schemas.openxmlformats.org/officeDocument/2006/relationships/hyperlink" Target="https://apnews.com/article/9d449f133d5ed0aa8855ee65485ce873" TargetMode="External"/><Relationship Id="rId13" Type="http://schemas.openxmlformats.org/officeDocument/2006/relationships/hyperlink" Target="https://iihs.co.in/publication/swept-off-the-map-surviving-eviction-and-resettlement-in-delhi/" TargetMode="External"/><Relationship Id="rId14" Type="http://schemas.openxmlformats.org/officeDocument/2006/relationships/hyperlink" Target="https://journals.sagepub.com/doi/10.1177/0956247815569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