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1B365D"/>
          <w:sz w:val="44"/>
        </w:rPr>
        <w:t>Week 5: Comprehensive Data Science Project Reporting &amp; Strategic Recommendations</w:t>
      </w:r>
    </w:p>
    <w:p>
      <w:pPr>
        <w:spacing w:after="360"/>
      </w:pPr>
      <w:r>
        <w:rPr>
          <w:rFonts w:ascii="Arial" w:hAnsi="Arial"/>
          <w:i/>
          <w:color w:val="646464"/>
          <w:sz w:val="26"/>
        </w:rPr>
        <w:t>End-to-End Technical Synthesis, Data Analysis, and Executive Decision Framework</w:t>
      </w:r>
    </w:p>
    <w:tbl>
      <w:tblPr>
        <w:tblW w:type="auto" w:w="0"/>
        <w:jc w:val="center"/>
        <w:tblLook w:firstColumn="1" w:firstRow="1" w:lastColumn="0" w:lastRow="0" w:noHBand="0" w:noVBand="1" w:val="04A0"/>
      </w:tblPr>
      <w:tblGrid>
        <w:gridCol w:w="4680"/>
        <w:gridCol w:w="4680"/>
      </w:tblGrid>
      <w:tr>
        <w:tc>
          <w:tcPr>
            <w:tcW w:type="dxa" w:w="4680"/>
            <w:shd w:fill="F7F9FA"/>
            <w:tcMar>
              <w:top w:w="100" w:type="dxa"/>
              <w:bottom w:w="100" w:type="dxa"/>
              <w:left w:w="150" w:type="dxa"/>
              <w:right w:w="150" w:type="dxa"/>
            </w:tcMar>
          </w:tcPr>
          <w:p>
            <w:pPr>
              <w:spacing w:after="0"/>
            </w:pPr>
            <w:r>
              <w:rPr>
                <w:rFonts w:ascii="Calibri" w:hAnsi="Calibri"/>
                <w:b/>
                <w:color w:val="1B365D"/>
                <w:sz w:val="20"/>
              </w:rPr>
              <w:t>Student Name:</w:t>
            </w:r>
            <w:r>
              <w:rPr>
                <w:rFonts w:ascii="Calibri" w:hAnsi="Calibri"/>
                <w:color w:val="333333"/>
                <w:sz w:val="20"/>
              </w:rPr>
              <w:t xml:space="preserve"> Tanishka Tandon</w:t>
            </w:r>
          </w:p>
        </w:tc>
        <w:tc>
          <w:tcPr>
            <w:tcW w:type="dxa" w:w="4680"/>
            <w:shd w:fill="F7F9FA"/>
            <w:tcMar>
              <w:top w:w="100" w:type="dxa"/>
              <w:bottom w:w="100" w:type="dxa"/>
              <w:left w:w="150" w:type="dxa"/>
              <w:right w:w="150" w:type="dxa"/>
            </w:tcMar>
          </w:tcPr>
          <w:p>
            <w:pPr>
              <w:spacing w:after="0"/>
            </w:pPr>
            <w:r>
              <w:rPr>
                <w:rFonts w:ascii="Calibri" w:hAnsi="Calibri"/>
                <w:b/>
                <w:color w:val="1B365D"/>
                <w:sz w:val="20"/>
              </w:rPr>
              <w:t>Course Code:</w:t>
            </w:r>
            <w:r>
              <w:rPr>
                <w:rFonts w:ascii="Calibri" w:hAnsi="Calibri"/>
                <w:color w:val="333333"/>
                <w:sz w:val="20"/>
              </w:rPr>
              <w:t xml:space="preserve"> 26CSEC309 - Data Science &amp; Analytics</w:t>
            </w:r>
          </w:p>
        </w:tc>
      </w:tr>
      <w:tr>
        <w:tc>
          <w:tcPr>
            <w:tcW w:type="dxa" w:w="4680"/>
            <w:shd w:fill="F7F9FA"/>
            <w:tcMar>
              <w:top w:w="100" w:type="dxa"/>
              <w:bottom w:w="100" w:type="dxa"/>
              <w:left w:w="150" w:type="dxa"/>
              <w:right w:w="150" w:type="dxa"/>
            </w:tcMar>
          </w:tcPr>
          <w:p>
            <w:pPr>
              <w:spacing w:after="0"/>
            </w:pPr>
            <w:r>
              <w:rPr>
                <w:rFonts w:ascii="Calibri" w:hAnsi="Calibri"/>
                <w:b/>
                <w:color w:val="1B365D"/>
                <w:sz w:val="20"/>
              </w:rPr>
              <w:t>Roll Number:</w:t>
            </w:r>
            <w:r>
              <w:rPr>
                <w:rFonts w:ascii="Calibri" w:hAnsi="Calibri"/>
                <w:color w:val="333333"/>
                <w:sz w:val="20"/>
              </w:rPr>
              <w:t xml:space="preserve"> 25SCS1003001558</w:t>
            </w:r>
          </w:p>
        </w:tc>
        <w:tc>
          <w:tcPr>
            <w:tcW w:type="dxa" w:w="4680"/>
            <w:shd w:fill="F7F9FA"/>
            <w:tcMar>
              <w:top w:w="100" w:type="dxa"/>
              <w:bottom w:w="100" w:type="dxa"/>
              <w:left w:w="150" w:type="dxa"/>
              <w:right w:w="150" w:type="dxa"/>
            </w:tcMar>
          </w:tcPr>
          <w:p>
            <w:pPr>
              <w:spacing w:after="0"/>
            </w:pPr>
            <w:r>
              <w:rPr>
                <w:rFonts w:ascii="Calibri" w:hAnsi="Calibri"/>
                <w:b/>
                <w:color w:val="1B365D"/>
                <w:sz w:val="20"/>
              </w:rPr>
              <w:t>Section / Sem:</w:t>
            </w:r>
            <w:r>
              <w:rPr>
                <w:rFonts w:ascii="Calibri" w:hAnsi="Calibri"/>
                <w:color w:val="333333"/>
                <w:sz w:val="20"/>
              </w:rPr>
              <w:t xml:space="preserve"> 2CSE21 | 3rd Semester B.Tech</w:t>
            </w:r>
          </w:p>
        </w:tc>
      </w:tr>
    </w:tbl>
    <w:p>
      <w:pPr>
        <w:spacing w:after="240"/>
      </w:pPr>
    </w:p>
    <w:p>
      <w:pPr>
        <w:keepNext/>
        <w:spacing w:before="360" w:after="120"/>
      </w:pPr>
      <w:r>
        <w:rPr>
          <w:rFonts w:ascii="Arial" w:hAnsi="Arial"/>
          <w:b/>
          <w:color w:val="1B365D"/>
          <w:sz w:val="32"/>
        </w:rPr>
        <w:t>1. Executive Summary</w:t>
      </w:r>
    </w:p>
    <w:p>
      <w:pPr>
        <w:spacing w:before="0" w:after="120" w:line="276" w:lineRule="auto"/>
      </w:pPr>
      <w:r>
        <w:rPr>
          <w:rFonts w:ascii="Calibri" w:hAnsi="Calibri"/>
          <w:color w:val="333333"/>
          <w:sz w:val="22"/>
        </w:rPr>
        <w:t>This final report integrates the full spectrum of data science methodologies executed across the preceding five weeks of technical research. The primary objective is to synthesize complex data cleaning, exploratory data analysis (EDA), predictive statistical modeling, and quantitative validation into actionable, business-ready strategic recommendations.</w:t>
      </w:r>
    </w:p>
    <w:p>
      <w:pPr>
        <w:spacing w:before="0" w:after="120" w:line="276" w:lineRule="auto"/>
      </w:pPr>
      <w:r>
        <w:rPr>
          <w:rFonts w:ascii="Calibri" w:hAnsi="Calibri"/>
          <w:color w:val="333333"/>
          <w:sz w:val="22"/>
        </w:rPr>
        <w:t>By transitioning raw datasets into verified analytical assets, this project demonstrates how machine learning workflows empower senior stakeholders to make data-backed operational decisions, mitigate systemic risks, and optimize enterprise resource distribution.</w:t>
      </w:r>
    </w:p>
    <w:p>
      <w:pPr>
        <w:keepNext/>
        <w:spacing w:before="360" w:after="120"/>
      </w:pPr>
      <w:r>
        <w:rPr>
          <w:rFonts w:ascii="Arial" w:hAnsi="Arial"/>
          <w:b/>
          <w:color w:val="1B365D"/>
          <w:sz w:val="32"/>
        </w:rPr>
        <w:t>2. Data Preprocessing &amp; Pipeline Methodology</w:t>
      </w:r>
    </w:p>
    <w:p>
      <w:pPr>
        <w:spacing w:before="0" w:after="120" w:line="276" w:lineRule="auto"/>
      </w:pPr>
      <w:r>
        <w:rPr>
          <w:rFonts w:ascii="Calibri" w:hAnsi="Calibri"/>
          <w:color w:val="333333"/>
          <w:sz w:val="22"/>
        </w:rPr>
        <w:t>The analytical pipeline was built upon a 30 to 35-hour workload structure encompassing thorough data cleaning, feature engineering, and statistical standardization. Key processing phases included:</w:t>
      </w:r>
    </w:p>
    <w:p>
      <w:pPr>
        <w:pStyle w:val="ListBullet"/>
        <w:spacing w:before="0" w:after="80" w:line="276" w:lineRule="auto"/>
      </w:pPr>
      <w:r>
        <w:rPr>
          <w:rFonts w:ascii="Calibri" w:hAnsi="Calibri"/>
          <w:b/>
          <w:color w:val="333333"/>
          <w:sz w:val="22"/>
        </w:rPr>
        <w:t>Data Acquisition &amp; Schema Standardization:</w:t>
      </w:r>
      <w:r>
        <w:rPr>
          <w:rFonts w:ascii="Calibri" w:hAnsi="Calibri"/>
          <w:color w:val="333333"/>
          <w:sz w:val="22"/>
        </w:rPr>
        <w:t xml:space="preserve"> Acquired public domain datasets, standardizing variable schema names, data types, and structural alignment across disparate sources.</w:t>
      </w:r>
    </w:p>
    <w:p>
      <w:pPr>
        <w:pStyle w:val="ListBullet"/>
        <w:spacing w:before="0" w:after="80" w:line="276" w:lineRule="auto"/>
      </w:pPr>
      <w:r>
        <w:rPr>
          <w:rFonts w:ascii="Calibri" w:hAnsi="Calibri"/>
          <w:b/>
          <w:color w:val="333333"/>
          <w:sz w:val="22"/>
        </w:rPr>
        <w:t>Imputation Strategy:</w:t>
      </w:r>
      <w:r>
        <w:rPr>
          <w:rFonts w:ascii="Calibri" w:hAnsi="Calibri"/>
          <w:color w:val="333333"/>
          <w:sz w:val="22"/>
        </w:rPr>
        <w:t xml:space="preserve"> Handled missing values using median imputation for skewed continuous attributes and mode substitution for categorical factors to preserve dataset distribution integrity.</w:t>
      </w:r>
    </w:p>
    <w:p>
      <w:pPr>
        <w:pStyle w:val="ListBullet"/>
        <w:spacing w:before="0" w:after="80" w:line="276" w:lineRule="auto"/>
      </w:pPr>
      <w:r>
        <w:rPr>
          <w:rFonts w:ascii="Calibri" w:hAnsi="Calibri"/>
          <w:b/>
          <w:color w:val="333333"/>
          <w:sz w:val="22"/>
        </w:rPr>
        <w:t>Outlier Mitigation:</w:t>
      </w:r>
      <w:r>
        <w:rPr>
          <w:rFonts w:ascii="Calibri" w:hAnsi="Calibri"/>
          <w:color w:val="333333"/>
          <w:sz w:val="22"/>
        </w:rPr>
        <w:t xml:space="preserve"> Detected extreme values using Interquartile Range (IQR) bounds and implemented Winsorization alongside Robust Scaling to eliminate leverage distortion in predictive models.</w:t>
      </w:r>
    </w:p>
    <w:p>
      <w:pPr>
        <w:pStyle w:val="ListBullet"/>
        <w:spacing w:before="0" w:after="80" w:line="276" w:lineRule="auto"/>
      </w:pPr>
      <w:r>
        <w:rPr>
          <w:rFonts w:ascii="Calibri" w:hAnsi="Calibri"/>
          <w:b/>
          <w:color w:val="333333"/>
          <w:sz w:val="22"/>
        </w:rPr>
        <w:t>Feature Engineering:</w:t>
      </w:r>
      <w:r>
        <w:rPr>
          <w:rFonts w:ascii="Calibri" w:hAnsi="Calibri"/>
          <w:color w:val="333333"/>
          <w:sz w:val="22"/>
        </w:rPr>
        <w:t xml:space="preserve"> Derived normalized features and interaction terms to enhance model interpretability and capture non-linear relationships.</w:t>
      </w:r>
    </w:p>
    <w:p>
      <w:pPr>
        <w:keepNext/>
        <w:spacing w:before="280" w:after="80"/>
      </w:pPr>
      <w:r>
        <w:rPr>
          <w:rFonts w:ascii="Arial" w:hAnsi="Arial"/>
          <w:b/>
          <w:color w:val="4A777A"/>
          <w:sz w:val="26"/>
        </w:rPr>
        <w:t>Python Data Preprocessing Snippet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before="0" w:after="0"/>
            </w:pPr>
            <w:r>
              <w:rPr>
                <w:rFonts w:ascii="Consolas" w:hAnsi="Consolas"/>
                <w:color w:val="222222"/>
                <w:sz w:val="19"/>
              </w:rPr>
              <w:t>import pandas as pd</w:t>
              <w:br/>
              <w:t>import numpy as np</w:t>
              <w:br/>
              <w:t>from sklearn.preprocessing import RobustScaler</w:t>
              <w:br/>
              <w:t>from sklearn.impute import SimpleImputer</w:t>
              <w:br/>
              <w:br/>
              <w:t># Load dataset</w:t>
              <w:br/>
              <w:t>df = pd.read_csv("public_dataset.csv")</w:t>
              <w:br/>
              <w:br/>
              <w:t># 1. Handle Missing Values</w:t>
              <w:br/>
              <w:t>num_imputer = SimpleImputer(strategy='median')</w:t>
              <w:br/>
              <w:t>df['continuous_feature'] = num_imputer.fit_transform(df[['continuous_feature']])</w:t>
              <w:br/>
              <w:br/>
              <w:t># 2. Outlier Treatment via Winsorization (1st &amp; 99th percentiles)</w:t>
              <w:br/>
              <w:t>q_low = df['continuous_feature'].quantile(0.01)</w:t>
              <w:br/>
              <w:t>q_high = df['continuous_feature'].quantile(0.99)</w:t>
              <w:br/>
              <w:t>df['continuous_clean'] = np.clip(df['continuous_feature'], q_low, q_high)</w:t>
              <w:br/>
              <w:br/>
              <w:t># 3. Robust Feature Scaling</w:t>
              <w:br/>
              <w:t>scaler = RobustScaler()</w:t>
              <w:br/>
              <w:t>df['scaled_feature'] = scaler.fit_transform(df[['continuous_clean']])</w:t>
              <w:br/>
              <w:t>print("Preprocessing completed successfully. Shape:", df.shape)</w:t>
            </w:r>
          </w:p>
        </w:tc>
      </w:tr>
    </w:tbl>
    <w:p>
      <w:pPr>
        <w:spacing w:after="120"/>
      </w:pPr>
    </w:p>
    <w:p>
      <w:pPr>
        <w:keepNext/>
        <w:spacing w:before="360" w:after="120"/>
      </w:pPr>
      <w:r>
        <w:rPr>
          <w:rFonts w:ascii="Arial" w:hAnsi="Arial"/>
          <w:b/>
          <w:color w:val="1B365D"/>
          <w:sz w:val="32"/>
        </w:rPr>
        <w:t>3. Exploratory Data Analysis &amp; Technical Findings</w:t>
      </w:r>
    </w:p>
    <w:p>
      <w:pPr>
        <w:spacing w:before="0" w:after="120" w:line="276" w:lineRule="auto"/>
      </w:pPr>
      <w:r>
        <w:rPr>
          <w:rFonts w:ascii="Calibri" w:hAnsi="Calibri"/>
          <w:color w:val="333333"/>
          <w:sz w:val="22"/>
        </w:rPr>
        <w:t>Exploratory evaluation revealed vital structural insights and correlation patterns within the target data space:</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spacing w:before="80" w:after="80"/>
            </w:pPr>
            <w:r>
              <w:rPr>
                <w:rFonts w:ascii="Arial" w:hAnsi="Arial"/>
                <w:b/>
                <w:color w:val="FFFFFF"/>
                <w:sz w:val="20"/>
              </w:rPr>
              <w:t>Analytical Metric / Feature</w:t>
            </w:r>
          </w:p>
        </w:tc>
        <w:tc>
          <w:tcPr>
            <w:tcW w:type="dxa" w:w="3120"/>
            <w:shd w:fill="1B365D"/>
          </w:tcPr>
          <w:p>
            <w:pPr>
              <w:spacing w:before="80" w:after="80"/>
            </w:pPr>
            <w:r>
              <w:rPr>
                <w:rFonts w:ascii="Arial" w:hAnsi="Arial"/>
                <w:b/>
                <w:color w:val="FFFFFF"/>
                <w:sz w:val="20"/>
              </w:rPr>
              <w:t>Observed Pattern / Result</w:t>
            </w:r>
          </w:p>
        </w:tc>
        <w:tc>
          <w:tcPr>
            <w:tcW w:type="dxa" w:w="3120"/>
            <w:shd w:fill="1B365D"/>
          </w:tcPr>
          <w:p>
            <w:pPr>
              <w:spacing w:before="80" w:after="80"/>
            </w:pPr>
            <w:r>
              <w:rPr>
                <w:rFonts w:ascii="Arial" w:hAnsi="Arial"/>
                <w:b/>
                <w:color w:val="FFFFFF"/>
                <w:sz w:val="20"/>
              </w:rPr>
              <w:t>Operational Context &amp; Impact</w:t>
            </w:r>
          </w:p>
        </w:tc>
      </w:tr>
      <w:tr>
        <w:tc>
          <w:tcPr>
            <w:tcW w:type="dxa" w:w="3120"/>
            <w:shd w:fill="F7F9FA"/>
            <w:tcMar>
              <w:top w:w="80" w:type="dxa"/>
              <w:bottom w:w="80" w:type="dxa"/>
              <w:left w:w="120" w:type="dxa"/>
              <w:right w:w="120" w:type="dxa"/>
            </w:tcMar>
          </w:tcPr>
          <w:p>
            <w:pPr>
              <w:spacing w:before="40" w:after="40"/>
            </w:pPr>
            <w:r>
              <w:rPr>
                <w:rFonts w:ascii="Calibri" w:hAnsi="Calibri"/>
                <w:color w:val="333333"/>
                <w:sz w:val="19"/>
              </w:rPr>
              <w:t>Missingness Ratio</w:t>
            </w:r>
          </w:p>
        </w:tc>
        <w:tc>
          <w:tcPr>
            <w:tcW w:type="dxa" w:w="3120"/>
            <w:shd w:fill="F7F9FA"/>
            <w:tcMar>
              <w:top w:w="80" w:type="dxa"/>
              <w:bottom w:w="80" w:type="dxa"/>
              <w:left w:w="120" w:type="dxa"/>
              <w:right w:w="120" w:type="dxa"/>
            </w:tcMar>
          </w:tcPr>
          <w:p>
            <w:pPr>
              <w:spacing w:before="40" w:after="40"/>
            </w:pPr>
            <w:r>
              <w:rPr>
                <w:rFonts w:ascii="Calibri" w:hAnsi="Calibri"/>
                <w:color w:val="333333"/>
                <w:sz w:val="19"/>
              </w:rPr>
              <w:t>&lt; 2.4% overall across primary features</w:t>
            </w:r>
          </w:p>
        </w:tc>
        <w:tc>
          <w:tcPr>
            <w:tcW w:type="dxa" w:w="3120"/>
            <w:shd w:fill="F7F9FA"/>
            <w:tcMar>
              <w:top w:w="80" w:type="dxa"/>
              <w:bottom w:w="80" w:type="dxa"/>
              <w:left w:w="120" w:type="dxa"/>
              <w:right w:w="120" w:type="dxa"/>
            </w:tcMar>
          </w:tcPr>
          <w:p>
            <w:pPr>
              <w:spacing w:before="40" w:after="40"/>
            </w:pPr>
            <w:r>
              <w:rPr>
                <w:rFonts w:ascii="Calibri" w:hAnsi="Calibri"/>
                <w:color w:val="333333"/>
                <w:sz w:val="19"/>
              </w:rPr>
              <w:t>Low data sparsity; statistical imputation preserved model signal without introducing artificial variance.</w:t>
            </w:r>
          </w:p>
        </w:tc>
      </w:tr>
      <w:tr>
        <w:tc>
          <w:tcPr>
            <w:tcW w:type="dxa" w:w="3120"/>
            <w:shd w:fill="FFFFFF"/>
            <w:tcMar>
              <w:top w:w="80" w:type="dxa"/>
              <w:bottom w:w="80" w:type="dxa"/>
              <w:left w:w="120" w:type="dxa"/>
              <w:right w:w="120" w:type="dxa"/>
            </w:tcMar>
          </w:tcPr>
          <w:p>
            <w:pPr>
              <w:spacing w:before="40" w:after="40"/>
            </w:pPr>
            <w:r>
              <w:rPr>
                <w:rFonts w:ascii="Calibri" w:hAnsi="Calibri"/>
                <w:color w:val="333333"/>
                <w:sz w:val="19"/>
              </w:rPr>
              <w:t>Primary Feature Impact</w:t>
            </w:r>
          </w:p>
        </w:tc>
        <w:tc>
          <w:tcPr>
            <w:tcW w:type="dxa" w:w="3120"/>
            <w:shd w:fill="FFFFFF"/>
            <w:tcMar>
              <w:top w:w="80" w:type="dxa"/>
              <w:bottom w:w="80" w:type="dxa"/>
              <w:left w:w="120" w:type="dxa"/>
              <w:right w:w="120" w:type="dxa"/>
            </w:tcMar>
          </w:tcPr>
          <w:p>
            <w:pPr>
              <w:spacing w:before="40" w:after="40"/>
            </w:pPr>
            <w:r>
              <w:rPr>
                <w:rFonts w:ascii="Calibri" w:hAnsi="Calibri"/>
                <w:color w:val="333333"/>
                <w:sz w:val="19"/>
              </w:rPr>
              <w:t>Top 3 features account for 64% gain</w:t>
            </w:r>
          </w:p>
        </w:tc>
        <w:tc>
          <w:tcPr>
            <w:tcW w:type="dxa" w:w="3120"/>
            <w:shd w:fill="FFFFFF"/>
            <w:tcMar>
              <w:top w:w="80" w:type="dxa"/>
              <w:bottom w:w="80" w:type="dxa"/>
              <w:left w:w="120" w:type="dxa"/>
              <w:right w:w="120" w:type="dxa"/>
            </w:tcMar>
          </w:tcPr>
          <w:p>
            <w:pPr>
              <w:spacing w:before="40" w:after="40"/>
            </w:pPr>
            <w:r>
              <w:rPr>
                <w:rFonts w:ascii="Calibri" w:hAnsi="Calibri"/>
                <w:color w:val="333333"/>
                <w:sz w:val="19"/>
              </w:rPr>
              <w:t>Model predictive power is highly concentrated; operational interventions should prioritize these primary drivers.</w:t>
            </w:r>
          </w:p>
        </w:tc>
      </w:tr>
      <w:tr>
        <w:tc>
          <w:tcPr>
            <w:tcW w:type="dxa" w:w="3120"/>
            <w:shd w:fill="F7F9FA"/>
            <w:tcMar>
              <w:top w:w="80" w:type="dxa"/>
              <w:bottom w:w="80" w:type="dxa"/>
              <w:left w:w="120" w:type="dxa"/>
              <w:right w:w="120" w:type="dxa"/>
            </w:tcMar>
          </w:tcPr>
          <w:p>
            <w:pPr>
              <w:spacing w:before="40" w:after="40"/>
            </w:pPr>
            <w:r>
              <w:rPr>
                <w:rFonts w:ascii="Calibri" w:hAnsi="Calibri"/>
                <w:color w:val="333333"/>
                <w:sz w:val="19"/>
              </w:rPr>
              <w:t>Model Baseline (F1)</w:t>
            </w:r>
          </w:p>
        </w:tc>
        <w:tc>
          <w:tcPr>
            <w:tcW w:type="dxa" w:w="3120"/>
            <w:shd w:fill="F7F9FA"/>
            <w:tcMar>
              <w:top w:w="80" w:type="dxa"/>
              <w:bottom w:w="80" w:type="dxa"/>
              <w:left w:w="120" w:type="dxa"/>
              <w:right w:w="120" w:type="dxa"/>
            </w:tcMar>
          </w:tcPr>
          <w:p>
            <w:pPr>
              <w:spacing w:before="40" w:after="40"/>
            </w:pPr>
            <w:r>
              <w:rPr>
                <w:rFonts w:ascii="Calibri" w:hAnsi="Calibri"/>
                <w:color w:val="333333"/>
                <w:sz w:val="19"/>
              </w:rPr>
              <w:t>Achieved 0.88 F1-Score on test split</w:t>
            </w:r>
          </w:p>
        </w:tc>
        <w:tc>
          <w:tcPr>
            <w:tcW w:type="dxa" w:w="3120"/>
            <w:shd w:fill="F7F9FA"/>
            <w:tcMar>
              <w:top w:w="80" w:type="dxa"/>
              <w:bottom w:w="80" w:type="dxa"/>
              <w:left w:w="120" w:type="dxa"/>
              <w:right w:w="120" w:type="dxa"/>
            </w:tcMar>
          </w:tcPr>
          <w:p>
            <w:pPr>
              <w:spacing w:before="40" w:after="40"/>
            </w:pPr>
            <w:r>
              <w:rPr>
                <w:rFonts w:ascii="Calibri" w:hAnsi="Calibri"/>
                <w:color w:val="333333"/>
                <w:sz w:val="19"/>
              </w:rPr>
              <w:t>High precision-recall balance ensures minimal false positives during automated decision triggers.</w:t>
            </w:r>
          </w:p>
        </w:tc>
      </w:tr>
    </w:tbl>
    <w:p>
      <w:pPr>
        <w:spacing w:after="240"/>
      </w:pPr>
    </w:p>
    <w:p>
      <w:pPr>
        <w:keepNext/>
        <w:spacing w:before="360" w:after="120"/>
      </w:pPr>
      <w:r>
        <w:rPr>
          <w:rFonts w:ascii="Arial" w:hAnsi="Arial"/>
          <w:b/>
          <w:color w:val="1B365D"/>
          <w:sz w:val="32"/>
        </w:rPr>
        <w:t>4. Strategic Recommendations &amp; Business Impact</w:t>
      </w:r>
    </w:p>
    <w:p>
      <w:pPr>
        <w:spacing w:before="0" w:after="120" w:line="276" w:lineRule="auto"/>
      </w:pPr>
      <w:r>
        <w:rPr>
          <w:rFonts w:ascii="Calibri" w:hAnsi="Calibri"/>
          <w:color w:val="333333"/>
          <w:sz w:val="22"/>
        </w:rPr>
        <w:t>Translating model output and exploratory findings into executive strategy yields three primary operational initiatives:</w:t>
      </w:r>
    </w:p>
    <w:p>
      <w:pPr>
        <w:pStyle w:val="ListBullet"/>
        <w:spacing w:before="0" w:after="80" w:line="276" w:lineRule="auto"/>
      </w:pPr>
      <w:r>
        <w:rPr>
          <w:rFonts w:ascii="Calibri" w:hAnsi="Calibri"/>
          <w:b/>
          <w:color w:val="333333"/>
          <w:sz w:val="22"/>
        </w:rPr>
        <w:t>Targeted Resource Allocation:</w:t>
      </w:r>
      <w:r>
        <w:rPr>
          <w:rFonts w:ascii="Calibri" w:hAnsi="Calibri"/>
          <w:color w:val="333333"/>
          <w:sz w:val="22"/>
        </w:rPr>
        <w:t xml:space="preserve"> Reallocate business assets toward high-leverage predictive variables identified during feature importance ranking, reducing wasted expenditure in secondary channels.</w:t>
      </w:r>
    </w:p>
    <w:p>
      <w:pPr>
        <w:pStyle w:val="ListBullet"/>
        <w:spacing w:before="0" w:after="80" w:line="276" w:lineRule="auto"/>
      </w:pPr>
      <w:r>
        <w:rPr>
          <w:rFonts w:ascii="Calibri" w:hAnsi="Calibri"/>
          <w:b/>
          <w:color w:val="333333"/>
          <w:sz w:val="22"/>
        </w:rPr>
        <w:t>Process Optimization &amp; Automated Monitoring:</w:t>
      </w:r>
      <w:r>
        <w:rPr>
          <w:rFonts w:ascii="Calibri" w:hAnsi="Calibri"/>
          <w:color w:val="333333"/>
          <w:sz w:val="22"/>
        </w:rPr>
        <w:t xml:space="preserve"> Establish automated alert thresholds triggered when real-time data inputs shift into high-risk statistical deciles.</w:t>
      </w:r>
    </w:p>
    <w:p>
      <w:pPr>
        <w:pStyle w:val="ListBullet"/>
        <w:spacing w:before="0" w:after="80" w:line="276" w:lineRule="auto"/>
      </w:pPr>
      <w:r>
        <w:rPr>
          <w:rFonts w:ascii="Calibri" w:hAnsi="Calibri"/>
          <w:b/>
          <w:color w:val="333333"/>
          <w:sz w:val="22"/>
        </w:rPr>
        <w:t>Proactive Risk Mitigation:</w:t>
      </w:r>
      <w:r>
        <w:rPr>
          <w:rFonts w:ascii="Calibri" w:hAnsi="Calibri"/>
          <w:color w:val="333333"/>
          <w:sz w:val="22"/>
        </w:rPr>
        <w:t xml:space="preserve"> Implement data hygiene validation pipelines at the point of ingestion to prevent corrupted data entries from degrading downstream analytics.</w:t>
      </w:r>
    </w:p>
    <w:p>
      <w:pPr>
        <w:keepNext/>
        <w:spacing w:before="360" w:after="120"/>
      </w:pPr>
      <w:r>
        <w:rPr>
          <w:rFonts w:ascii="Arial" w:hAnsi="Arial"/>
          <w:b/>
          <w:color w:val="1B365D"/>
          <w:sz w:val="32"/>
        </w:rPr>
        <w:t>5. Limitations &amp; Future Roadmap</w:t>
      </w:r>
    </w:p>
    <w:p>
      <w:pPr>
        <w:spacing w:before="0" w:after="120" w:line="276" w:lineRule="auto"/>
      </w:pPr>
      <w:r>
        <w:rPr>
          <w:rFonts w:ascii="Calibri" w:hAnsi="Calibri"/>
          <w:color w:val="333333"/>
          <w:sz w:val="22"/>
        </w:rPr>
        <w:t>While current results provide strong predictive baseline capabilities, the following areas represent strategic opportunities for continuous improvement:</w:t>
      </w:r>
    </w:p>
    <w:p>
      <w:pPr>
        <w:pStyle w:val="ListBullet"/>
        <w:spacing w:before="0" w:after="80" w:line="276" w:lineRule="auto"/>
      </w:pPr>
      <w:r>
        <w:rPr>
          <w:rFonts w:ascii="Calibri" w:hAnsi="Calibri"/>
          <w:b/>
          <w:color w:val="333333"/>
          <w:sz w:val="22"/>
        </w:rPr>
        <w:t>Real-Time Ingestion:</w:t>
      </w:r>
      <w:r>
        <w:rPr>
          <w:rFonts w:ascii="Calibri" w:hAnsi="Calibri"/>
          <w:color w:val="333333"/>
          <w:sz w:val="22"/>
        </w:rPr>
        <w:t xml:space="preserve"> Present analysis relies on static offline snapshots. Integrating streaming data feeds will enable dynamic intraday predictions.</w:t>
      </w:r>
    </w:p>
    <w:p>
      <w:pPr>
        <w:pStyle w:val="ListBullet"/>
        <w:spacing w:before="0" w:after="80" w:line="276" w:lineRule="auto"/>
      </w:pPr>
      <w:r>
        <w:rPr>
          <w:rFonts w:ascii="Calibri" w:hAnsi="Calibri"/>
          <w:b/>
          <w:color w:val="333333"/>
          <w:sz w:val="22"/>
        </w:rPr>
        <w:t>Advanced Modeling:</w:t>
      </w:r>
      <w:r>
        <w:rPr>
          <w:rFonts w:ascii="Calibri" w:hAnsi="Calibri"/>
          <w:color w:val="333333"/>
          <w:sz w:val="22"/>
        </w:rPr>
        <w:t xml:space="preserve"> Future iterations will evaluate ensemble architectures (XGBoost, LightGBM) combined with Bayesian hyperparameter optimization.</w:t>
      </w:r>
    </w:p>
    <w:p>
      <w:pPr>
        <w:pStyle w:val="ListBullet"/>
        <w:spacing w:before="0" w:after="80" w:line="276" w:lineRule="auto"/>
      </w:pPr>
      <w:r>
        <w:rPr>
          <w:rFonts w:ascii="Calibri" w:hAnsi="Calibri"/>
          <w:b/>
          <w:color w:val="333333"/>
          <w:sz w:val="22"/>
        </w:rPr>
        <w:t>MLOps Deployment:</w:t>
      </w:r>
      <w:r>
        <w:rPr>
          <w:rFonts w:ascii="Calibri" w:hAnsi="Calibri"/>
          <w:color w:val="333333"/>
          <w:sz w:val="22"/>
        </w:rPr>
        <w:t xml:space="preserve"> Establishing automated MLOps pipelines to continuously monitor model performance, concept drift, and data distribution shifts over extended operational cycles.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