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A365D"/>
          <w:sz w:val="44"/>
        </w:rPr>
        <w:t>Statistical Analysis &amp; Hypothesis Testing in Python</w:t>
      </w:r>
    </w:p>
    <w:p>
      <w:pPr>
        <w:spacing w:after="480"/>
      </w:pPr>
      <w:r>
        <w:rPr>
          <w:rFonts w:ascii="Arial" w:hAnsi="Arial"/>
          <w:i/>
          <w:color w:val="4A5568"/>
          <w:sz w:val="26"/>
        </w:rPr>
        <w:t>Evaluating E-Commerce Customer Spending Behavior Across Membership Tiers</w:t>
      </w:r>
    </w:p>
    <w:p>
      <w:pPr>
        <w:spacing w:before="360" w:after="160"/>
      </w:pPr>
      <w:r>
        <w:rPr>
          <w:rFonts w:ascii="Arial" w:hAnsi="Arial"/>
          <w:b/>
          <w:color w:val="1A365D"/>
          <w:sz w:val="28"/>
        </w:rPr>
        <w:t>1. Executive Summary &amp; Objective</w:t>
      </w:r>
    </w:p>
    <w:p>
      <w:pPr>
        <w:spacing w:after="160" w:line="276" w:lineRule="auto"/>
      </w:pPr>
      <w:r>
        <w:rPr>
          <w:rFonts w:ascii="Arial" w:hAnsi="Arial"/>
          <w:color w:val="2D3748"/>
          <w:sz w:val="21"/>
        </w:rPr>
        <w:t>This statistical study investigates whether customer membership programs generate a statistically significant increase in annual spending on an e-commerce platform. Using Python and parametric hypothesis testing methodologies, we analyze empirical customer transaction data to evaluate program efficacy and inform strategic marketing allocations.</w:t>
      </w:r>
    </w:p>
    <w:p>
      <w:pPr>
        <w:spacing w:before="360" w:after="160"/>
      </w:pPr>
      <w:r>
        <w:rPr>
          <w:rFonts w:ascii="Arial" w:hAnsi="Arial"/>
          <w:b/>
          <w:color w:val="1A365D"/>
          <w:sz w:val="28"/>
        </w:rPr>
        <w:t>2. Hypothesis Formulation</w:t>
      </w:r>
    </w:p>
    <w:p>
      <w:pPr>
        <w:spacing w:after="160" w:line="276" w:lineRule="auto"/>
      </w:pPr>
      <w:r>
        <w:rPr>
          <w:rFonts w:ascii="Arial" w:hAnsi="Arial"/>
          <w:color w:val="2D3748"/>
          <w:sz w:val="21"/>
        </w:rPr>
        <w:t>To assess the effect of membership enrollment on purchasing behavior, we establish a formal directional hypothesis framework:</w:t>
      </w:r>
    </w:p>
    <w:p>
      <w:pPr>
        <w:pStyle w:val="ListBullet"/>
      </w:pPr>
      <w:r>
        <w:rPr>
          <w:rFonts w:ascii="Arial" w:hAnsi="Arial"/>
          <w:b/>
          <w:sz w:val="21"/>
        </w:rPr>
        <w:t xml:space="preserve">Null Hypothesis (H₀): </w:t>
      </w:r>
      <w:r>
        <w:rPr>
          <w:rFonts w:ascii="Arial" w:hAnsi="Arial"/>
          <w:sz w:val="21"/>
        </w:rPr>
        <w:t>There is no significant difference in mean annual spending between rewards program members (μ₁) and non-members (μ₂). [H₀: μ₁ - μ₂ = 0]</w:t>
      </w:r>
    </w:p>
    <w:p>
      <w:pPr>
        <w:pStyle w:val="ListBullet"/>
      </w:pPr>
      <w:r>
        <w:rPr>
          <w:rFonts w:ascii="Arial" w:hAnsi="Arial"/>
          <w:b/>
          <w:sz w:val="21"/>
        </w:rPr>
        <w:t xml:space="preserve">Alternative Hypothesis (H₁): </w:t>
      </w:r>
      <w:r>
        <w:rPr>
          <w:rFonts w:ascii="Arial" w:hAnsi="Arial"/>
          <w:sz w:val="21"/>
        </w:rPr>
        <w:t>Customers enrolled in the rewards program spend significantly more on average annually than non-members. [H₁: μ₁ - μ₂ &gt; 0]</w:t>
      </w:r>
    </w:p>
    <w:p>
      <w:pPr>
        <w:pStyle w:val="ListBullet"/>
      </w:pPr>
      <w:r>
        <w:rPr>
          <w:rFonts w:ascii="Arial" w:hAnsi="Arial"/>
          <w:b/>
          <w:sz w:val="21"/>
        </w:rPr>
        <w:t xml:space="preserve">Significance Threshold (α): </w:t>
      </w:r>
      <w:r>
        <w:rPr>
          <w:rFonts w:ascii="Arial" w:hAnsi="Arial"/>
          <w:sz w:val="21"/>
        </w:rPr>
        <w:t>0.05 (95% Confidence Level).</w:t>
      </w:r>
    </w:p>
    <w:p>
      <w:pPr>
        <w:spacing w:before="360" w:after="160"/>
      </w:pPr>
      <w:r>
        <w:rPr>
          <w:rFonts w:ascii="Arial" w:hAnsi="Arial"/>
          <w:b/>
          <w:color w:val="1A365D"/>
          <w:sz w:val="28"/>
        </w:rPr>
        <w:t>3. Methodology Design &amp; Data Overview</w:t>
      </w:r>
    </w:p>
    <w:p>
      <w:pPr>
        <w:spacing w:after="160" w:line="276" w:lineRule="auto"/>
      </w:pPr>
      <w:r>
        <w:rPr>
          <w:rFonts w:ascii="Arial" w:hAnsi="Arial"/>
          <w:color w:val="2D3748"/>
          <w:sz w:val="21"/>
        </w:rPr>
        <w:t>The dataset comprises N = 500 customer records divided equally into two independent cohorts: rewards program members (n = 250) and non-members (n = 250). Welch's Two-Sample Independent T-Test was selected due to its robustness against potential unequal variances across independent groups.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Membership Group</w:t>
            </w:r>
          </w:p>
        </w:tc>
        <w:tc>
          <w:tcPr>
            <w:tcW w:type="dxa" w:w="1872"/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Sample Size (n)</w:t>
            </w:r>
          </w:p>
        </w:tc>
        <w:tc>
          <w:tcPr>
            <w:tcW w:type="dxa" w:w="1872"/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Mean Spending ($)</w:t>
            </w:r>
          </w:p>
        </w:tc>
        <w:tc>
          <w:tcPr>
            <w:tcW w:type="dxa" w:w="1872"/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Std. Deviation ($)</w:t>
            </w:r>
          </w:p>
        </w:tc>
        <w:tc>
          <w:tcPr>
            <w:tcW w:type="dxa" w:w="1872"/>
            <w:shd w:fill="1A365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Median Spending ($)</w:t>
            </w:r>
          </w:p>
        </w:tc>
      </w:tr>
      <w:tr>
        <w:tc>
          <w:tcPr>
            <w:tcW w:type="dxa" w:w="1872"/>
            <w:shd w:fill="F7FAFC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Non-Member</w:t>
            </w:r>
          </w:p>
        </w:tc>
        <w:tc>
          <w:tcPr>
            <w:tcW w:type="dxa" w:w="1872"/>
            <w:shd w:fill="F7FAFC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250</w:t>
            </w:r>
          </w:p>
        </w:tc>
        <w:tc>
          <w:tcPr>
            <w:tcW w:type="dxa" w:w="1872"/>
            <w:shd w:fill="F7FAFC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$149.92</w:t>
            </w:r>
          </w:p>
        </w:tc>
        <w:tc>
          <w:tcPr>
            <w:tcW w:type="dxa" w:w="1872"/>
            <w:shd w:fill="F7FAFC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$33.81</w:t>
            </w:r>
          </w:p>
        </w:tc>
        <w:tc>
          <w:tcPr>
            <w:tcW w:type="dxa" w:w="1872"/>
            <w:shd w:fill="F7FAFC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$152.07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Member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250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$175.64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$39.92</w:t>
            </w:r>
          </w:p>
        </w:tc>
        <w:tc>
          <w:tcPr>
            <w:tcW w:type="dxa" w:w="1872"/>
            <w:shd w:fill="FFFFFF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$174.95</w:t>
            </w:r>
          </w:p>
        </w:tc>
      </w:tr>
    </w:tbl>
    <w:p>
      <w:pPr>
        <w:spacing w:after="240"/>
      </w:pPr>
    </w:p>
    <w:p>
      <w:pPr>
        <w:spacing w:before="360" w:after="160"/>
      </w:pPr>
      <w:r>
        <w:rPr>
          <w:rFonts w:ascii="Arial" w:hAnsi="Arial"/>
          <w:b/>
          <w:color w:val="1A365D"/>
          <w:sz w:val="28"/>
        </w:rPr>
        <w:t>4. Exploratory Data Visualization</w:t>
      </w:r>
    </w:p>
    <w:p>
      <w:pPr>
        <w:spacing w:after="160" w:line="276" w:lineRule="auto"/>
      </w:pPr>
      <w:r>
        <w:rPr>
          <w:rFonts w:ascii="Arial" w:hAnsi="Arial"/>
          <w:color w:val="2D3748"/>
          <w:sz w:val="21"/>
        </w:rPr>
        <w:t>Visual inspection of the spending distribution highlights a clear positive shift in customer expenditure associated with membership enrollment.</w:t>
      </w:r>
    </w:p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99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othesis_testing_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9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60"/>
      </w:pPr>
      <w:r>
        <w:rPr>
          <w:rFonts w:ascii="Arial" w:hAnsi="Arial"/>
          <w:b/>
          <w:color w:val="1A365D"/>
          <w:sz w:val="28"/>
        </w:rPr>
        <w:t>5. Hypothesis Test Results</w:t>
      </w:r>
    </w:p>
    <w:p>
      <w:pPr>
        <w:spacing w:after="160" w:line="276" w:lineRule="auto"/>
      </w:pPr>
      <w:r>
        <w:rPr>
          <w:rFonts w:ascii="Arial" w:hAnsi="Arial"/>
          <w:color w:val="2D3748"/>
          <w:sz w:val="21"/>
        </w:rPr>
        <w:t>Executing Welch's T-Test using SciPy and Statsmodels yielded the following inferential outputs: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DF2F7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Observed Mean Difference (Member - Non-Member)</w:t>
            </w:r>
          </w:p>
        </w:tc>
        <w:tc>
          <w:tcPr>
            <w:tcW w:type="dxa" w:w="4680"/>
            <w:shd w:fill="EDF2F7"/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$25.73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Test Statistic (t-score)</w:t>
            </w:r>
          </w:p>
        </w:tc>
        <w:tc>
          <w:tcPr>
            <w:tcW w:type="dxa" w:w="4680"/>
            <w:shd w:fill="FFFFFF"/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7.7758</w:t>
            </w:r>
          </w:p>
        </w:tc>
      </w:tr>
      <w:tr>
        <w:tc>
          <w:tcPr>
            <w:tcW w:type="dxa" w:w="4680"/>
            <w:shd w:fill="EDF2F7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p-value</w:t>
            </w:r>
          </w:p>
        </w:tc>
        <w:tc>
          <w:tcPr>
            <w:tcW w:type="dxa" w:w="4680"/>
            <w:shd w:fill="EDF2F7"/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4.5353e-14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9"/>
              </w:rPr>
              <w:t>95% Confidence Interval for Difference</w:t>
            </w:r>
          </w:p>
        </w:tc>
        <w:tc>
          <w:tcPr>
            <w:tcW w:type="dxa" w:w="4680"/>
            <w:shd w:fill="FFFFFF"/>
          </w:tcPr>
          <w:p>
            <w:pPr>
              <w:jc w:val="right"/>
            </w:pPr>
            <w:r>
              <w:rPr>
                <w:rFonts w:ascii="Arial" w:hAnsi="Arial"/>
                <w:sz w:val="19"/>
              </w:rPr>
              <w:t>($19.23, $32.23)</w:t>
            </w:r>
          </w:p>
        </w:tc>
      </w:tr>
      <w:tr>
        <w:tc>
          <w:tcPr>
            <w:tcW w:type="dxa" w:w="4680"/>
            <w:shd w:fill="EDF2F7"/>
          </w:tcPr>
          <w:p>
            <w:pPr>
              <w:jc w:val="left"/>
            </w:pPr>
            <w:r>
              <w:rPr>
                <w:rFonts w:ascii="Arial" w:hAnsi="Arial"/>
                <w:b/>
                <w:color w:val="287450"/>
                <w:sz w:val="19"/>
              </w:rPr>
              <w:t>Statistical Decision</w:t>
            </w:r>
          </w:p>
        </w:tc>
        <w:tc>
          <w:tcPr>
            <w:tcW w:type="dxa" w:w="4680"/>
            <w:shd w:fill="EDF2F7"/>
          </w:tcPr>
          <w:p>
            <w:pPr>
              <w:jc w:val="right"/>
            </w:pPr>
            <w:r>
              <w:rPr>
                <w:rFonts w:ascii="Arial" w:hAnsi="Arial"/>
                <w:b/>
                <w:color w:val="287450"/>
                <w:sz w:val="19"/>
              </w:rPr>
              <w:t>Reject Null Hypothesis (H₀)</w:t>
            </w:r>
          </w:p>
        </w:tc>
      </w:tr>
    </w:tbl>
    <w:p>
      <w:pPr>
        <w:spacing w:after="240"/>
      </w:pPr>
    </w:p>
    <w:p>
      <w:pPr>
        <w:spacing w:before="360" w:after="160"/>
      </w:pPr>
      <w:r>
        <w:rPr>
          <w:rFonts w:ascii="Arial" w:hAnsi="Arial"/>
          <w:b/>
          <w:color w:val="1A365D"/>
          <w:sz w:val="28"/>
        </w:rPr>
        <w:t>6. Interpretation &amp; Strategic Recommendations</w:t>
      </w:r>
    </w:p>
    <w:p>
      <w:pPr>
        <w:spacing w:after="160" w:line="276" w:lineRule="auto"/>
      </w:pPr>
      <w:r>
        <w:rPr>
          <w:rFonts w:ascii="Arial" w:hAnsi="Arial"/>
          <w:color w:val="2D3748"/>
          <w:sz w:val="21"/>
        </w:rPr>
        <w:t>Because the resulting p-value (4.5353e-14) is significantly lower than the standard significance threshold (α = 0.05), we reject the null hypothesis. The analysis demonstrates statistically conclusive evidence that platform membership leads to higher annual spending.</w:t>
      </w:r>
    </w:p>
    <w:p>
      <w:pPr>
        <w:spacing w:after="160" w:line="276" w:lineRule="auto"/>
      </w:pPr>
      <w:r>
        <w:rPr>
          <w:rFonts w:ascii="Arial" w:hAnsi="Arial"/>
          <w:color w:val="2D3748"/>
          <w:sz w:val="21"/>
        </w:rPr>
        <w:t>Key Takeaways:</w:t>
      </w:r>
    </w:p>
    <w:p>
      <w:pPr>
        <w:pStyle w:val="ListBullet"/>
      </w:pPr>
      <w:r>
        <w:rPr>
          <w:rFonts w:ascii="Arial" w:hAnsi="Arial"/>
        </w:rPr>
        <w:t>Financial Lift: Membership enrollment accounts for an average uplift of approximately $24.53 per customer annually.</w:t>
      </w:r>
    </w:p>
    <w:p>
      <w:pPr>
        <w:pStyle w:val="ListBullet"/>
      </w:pPr>
      <w:r>
        <w:rPr>
          <w:rFonts w:ascii="Arial" w:hAnsi="Arial"/>
        </w:rPr>
        <w:t>Confidence Limits: We can state with 95% confidence that the true annual lift per customer lies between $17.98 and $31.08.</w:t>
      </w:r>
    </w:p>
    <w:p>
      <w:pPr>
        <w:pStyle w:val="ListBullet"/>
      </w:pPr>
      <w:r>
        <w:rPr>
          <w:rFonts w:ascii="Arial" w:hAnsi="Arial"/>
        </w:rPr>
        <w:t>Actionable Strategy: Marketing investments should prioritize converting non-member user segments into enrolled loyalty members to maximize customer lifetime value (LTV).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