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299D" w:rsidRDefault="00E2045C">
      <w:pPr>
        <w:spacing w:before="2400" w:after="200"/>
        <w:jc w:val="center"/>
      </w:pPr>
      <w:r>
        <w:rPr>
          <w:b/>
          <w:bCs/>
          <w:color w:val="1B3A6B"/>
          <w:sz w:val="64"/>
          <w:szCs w:val="64"/>
        </w:rPr>
        <w:t>NEXACORP GLOBAL</w:t>
      </w:r>
    </w:p>
    <w:p w:rsidR="003C299D" w:rsidRDefault="00E2045C">
      <w:pPr>
        <w:spacing w:after="100"/>
        <w:jc w:val="center"/>
      </w:pPr>
      <w:r>
        <w:rPr>
          <w:color w:val="2E75B6"/>
          <w:sz w:val="36"/>
          <w:szCs w:val="36"/>
        </w:rPr>
        <w:t>Enterprise Policy &amp; Procedures Handbook</w:t>
      </w:r>
    </w:p>
    <w:p w:rsidR="003C299D" w:rsidRDefault="00E2045C">
      <w:pPr>
        <w:spacing w:after="80"/>
        <w:jc w:val="center"/>
      </w:pPr>
      <w:r>
        <w:rPr>
          <w:i/>
          <w:iCs/>
          <w:color w:val="E36B00"/>
        </w:rPr>
        <w:t>Confidential — Internal Use Only</w:t>
      </w:r>
    </w:p>
    <w:p w:rsidR="003C299D" w:rsidRDefault="00E2045C">
      <w:pPr>
        <w:pBdr>
          <w:top w:val="single" w:sz="4" w:space="0" w:color="C0C8D8"/>
        </w:pBdr>
        <w:spacing w:before="600" w:after="60"/>
        <w:jc w:val="center"/>
      </w:pPr>
      <w:r>
        <w:t xml:space="preserve">Version </w:t>
      </w:r>
      <w:proofErr w:type="gramStart"/>
      <w:r>
        <w:t>5.2  |</w:t>
      </w:r>
      <w:proofErr w:type="gramEnd"/>
      <w:r>
        <w:t xml:space="preserve">  Effective Date: January 1, 2025</w:t>
      </w:r>
    </w:p>
    <w:p w:rsidR="003C299D" w:rsidRDefault="00E2045C">
      <w:pPr>
        <w:spacing w:before="40" w:after="40"/>
        <w:jc w:val="center"/>
      </w:pPr>
      <w:r>
        <w:rPr>
          <w:sz w:val="20"/>
          <w:szCs w:val="20"/>
        </w:rPr>
        <w:t>Document Owner: Chief People Officer &amp; General Counsel</w:t>
      </w:r>
    </w:p>
    <w:p w:rsidR="003C299D" w:rsidRDefault="00E2045C">
      <w:pPr>
        <w:spacing w:before="40" w:after="40"/>
        <w:jc w:val="center"/>
      </w:pPr>
      <w:r>
        <w:rPr>
          <w:b/>
          <w:bCs/>
          <w:color w:val="C00000"/>
          <w:sz w:val="20"/>
          <w:szCs w:val="20"/>
        </w:rPr>
        <w:t>Classification: Internal Restricted</w:t>
      </w:r>
    </w:p>
    <w:p w:rsidR="003C299D" w:rsidRDefault="00E2045C">
      <w:pPr>
        <w:spacing w:before="40" w:after="40"/>
        <w:jc w:val="center"/>
      </w:pPr>
      <w:r>
        <w:rPr>
          <w:sz w:val="20"/>
          <w:szCs w:val="20"/>
        </w:rPr>
        <w:t>Next Review Date: December 31, 2025</w:t>
      </w:r>
    </w:p>
    <w:p w:rsidR="003C299D" w:rsidRDefault="00E2045C">
      <w:pPr>
        <w:spacing w:before="600" w:after="40"/>
        <w:jc w:val="center"/>
      </w:pPr>
      <w:proofErr w:type="spellStart"/>
      <w:r>
        <w:rPr>
          <w:b/>
          <w:bCs/>
          <w:sz w:val="20"/>
          <w:szCs w:val="20"/>
        </w:rPr>
        <w:t>NexaCorp</w:t>
      </w:r>
      <w:proofErr w:type="spellEnd"/>
      <w:r>
        <w:rPr>
          <w:b/>
          <w:bCs/>
          <w:sz w:val="20"/>
          <w:szCs w:val="20"/>
        </w:rPr>
        <w:t xml:space="preserve"> Global Headquarters</w:t>
      </w:r>
    </w:p>
    <w:p w:rsidR="003C299D" w:rsidRDefault="00E2045C">
      <w:pPr>
        <w:spacing w:before="20" w:after="20"/>
        <w:jc w:val="center"/>
      </w:pPr>
      <w:r>
        <w:rPr>
          <w:sz w:val="19"/>
          <w:szCs w:val="19"/>
        </w:rPr>
        <w:t xml:space="preserve">One </w:t>
      </w:r>
      <w:proofErr w:type="spellStart"/>
      <w:r>
        <w:rPr>
          <w:sz w:val="19"/>
          <w:szCs w:val="19"/>
        </w:rPr>
        <w:t>NexaTower</w:t>
      </w:r>
      <w:proofErr w:type="spellEnd"/>
      <w:r>
        <w:rPr>
          <w:sz w:val="19"/>
          <w:szCs w:val="19"/>
        </w:rPr>
        <w:t>, 500 Innovation Drive, San Francisco, CA 94105</w:t>
      </w:r>
    </w:p>
    <w:p w:rsidR="003C299D" w:rsidRDefault="00E2045C">
      <w:pPr>
        <w:spacing w:before="20" w:after="20"/>
        <w:jc w:val="center"/>
      </w:pPr>
      <w:r>
        <w:rPr>
          <w:sz w:val="19"/>
          <w:szCs w:val="19"/>
        </w:rPr>
        <w:t>Tel: +1 (415) 700-</w:t>
      </w:r>
      <w:proofErr w:type="gramStart"/>
      <w:r>
        <w:rPr>
          <w:sz w:val="19"/>
          <w:szCs w:val="19"/>
        </w:rPr>
        <w:t>9000  |</w:t>
      </w:r>
      <w:proofErr w:type="gramEnd"/>
      <w:r>
        <w:rPr>
          <w:sz w:val="19"/>
          <w:szCs w:val="19"/>
        </w:rPr>
        <w:t xml:space="preserve">  hr@nexacorp.com  |  www.nexacorp.com</w:t>
      </w:r>
    </w:p>
    <w:p w:rsidR="003C299D" w:rsidRDefault="00E2045C">
      <w:r>
        <w:br w:type="page"/>
      </w:r>
    </w:p>
    <w:p w:rsidR="003C299D" w:rsidRDefault="00E2045C">
      <w:pPr>
        <w:pStyle w:val="Heading1"/>
        <w:pBdr>
          <w:bottom w:val="single" w:sz="8" w:space="4" w:color="2E75B6"/>
        </w:pBdr>
      </w:pPr>
      <w:r>
        <w:lastRenderedPageBreak/>
        <w:t>Document Control &amp; Quick Reference</w:t>
      </w:r>
    </w:p>
    <w:p w:rsidR="003C299D" w:rsidRDefault="00E2045C">
      <w:pPr>
        <w:spacing w:before="80" w:after="100" w:line="276" w:lineRule="auto"/>
        <w:jc w:val="both"/>
      </w:pPr>
      <w:r>
        <w:t xml:space="preserve">This handbook supersedes all </w:t>
      </w:r>
      <w:r>
        <w:t>previously issued policy documents, memos, and guidelines. In the event of a conflict between this document and any country-specific addendum, the addendum shall prevail to the extent required by local law.</w:t>
      </w:r>
    </w:p>
    <w:p w:rsidR="003C299D" w:rsidRDefault="003C299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C299D">
        <w:tblPrEx>
          <w:tblCellMar>
            <w:top w:w="0" w:type="dxa"/>
            <w:bottom w:w="0" w:type="dxa"/>
          </w:tblCellMar>
        </w:tblPrEx>
        <w:trPr>
          <w:tblHeader/>
        </w:trPr>
        <w:tc>
          <w:tcPr>
            <w:tcW w:w="30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Attribute</w:t>
            </w:r>
          </w:p>
        </w:tc>
        <w:tc>
          <w:tcPr>
            <w:tcW w:w="63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Details</w:t>
            </w:r>
          </w:p>
        </w:tc>
      </w:tr>
      <w:tr w:rsidR="003C299D">
        <w:tblPrEx>
          <w:tblCellMar>
            <w:top w:w="0" w:type="dxa"/>
            <w:bottom w:w="0" w:type="dxa"/>
          </w:tblCellMar>
        </w:tblPrEx>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Document Title</w:t>
            </w:r>
          </w:p>
        </w:tc>
        <w:tc>
          <w:tcPr>
            <w:tcW w:w="6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proofErr w:type="spellStart"/>
            <w:r>
              <w:rPr>
                <w:sz w:val="19"/>
                <w:szCs w:val="19"/>
              </w:rPr>
              <w:t>NexaCorp</w:t>
            </w:r>
            <w:proofErr w:type="spellEnd"/>
            <w:r>
              <w:rPr>
                <w:sz w:val="19"/>
                <w:szCs w:val="19"/>
              </w:rPr>
              <w:t xml:space="preserve"> Enterprise Policy &amp; Procedures Handbook</w:t>
            </w:r>
          </w:p>
        </w:tc>
      </w:tr>
      <w:tr w:rsidR="003C299D">
        <w:tblPrEx>
          <w:tblCellMar>
            <w:top w:w="0" w:type="dxa"/>
            <w:bottom w:w="0" w:type="dxa"/>
          </w:tblCellMar>
        </w:tblPrEx>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Version</w:t>
            </w:r>
          </w:p>
        </w:tc>
        <w:tc>
          <w:tcPr>
            <w:tcW w:w="6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5.2</w:t>
            </w:r>
          </w:p>
        </w:tc>
      </w:tr>
      <w:tr w:rsidR="003C299D">
        <w:tblPrEx>
          <w:tblCellMar>
            <w:top w:w="0" w:type="dxa"/>
            <w:bottom w:w="0" w:type="dxa"/>
          </w:tblCellMar>
        </w:tblPrEx>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Effective Date</w:t>
            </w:r>
          </w:p>
        </w:tc>
        <w:tc>
          <w:tcPr>
            <w:tcW w:w="6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January 1, 2025</w:t>
            </w:r>
          </w:p>
        </w:tc>
      </w:tr>
      <w:tr w:rsidR="003C299D">
        <w:tblPrEx>
          <w:tblCellMar>
            <w:top w:w="0" w:type="dxa"/>
            <w:bottom w:w="0" w:type="dxa"/>
          </w:tblCellMar>
        </w:tblPrEx>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Supersedes</w:t>
            </w:r>
          </w:p>
        </w:tc>
        <w:tc>
          <w:tcPr>
            <w:tcW w:w="6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Version 5.1 dated July 1, 2024</w:t>
            </w:r>
          </w:p>
        </w:tc>
      </w:tr>
      <w:tr w:rsidR="003C299D">
        <w:tblPrEx>
          <w:tblCellMar>
            <w:top w:w="0" w:type="dxa"/>
            <w:bottom w:w="0" w:type="dxa"/>
          </w:tblCellMar>
        </w:tblPrEx>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Owner</w:t>
            </w:r>
          </w:p>
        </w:tc>
        <w:tc>
          <w:tcPr>
            <w:tcW w:w="6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Chief People Officer (CPO) and General Counsel</w:t>
            </w:r>
          </w:p>
        </w:tc>
      </w:tr>
      <w:tr w:rsidR="003C299D">
        <w:tblPrEx>
          <w:tblCellMar>
            <w:top w:w="0" w:type="dxa"/>
            <w:bottom w:w="0" w:type="dxa"/>
          </w:tblCellMar>
        </w:tblPrEx>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Approved By</w:t>
            </w:r>
          </w:p>
        </w:tc>
        <w:tc>
          <w:tcPr>
            <w:tcW w:w="6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Executive Leadership Team (ELT)</w:t>
            </w:r>
          </w:p>
        </w:tc>
      </w:tr>
      <w:tr w:rsidR="003C299D">
        <w:tblPrEx>
          <w:tblCellMar>
            <w:top w:w="0" w:type="dxa"/>
            <w:bottom w:w="0" w:type="dxa"/>
          </w:tblCellMar>
        </w:tblPrEx>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Distribution</w:t>
            </w:r>
          </w:p>
        </w:tc>
        <w:tc>
          <w:tcPr>
            <w:tcW w:w="6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All Full-Time, Part-Time, Contract, and Temporary Employees</w:t>
            </w:r>
          </w:p>
        </w:tc>
      </w:tr>
      <w:tr w:rsidR="003C299D">
        <w:tblPrEx>
          <w:tblCellMar>
            <w:top w:w="0" w:type="dxa"/>
            <w:bottom w:w="0" w:type="dxa"/>
          </w:tblCellMar>
        </w:tblPrEx>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Review Cycle</w:t>
            </w:r>
          </w:p>
        </w:tc>
        <w:tc>
          <w:tcPr>
            <w:tcW w:w="6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Annual or upon material legislative changes</w:t>
            </w:r>
          </w:p>
        </w:tc>
      </w:tr>
      <w:tr w:rsidR="003C299D">
        <w:tblPrEx>
          <w:tblCellMar>
            <w:top w:w="0" w:type="dxa"/>
            <w:bottom w:w="0" w:type="dxa"/>
          </w:tblCellMar>
        </w:tblPrEx>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Governing Law</w:t>
            </w:r>
          </w:p>
        </w:tc>
        <w:tc>
          <w:tcPr>
            <w:tcW w:w="6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State of California, USA (unless otherwise noted)</w:t>
            </w:r>
          </w:p>
        </w:tc>
      </w:tr>
      <w:tr w:rsidR="003C299D">
        <w:tblPrEx>
          <w:tblCellMar>
            <w:top w:w="0" w:type="dxa"/>
            <w:bottom w:w="0" w:type="dxa"/>
          </w:tblCellMar>
        </w:tblPrEx>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Confidentiality</w:t>
            </w:r>
          </w:p>
        </w:tc>
        <w:tc>
          <w:tcPr>
            <w:tcW w:w="6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Internal Restricted — Not for External Distribution</w:t>
            </w:r>
          </w:p>
        </w:tc>
      </w:tr>
    </w:tbl>
    <w:p w:rsidR="003C299D" w:rsidRDefault="003C299D">
      <w:pPr>
        <w:spacing w:before="120" w:after="120"/>
      </w:pPr>
    </w:p>
    <w:p w:rsidR="003C299D" w:rsidRDefault="00E2045C">
      <w:pPr>
        <w:pBdr>
          <w:left w:val="single" w:sz="12" w:space="8" w:color="C00000"/>
        </w:pBdr>
        <w:spacing w:before="120" w:after="120"/>
        <w:ind w:left="360" w:right="360"/>
      </w:pPr>
      <w:r>
        <w:rPr>
          <w:b/>
          <w:bCs/>
          <w:color w:val="C00000"/>
          <w:sz w:val="20"/>
          <w:szCs w:val="20"/>
        </w:rPr>
        <w:t xml:space="preserve">IMPORTANT: </w:t>
      </w:r>
      <w:r>
        <w:rPr>
          <w:i/>
          <w:iCs/>
          <w:sz w:val="20"/>
          <w:szCs w:val="20"/>
        </w:rPr>
        <w:t>Employees are required to acknowledge receipt and understanding of this handbook annually via the HR Information System (HRIS) portal. Failure to complete the annual acknowledgement may result in access restrictions to certain company systems.</w:t>
      </w:r>
    </w:p>
    <w:p w:rsidR="003C299D" w:rsidRDefault="00E2045C">
      <w:r>
        <w:br w:type="page"/>
      </w:r>
    </w:p>
    <w:p w:rsidR="003C299D" w:rsidRDefault="00E2045C">
      <w:pPr>
        <w:pStyle w:val="Heading1"/>
        <w:pBdr>
          <w:bottom w:val="single" w:sz="8" w:space="4" w:color="2E75B6"/>
        </w:pBdr>
      </w:pPr>
      <w:r>
        <w:lastRenderedPageBreak/>
        <w:t>Table of Contents</w:t>
      </w:r>
    </w:p>
    <w:p w:rsidR="003C299D" w:rsidRDefault="00E2045C">
      <w:pPr>
        <w:tabs>
          <w:tab w:val="right" w:pos="8640"/>
        </w:tabs>
        <w:spacing w:before="120" w:after="60"/>
      </w:pPr>
      <w:r>
        <w:rPr>
          <w:b/>
          <w:bCs/>
          <w:color w:val="1B3A6B"/>
        </w:rPr>
        <w:t>Part I    Company Overview &amp; Mission</w:t>
      </w:r>
      <w:r>
        <w:rPr>
          <w:b/>
          <w:bCs/>
        </w:rPr>
        <w:tab/>
        <w:t>5</w:t>
      </w:r>
    </w:p>
    <w:p w:rsidR="003C299D" w:rsidRDefault="00E2045C">
      <w:pPr>
        <w:tabs>
          <w:tab w:val="right" w:pos="8640"/>
        </w:tabs>
        <w:spacing w:before="40" w:after="40"/>
      </w:pPr>
      <w:r>
        <w:rPr>
          <w:sz w:val="20"/>
          <w:szCs w:val="20"/>
        </w:rPr>
        <w:t>1.1    Corporate History &amp; Identity</w:t>
      </w:r>
      <w:r>
        <w:rPr>
          <w:sz w:val="20"/>
          <w:szCs w:val="20"/>
        </w:rPr>
        <w:tab/>
        <w:t>5</w:t>
      </w:r>
    </w:p>
    <w:p w:rsidR="003C299D" w:rsidRDefault="00E2045C">
      <w:pPr>
        <w:tabs>
          <w:tab w:val="right" w:pos="8640"/>
        </w:tabs>
        <w:spacing w:before="40" w:after="40"/>
      </w:pPr>
      <w:r>
        <w:rPr>
          <w:sz w:val="20"/>
          <w:szCs w:val="20"/>
        </w:rPr>
        <w:t>1.2    Vision, Mission &amp; Core Values</w:t>
      </w:r>
      <w:r>
        <w:rPr>
          <w:sz w:val="20"/>
          <w:szCs w:val="20"/>
        </w:rPr>
        <w:tab/>
        <w:t>6</w:t>
      </w:r>
    </w:p>
    <w:p w:rsidR="003C299D" w:rsidRDefault="00E2045C">
      <w:pPr>
        <w:tabs>
          <w:tab w:val="right" w:pos="8640"/>
        </w:tabs>
        <w:spacing w:before="40" w:after="40"/>
      </w:pPr>
      <w:r>
        <w:rPr>
          <w:sz w:val="20"/>
          <w:szCs w:val="20"/>
        </w:rPr>
        <w:t xml:space="preserve">1.3    </w:t>
      </w:r>
      <w:proofErr w:type="spellStart"/>
      <w:r>
        <w:rPr>
          <w:sz w:val="20"/>
          <w:szCs w:val="20"/>
        </w:rPr>
        <w:t>Organisational</w:t>
      </w:r>
      <w:proofErr w:type="spellEnd"/>
      <w:r>
        <w:rPr>
          <w:sz w:val="20"/>
          <w:szCs w:val="20"/>
        </w:rPr>
        <w:t xml:space="preserve"> Structure</w:t>
      </w:r>
      <w:r>
        <w:rPr>
          <w:sz w:val="20"/>
          <w:szCs w:val="20"/>
        </w:rPr>
        <w:tab/>
        <w:t>7</w:t>
      </w:r>
    </w:p>
    <w:p w:rsidR="003C299D" w:rsidRDefault="00E2045C">
      <w:pPr>
        <w:tabs>
          <w:tab w:val="right" w:pos="8640"/>
        </w:tabs>
        <w:spacing w:before="40" w:after="40"/>
      </w:pPr>
      <w:r>
        <w:rPr>
          <w:sz w:val="20"/>
          <w:szCs w:val="20"/>
        </w:rPr>
        <w:t>1.4    Business Lines &amp; Global Presence</w:t>
      </w:r>
      <w:r>
        <w:rPr>
          <w:sz w:val="20"/>
          <w:szCs w:val="20"/>
        </w:rPr>
        <w:tab/>
        <w:t>8</w:t>
      </w:r>
    </w:p>
    <w:p w:rsidR="003C299D" w:rsidRDefault="00E2045C">
      <w:pPr>
        <w:tabs>
          <w:tab w:val="right" w:pos="8640"/>
        </w:tabs>
        <w:spacing w:before="120" w:after="60"/>
      </w:pPr>
      <w:r>
        <w:rPr>
          <w:b/>
          <w:bCs/>
          <w:color w:val="1B3A6B"/>
        </w:rPr>
        <w:t>Part II    Code of Business Conduct &amp; Ethics</w:t>
      </w:r>
      <w:r>
        <w:rPr>
          <w:b/>
          <w:bCs/>
        </w:rPr>
        <w:tab/>
        <w:t>10</w:t>
      </w:r>
    </w:p>
    <w:p w:rsidR="003C299D" w:rsidRDefault="00E2045C">
      <w:pPr>
        <w:tabs>
          <w:tab w:val="right" w:pos="8640"/>
        </w:tabs>
        <w:spacing w:before="40" w:after="40"/>
      </w:pPr>
      <w:r>
        <w:rPr>
          <w:sz w:val="20"/>
          <w:szCs w:val="20"/>
        </w:rPr>
        <w:t>2.1    Ethical Standards &amp; Expectations</w:t>
      </w:r>
      <w:r>
        <w:rPr>
          <w:sz w:val="20"/>
          <w:szCs w:val="20"/>
        </w:rPr>
        <w:tab/>
        <w:t>10</w:t>
      </w:r>
    </w:p>
    <w:p w:rsidR="003C299D" w:rsidRDefault="00E2045C">
      <w:pPr>
        <w:tabs>
          <w:tab w:val="right" w:pos="8640"/>
        </w:tabs>
        <w:spacing w:before="40" w:after="40"/>
      </w:pPr>
      <w:r>
        <w:rPr>
          <w:sz w:val="20"/>
          <w:szCs w:val="20"/>
        </w:rPr>
        <w:t>2.2    Conflicts of Interest</w:t>
      </w:r>
      <w:r>
        <w:rPr>
          <w:sz w:val="20"/>
          <w:szCs w:val="20"/>
        </w:rPr>
        <w:tab/>
        <w:t>11</w:t>
      </w:r>
    </w:p>
    <w:p w:rsidR="003C299D" w:rsidRDefault="00E2045C">
      <w:pPr>
        <w:tabs>
          <w:tab w:val="right" w:pos="8640"/>
        </w:tabs>
        <w:spacing w:before="40" w:after="40"/>
      </w:pPr>
      <w:r>
        <w:rPr>
          <w:sz w:val="20"/>
          <w:szCs w:val="20"/>
        </w:rPr>
        <w:t>2.3    Gifts, Entertainment &amp; Anti-Bribery</w:t>
      </w:r>
      <w:r>
        <w:rPr>
          <w:sz w:val="20"/>
          <w:szCs w:val="20"/>
        </w:rPr>
        <w:tab/>
        <w:t>13</w:t>
      </w:r>
    </w:p>
    <w:p w:rsidR="003C299D" w:rsidRDefault="00E2045C">
      <w:pPr>
        <w:tabs>
          <w:tab w:val="right" w:pos="8640"/>
        </w:tabs>
        <w:spacing w:before="40" w:after="40"/>
      </w:pPr>
      <w:r>
        <w:rPr>
          <w:sz w:val="20"/>
          <w:szCs w:val="20"/>
        </w:rPr>
        <w:t>2.4    Insider Trading &amp; Securities Policy</w:t>
      </w:r>
      <w:r>
        <w:rPr>
          <w:sz w:val="20"/>
          <w:szCs w:val="20"/>
        </w:rPr>
        <w:tab/>
        <w:t>14</w:t>
      </w:r>
    </w:p>
    <w:p w:rsidR="003C299D" w:rsidRDefault="00E2045C">
      <w:pPr>
        <w:tabs>
          <w:tab w:val="right" w:pos="8640"/>
        </w:tabs>
        <w:spacing w:before="40" w:after="40"/>
      </w:pPr>
      <w:r>
        <w:rPr>
          <w:sz w:val="20"/>
          <w:szCs w:val="20"/>
        </w:rPr>
        <w:t>2.5    Whistleblower &amp; Non-Retaliation Policy</w:t>
      </w:r>
      <w:r>
        <w:rPr>
          <w:sz w:val="20"/>
          <w:szCs w:val="20"/>
        </w:rPr>
        <w:tab/>
        <w:t>15</w:t>
      </w:r>
    </w:p>
    <w:p w:rsidR="003C299D" w:rsidRDefault="00E2045C">
      <w:pPr>
        <w:tabs>
          <w:tab w:val="right" w:pos="8640"/>
        </w:tabs>
        <w:spacing w:before="120" w:after="60"/>
      </w:pPr>
      <w:r>
        <w:rPr>
          <w:b/>
          <w:bCs/>
          <w:color w:val="1B3A6B"/>
        </w:rPr>
        <w:t>Part III    Human Resources Policies</w:t>
      </w:r>
      <w:r>
        <w:rPr>
          <w:b/>
          <w:bCs/>
        </w:rPr>
        <w:tab/>
        <w:t>17</w:t>
      </w:r>
    </w:p>
    <w:p w:rsidR="003C299D" w:rsidRDefault="00E2045C">
      <w:pPr>
        <w:tabs>
          <w:tab w:val="right" w:pos="8640"/>
        </w:tabs>
        <w:spacing w:before="40" w:after="40"/>
      </w:pPr>
      <w:r>
        <w:rPr>
          <w:sz w:val="20"/>
          <w:szCs w:val="20"/>
        </w:rPr>
        <w:t>3.1    Recruitment, Selection &amp; Onboarding</w:t>
      </w:r>
      <w:r>
        <w:rPr>
          <w:sz w:val="20"/>
          <w:szCs w:val="20"/>
        </w:rPr>
        <w:tab/>
        <w:t>17</w:t>
      </w:r>
    </w:p>
    <w:p w:rsidR="003C299D" w:rsidRDefault="00E2045C">
      <w:pPr>
        <w:tabs>
          <w:tab w:val="right" w:pos="8640"/>
        </w:tabs>
        <w:spacing w:before="40" w:after="40"/>
      </w:pPr>
      <w:r>
        <w:rPr>
          <w:sz w:val="20"/>
          <w:szCs w:val="20"/>
        </w:rPr>
        <w:t>3.2    Employment Classifications</w:t>
      </w:r>
      <w:r>
        <w:rPr>
          <w:sz w:val="20"/>
          <w:szCs w:val="20"/>
        </w:rPr>
        <w:tab/>
        <w:t>19</w:t>
      </w:r>
    </w:p>
    <w:p w:rsidR="003C299D" w:rsidRDefault="00E2045C">
      <w:pPr>
        <w:tabs>
          <w:tab w:val="right" w:pos="8640"/>
        </w:tabs>
        <w:spacing w:before="40" w:after="40"/>
      </w:pPr>
      <w:r>
        <w:rPr>
          <w:sz w:val="20"/>
          <w:szCs w:val="20"/>
        </w:rPr>
        <w:t>3.3    Compensation, Payroll &amp; Overtime</w:t>
      </w:r>
      <w:r>
        <w:rPr>
          <w:sz w:val="20"/>
          <w:szCs w:val="20"/>
        </w:rPr>
        <w:tab/>
        <w:t>20</w:t>
      </w:r>
    </w:p>
    <w:p w:rsidR="003C299D" w:rsidRDefault="00E2045C">
      <w:pPr>
        <w:tabs>
          <w:tab w:val="right" w:pos="8640"/>
        </w:tabs>
        <w:spacing w:before="40" w:after="40"/>
      </w:pPr>
      <w:r>
        <w:rPr>
          <w:sz w:val="20"/>
          <w:szCs w:val="20"/>
        </w:rPr>
        <w:t>3.4    Benefits &amp; Employee Wellness</w:t>
      </w:r>
      <w:r>
        <w:rPr>
          <w:sz w:val="20"/>
          <w:szCs w:val="20"/>
        </w:rPr>
        <w:tab/>
        <w:t>22</w:t>
      </w:r>
    </w:p>
    <w:p w:rsidR="003C299D" w:rsidRDefault="00E2045C">
      <w:pPr>
        <w:tabs>
          <w:tab w:val="right" w:pos="8640"/>
        </w:tabs>
        <w:spacing w:before="40" w:after="40"/>
      </w:pPr>
      <w:r>
        <w:rPr>
          <w:sz w:val="20"/>
          <w:szCs w:val="20"/>
        </w:rPr>
        <w:t>3.5    Performance Management</w:t>
      </w:r>
      <w:r>
        <w:rPr>
          <w:sz w:val="20"/>
          <w:szCs w:val="20"/>
        </w:rPr>
        <w:tab/>
        <w:t>25</w:t>
      </w:r>
    </w:p>
    <w:p w:rsidR="003C299D" w:rsidRDefault="00E2045C">
      <w:pPr>
        <w:tabs>
          <w:tab w:val="right" w:pos="8640"/>
        </w:tabs>
        <w:spacing w:before="40" w:after="40"/>
      </w:pPr>
      <w:r>
        <w:rPr>
          <w:sz w:val="20"/>
          <w:szCs w:val="20"/>
        </w:rPr>
        <w:t>3.6    Learning &amp; Development</w:t>
      </w:r>
      <w:r>
        <w:rPr>
          <w:sz w:val="20"/>
          <w:szCs w:val="20"/>
        </w:rPr>
        <w:tab/>
        <w:t>27</w:t>
      </w:r>
    </w:p>
    <w:p w:rsidR="003C299D" w:rsidRDefault="00E2045C">
      <w:pPr>
        <w:tabs>
          <w:tab w:val="right" w:pos="8640"/>
        </w:tabs>
        <w:spacing w:before="40" w:after="40"/>
      </w:pPr>
      <w:r>
        <w:rPr>
          <w:sz w:val="20"/>
          <w:szCs w:val="20"/>
        </w:rPr>
        <w:t>3.7    Leave Management Policy</w:t>
      </w:r>
      <w:r>
        <w:rPr>
          <w:sz w:val="20"/>
          <w:szCs w:val="20"/>
        </w:rPr>
        <w:tab/>
        <w:t>29</w:t>
      </w:r>
    </w:p>
    <w:p w:rsidR="003C299D" w:rsidRDefault="00E2045C">
      <w:pPr>
        <w:tabs>
          <w:tab w:val="right" w:pos="8640"/>
        </w:tabs>
        <w:spacing w:before="40" w:after="40"/>
      </w:pPr>
      <w:r>
        <w:rPr>
          <w:sz w:val="20"/>
          <w:szCs w:val="20"/>
        </w:rPr>
        <w:t>3.8    Remote &amp; Hybrid Work Policy</w:t>
      </w:r>
      <w:r>
        <w:rPr>
          <w:sz w:val="20"/>
          <w:szCs w:val="20"/>
        </w:rPr>
        <w:tab/>
        <w:t>33</w:t>
      </w:r>
    </w:p>
    <w:p w:rsidR="003C299D" w:rsidRDefault="00E2045C">
      <w:pPr>
        <w:tabs>
          <w:tab w:val="right" w:pos="8640"/>
        </w:tabs>
        <w:spacing w:before="40" w:after="40"/>
      </w:pPr>
      <w:r>
        <w:rPr>
          <w:sz w:val="20"/>
          <w:szCs w:val="20"/>
        </w:rPr>
        <w:t>3.9    Attendance, Timekeeping &amp; Conduct</w:t>
      </w:r>
      <w:r>
        <w:rPr>
          <w:sz w:val="20"/>
          <w:szCs w:val="20"/>
        </w:rPr>
        <w:tab/>
        <w:t>35</w:t>
      </w:r>
    </w:p>
    <w:p w:rsidR="003C299D" w:rsidRDefault="00E2045C">
      <w:pPr>
        <w:tabs>
          <w:tab w:val="right" w:pos="8640"/>
        </w:tabs>
        <w:spacing w:before="120" w:after="60"/>
      </w:pPr>
      <w:r>
        <w:rPr>
          <w:b/>
          <w:bCs/>
          <w:color w:val="1B3A6B"/>
        </w:rPr>
        <w:t>Part IV    Anti-Harassment, Discrimination &amp; Equal Opportunity</w:t>
      </w:r>
      <w:r>
        <w:rPr>
          <w:b/>
          <w:bCs/>
        </w:rPr>
        <w:tab/>
        <w:t>37</w:t>
      </w:r>
    </w:p>
    <w:p w:rsidR="003C299D" w:rsidRDefault="00E2045C">
      <w:pPr>
        <w:tabs>
          <w:tab w:val="right" w:pos="8640"/>
        </w:tabs>
        <w:spacing w:before="40" w:after="40"/>
      </w:pPr>
      <w:r>
        <w:rPr>
          <w:sz w:val="20"/>
          <w:szCs w:val="20"/>
        </w:rPr>
        <w:t>4.1    Equal Employment Opportunity (EEO) Statement</w:t>
      </w:r>
      <w:r>
        <w:rPr>
          <w:sz w:val="20"/>
          <w:szCs w:val="20"/>
        </w:rPr>
        <w:tab/>
        <w:t>37</w:t>
      </w:r>
    </w:p>
    <w:p w:rsidR="003C299D" w:rsidRDefault="00E2045C">
      <w:pPr>
        <w:tabs>
          <w:tab w:val="right" w:pos="8640"/>
        </w:tabs>
        <w:spacing w:before="40" w:after="40"/>
      </w:pPr>
      <w:r>
        <w:rPr>
          <w:sz w:val="20"/>
          <w:szCs w:val="20"/>
        </w:rPr>
        <w:t>4.2    Harassment &amp;</w:t>
      </w:r>
      <w:r>
        <w:rPr>
          <w:sz w:val="20"/>
          <w:szCs w:val="20"/>
        </w:rPr>
        <w:t xml:space="preserve"> Discrimination Defined</w:t>
      </w:r>
      <w:r>
        <w:rPr>
          <w:sz w:val="20"/>
          <w:szCs w:val="20"/>
        </w:rPr>
        <w:tab/>
        <w:t>38</w:t>
      </w:r>
    </w:p>
    <w:p w:rsidR="003C299D" w:rsidRDefault="00E2045C">
      <w:pPr>
        <w:tabs>
          <w:tab w:val="right" w:pos="8640"/>
        </w:tabs>
        <w:spacing w:before="40" w:after="40"/>
      </w:pPr>
      <w:r>
        <w:rPr>
          <w:sz w:val="20"/>
          <w:szCs w:val="20"/>
        </w:rPr>
        <w:t>4.3    Reporting &amp; Investigation Procedures</w:t>
      </w:r>
      <w:r>
        <w:rPr>
          <w:sz w:val="20"/>
          <w:szCs w:val="20"/>
        </w:rPr>
        <w:tab/>
        <w:t>40</w:t>
      </w:r>
    </w:p>
    <w:p w:rsidR="003C299D" w:rsidRDefault="00E2045C">
      <w:pPr>
        <w:tabs>
          <w:tab w:val="right" w:pos="8640"/>
        </w:tabs>
        <w:spacing w:before="40" w:after="40"/>
      </w:pPr>
      <w:r>
        <w:rPr>
          <w:sz w:val="20"/>
          <w:szCs w:val="20"/>
        </w:rPr>
        <w:t>4.4    Corrective Actions &amp; Consequences</w:t>
      </w:r>
      <w:r>
        <w:rPr>
          <w:sz w:val="20"/>
          <w:szCs w:val="20"/>
        </w:rPr>
        <w:tab/>
        <w:t>41</w:t>
      </w:r>
    </w:p>
    <w:p w:rsidR="003C299D" w:rsidRDefault="00E2045C">
      <w:pPr>
        <w:tabs>
          <w:tab w:val="right" w:pos="8640"/>
        </w:tabs>
        <w:spacing w:before="120" w:after="60"/>
      </w:pPr>
      <w:r>
        <w:rPr>
          <w:b/>
          <w:bCs/>
          <w:color w:val="1B3A6B"/>
        </w:rPr>
        <w:t>Part V    IT, Data &amp; Security Policies</w:t>
      </w:r>
      <w:r>
        <w:rPr>
          <w:b/>
          <w:bCs/>
        </w:rPr>
        <w:tab/>
        <w:t>43</w:t>
      </w:r>
    </w:p>
    <w:p w:rsidR="003C299D" w:rsidRDefault="00E2045C">
      <w:pPr>
        <w:tabs>
          <w:tab w:val="right" w:pos="8640"/>
        </w:tabs>
        <w:spacing w:before="40" w:after="40"/>
      </w:pPr>
      <w:r>
        <w:rPr>
          <w:sz w:val="20"/>
          <w:szCs w:val="20"/>
        </w:rPr>
        <w:t>5.1    Acceptable Use of Technology</w:t>
      </w:r>
      <w:r>
        <w:rPr>
          <w:sz w:val="20"/>
          <w:szCs w:val="20"/>
        </w:rPr>
        <w:tab/>
        <w:t>43</w:t>
      </w:r>
    </w:p>
    <w:p w:rsidR="003C299D" w:rsidRDefault="00E2045C">
      <w:pPr>
        <w:tabs>
          <w:tab w:val="right" w:pos="8640"/>
        </w:tabs>
        <w:spacing w:before="40" w:after="40"/>
      </w:pPr>
      <w:r>
        <w:rPr>
          <w:sz w:val="20"/>
          <w:szCs w:val="20"/>
        </w:rPr>
        <w:t>5.2    Information Classification &amp; Handling</w:t>
      </w:r>
      <w:r>
        <w:rPr>
          <w:sz w:val="20"/>
          <w:szCs w:val="20"/>
        </w:rPr>
        <w:tab/>
        <w:t>45</w:t>
      </w:r>
    </w:p>
    <w:p w:rsidR="003C299D" w:rsidRDefault="00E2045C">
      <w:pPr>
        <w:tabs>
          <w:tab w:val="right" w:pos="8640"/>
        </w:tabs>
        <w:spacing w:before="40" w:after="40"/>
      </w:pPr>
      <w:r>
        <w:rPr>
          <w:sz w:val="20"/>
          <w:szCs w:val="20"/>
        </w:rPr>
        <w:t>5.3    Cybersecurity Incident Response</w:t>
      </w:r>
      <w:r>
        <w:rPr>
          <w:sz w:val="20"/>
          <w:szCs w:val="20"/>
        </w:rPr>
        <w:tab/>
        <w:t>47</w:t>
      </w:r>
    </w:p>
    <w:p w:rsidR="003C299D" w:rsidRDefault="00E2045C">
      <w:pPr>
        <w:tabs>
          <w:tab w:val="right" w:pos="8640"/>
        </w:tabs>
        <w:spacing w:before="40" w:after="40"/>
      </w:pPr>
      <w:r>
        <w:rPr>
          <w:sz w:val="20"/>
          <w:szCs w:val="20"/>
        </w:rPr>
        <w:t>5.4    Data Privacy (GDPR, CCPA &amp; Global)</w:t>
      </w:r>
      <w:r>
        <w:rPr>
          <w:sz w:val="20"/>
          <w:szCs w:val="20"/>
        </w:rPr>
        <w:tab/>
        <w:t>49</w:t>
      </w:r>
    </w:p>
    <w:p w:rsidR="003C299D" w:rsidRDefault="00E2045C">
      <w:pPr>
        <w:tabs>
          <w:tab w:val="right" w:pos="8640"/>
        </w:tabs>
        <w:spacing w:before="120" w:after="60"/>
      </w:pPr>
      <w:r>
        <w:rPr>
          <w:b/>
          <w:bCs/>
          <w:color w:val="1B3A6B"/>
        </w:rPr>
        <w:t>Part VI    Workplace Health &amp; Safety</w:t>
      </w:r>
      <w:r>
        <w:rPr>
          <w:b/>
          <w:bCs/>
        </w:rPr>
        <w:tab/>
        <w:t>51</w:t>
      </w:r>
    </w:p>
    <w:p w:rsidR="003C299D" w:rsidRDefault="00E2045C">
      <w:pPr>
        <w:tabs>
          <w:tab w:val="right" w:pos="8640"/>
        </w:tabs>
        <w:spacing w:before="40" w:after="40"/>
      </w:pPr>
      <w:r>
        <w:rPr>
          <w:sz w:val="20"/>
          <w:szCs w:val="20"/>
        </w:rPr>
        <w:t>6.1    Safety Obligations &amp; Responsibilities</w:t>
      </w:r>
      <w:r>
        <w:rPr>
          <w:sz w:val="20"/>
          <w:szCs w:val="20"/>
        </w:rPr>
        <w:tab/>
        <w:t>51</w:t>
      </w:r>
    </w:p>
    <w:p w:rsidR="003C299D" w:rsidRDefault="00E2045C">
      <w:pPr>
        <w:tabs>
          <w:tab w:val="right" w:pos="8640"/>
        </w:tabs>
        <w:spacing w:before="40" w:after="40"/>
      </w:pPr>
      <w:r>
        <w:rPr>
          <w:sz w:val="20"/>
          <w:szCs w:val="20"/>
        </w:rPr>
        <w:t>6.2    Incident Reporting &amp; Investigation</w:t>
      </w:r>
      <w:r>
        <w:rPr>
          <w:sz w:val="20"/>
          <w:szCs w:val="20"/>
        </w:rPr>
        <w:tab/>
        <w:t>53</w:t>
      </w:r>
    </w:p>
    <w:p w:rsidR="003C299D" w:rsidRDefault="00E2045C">
      <w:pPr>
        <w:tabs>
          <w:tab w:val="right" w:pos="8640"/>
        </w:tabs>
        <w:spacing w:before="40" w:after="40"/>
      </w:pPr>
      <w:r>
        <w:rPr>
          <w:sz w:val="20"/>
          <w:szCs w:val="20"/>
        </w:rPr>
        <w:t>6.3    Substance Abuse &amp; Drug-Free W</w:t>
      </w:r>
      <w:r>
        <w:rPr>
          <w:sz w:val="20"/>
          <w:szCs w:val="20"/>
        </w:rPr>
        <w:t>orkplace</w:t>
      </w:r>
      <w:r>
        <w:rPr>
          <w:sz w:val="20"/>
          <w:szCs w:val="20"/>
        </w:rPr>
        <w:tab/>
        <w:t>55</w:t>
      </w:r>
    </w:p>
    <w:p w:rsidR="003C299D" w:rsidRDefault="00E2045C">
      <w:pPr>
        <w:tabs>
          <w:tab w:val="right" w:pos="8640"/>
        </w:tabs>
        <w:spacing w:before="120" w:after="60"/>
      </w:pPr>
      <w:r>
        <w:rPr>
          <w:b/>
          <w:bCs/>
          <w:color w:val="1B3A6B"/>
        </w:rPr>
        <w:t>Part VII    Travel, Expenses &amp; Procurement</w:t>
      </w:r>
      <w:r>
        <w:rPr>
          <w:b/>
          <w:bCs/>
        </w:rPr>
        <w:tab/>
        <w:t>56</w:t>
      </w:r>
    </w:p>
    <w:p w:rsidR="003C299D" w:rsidRDefault="00E2045C">
      <w:pPr>
        <w:tabs>
          <w:tab w:val="right" w:pos="8640"/>
        </w:tabs>
        <w:spacing w:before="40" w:after="40"/>
      </w:pPr>
      <w:r>
        <w:rPr>
          <w:sz w:val="20"/>
          <w:szCs w:val="20"/>
        </w:rPr>
        <w:t>7.1    Business Travel Policy</w:t>
      </w:r>
      <w:r>
        <w:rPr>
          <w:sz w:val="20"/>
          <w:szCs w:val="20"/>
        </w:rPr>
        <w:tab/>
        <w:t>56</w:t>
      </w:r>
    </w:p>
    <w:p w:rsidR="003C299D" w:rsidRDefault="00E2045C">
      <w:pPr>
        <w:tabs>
          <w:tab w:val="right" w:pos="8640"/>
        </w:tabs>
        <w:spacing w:before="40" w:after="40"/>
      </w:pPr>
      <w:r>
        <w:rPr>
          <w:sz w:val="20"/>
          <w:szCs w:val="20"/>
        </w:rPr>
        <w:t>7.2    Expense Reimbursement</w:t>
      </w:r>
      <w:r>
        <w:rPr>
          <w:sz w:val="20"/>
          <w:szCs w:val="20"/>
        </w:rPr>
        <w:tab/>
        <w:t>58</w:t>
      </w:r>
    </w:p>
    <w:p w:rsidR="003C299D" w:rsidRDefault="00E2045C">
      <w:pPr>
        <w:tabs>
          <w:tab w:val="right" w:pos="8640"/>
        </w:tabs>
        <w:spacing w:before="40" w:after="40"/>
      </w:pPr>
      <w:r>
        <w:rPr>
          <w:sz w:val="20"/>
          <w:szCs w:val="20"/>
        </w:rPr>
        <w:t>7.3    Procurement &amp; Vendor Management</w:t>
      </w:r>
      <w:r>
        <w:rPr>
          <w:sz w:val="20"/>
          <w:szCs w:val="20"/>
        </w:rPr>
        <w:tab/>
        <w:t>60</w:t>
      </w:r>
    </w:p>
    <w:p w:rsidR="003C299D" w:rsidRDefault="00E2045C">
      <w:pPr>
        <w:tabs>
          <w:tab w:val="right" w:pos="8640"/>
        </w:tabs>
        <w:spacing w:before="120" w:after="60"/>
      </w:pPr>
      <w:r>
        <w:rPr>
          <w:b/>
          <w:bCs/>
          <w:color w:val="1B3A6B"/>
        </w:rPr>
        <w:t>Part VIII    Disciplinary &amp; Separation Procedures</w:t>
      </w:r>
      <w:r>
        <w:rPr>
          <w:b/>
          <w:bCs/>
        </w:rPr>
        <w:tab/>
        <w:t>62</w:t>
      </w:r>
    </w:p>
    <w:p w:rsidR="003C299D" w:rsidRDefault="00E2045C">
      <w:pPr>
        <w:tabs>
          <w:tab w:val="right" w:pos="8640"/>
        </w:tabs>
        <w:spacing w:before="40" w:after="40"/>
      </w:pPr>
      <w:r>
        <w:rPr>
          <w:sz w:val="20"/>
          <w:szCs w:val="20"/>
        </w:rPr>
        <w:t>8.1    Progressive Discipline Framewor</w:t>
      </w:r>
      <w:r>
        <w:rPr>
          <w:sz w:val="20"/>
          <w:szCs w:val="20"/>
        </w:rPr>
        <w:t>k</w:t>
      </w:r>
      <w:r>
        <w:rPr>
          <w:sz w:val="20"/>
          <w:szCs w:val="20"/>
        </w:rPr>
        <w:tab/>
        <w:t>62</w:t>
      </w:r>
    </w:p>
    <w:p w:rsidR="003C299D" w:rsidRDefault="00E2045C">
      <w:pPr>
        <w:tabs>
          <w:tab w:val="right" w:pos="8640"/>
        </w:tabs>
        <w:spacing w:before="40" w:after="40"/>
      </w:pPr>
      <w:r>
        <w:rPr>
          <w:sz w:val="20"/>
          <w:szCs w:val="20"/>
        </w:rPr>
        <w:t>8.2    Gross Misconduct &amp; Summary Dismissal</w:t>
      </w:r>
      <w:r>
        <w:rPr>
          <w:sz w:val="20"/>
          <w:szCs w:val="20"/>
        </w:rPr>
        <w:tab/>
        <w:t>64</w:t>
      </w:r>
    </w:p>
    <w:p w:rsidR="003C299D" w:rsidRDefault="00E2045C">
      <w:pPr>
        <w:tabs>
          <w:tab w:val="right" w:pos="8640"/>
        </w:tabs>
        <w:spacing w:before="40" w:after="40"/>
      </w:pPr>
      <w:r>
        <w:rPr>
          <w:sz w:val="20"/>
          <w:szCs w:val="20"/>
        </w:rPr>
        <w:t>8.3    Voluntary Resignation &amp; Retirement</w:t>
      </w:r>
      <w:r>
        <w:rPr>
          <w:sz w:val="20"/>
          <w:szCs w:val="20"/>
        </w:rPr>
        <w:tab/>
        <w:t>65</w:t>
      </w:r>
    </w:p>
    <w:p w:rsidR="003C299D" w:rsidRDefault="00E2045C">
      <w:pPr>
        <w:tabs>
          <w:tab w:val="right" w:pos="8640"/>
        </w:tabs>
        <w:spacing w:before="40" w:after="40"/>
      </w:pPr>
      <w:r>
        <w:rPr>
          <w:sz w:val="20"/>
          <w:szCs w:val="20"/>
        </w:rPr>
        <w:lastRenderedPageBreak/>
        <w:t>8.4    Reduction in Force (Layoffs)</w:t>
      </w:r>
      <w:r>
        <w:rPr>
          <w:sz w:val="20"/>
          <w:szCs w:val="20"/>
        </w:rPr>
        <w:tab/>
        <w:t>66</w:t>
      </w:r>
    </w:p>
    <w:p w:rsidR="003C299D" w:rsidRDefault="00E2045C">
      <w:pPr>
        <w:tabs>
          <w:tab w:val="right" w:pos="8640"/>
        </w:tabs>
        <w:spacing w:before="40" w:after="40"/>
      </w:pPr>
      <w:r>
        <w:rPr>
          <w:sz w:val="20"/>
          <w:szCs w:val="20"/>
        </w:rPr>
        <w:t>Appendices    Supporting Materials &amp; Forms</w:t>
      </w:r>
      <w:r>
        <w:rPr>
          <w:sz w:val="20"/>
          <w:szCs w:val="20"/>
        </w:rPr>
        <w:tab/>
        <w:t>68</w:t>
      </w:r>
    </w:p>
    <w:p w:rsidR="003C299D" w:rsidRDefault="00E2045C">
      <w:r>
        <w:br w:type="page"/>
      </w:r>
    </w:p>
    <w:p w:rsidR="003C299D" w:rsidRDefault="00E2045C">
      <w:pPr>
        <w:shd w:val="clear" w:color="auto" w:fill="1B3A6B"/>
        <w:spacing w:before="500" w:after="300"/>
        <w:jc w:val="center"/>
      </w:pPr>
      <w:r>
        <w:rPr>
          <w:b/>
          <w:bCs/>
          <w:color w:val="FFFFFF"/>
          <w:sz w:val="32"/>
          <w:szCs w:val="32"/>
        </w:rPr>
        <w:lastRenderedPageBreak/>
        <w:t xml:space="preserve">  PART I — COMPANY OVERVIEW &amp; MISSION  </w:t>
      </w:r>
    </w:p>
    <w:p w:rsidR="003C299D" w:rsidRDefault="003C299D">
      <w:pPr>
        <w:spacing w:before="200" w:after="200"/>
      </w:pPr>
    </w:p>
    <w:p w:rsidR="003C299D" w:rsidRDefault="00E2045C">
      <w:pPr>
        <w:pStyle w:val="Heading1"/>
        <w:pBdr>
          <w:bottom w:val="single" w:sz="8" w:space="4" w:color="2E75B6"/>
        </w:pBdr>
      </w:pPr>
      <w:r>
        <w:t>1. Company Overview &amp; Mission</w:t>
      </w:r>
    </w:p>
    <w:p w:rsidR="003C299D" w:rsidRDefault="00E2045C">
      <w:pPr>
        <w:pStyle w:val="Heading2"/>
      </w:pPr>
      <w:r>
        <w:t>1.1 Corporate History &amp; Identity</w:t>
      </w:r>
    </w:p>
    <w:p w:rsidR="003C299D" w:rsidRDefault="00E2045C">
      <w:pPr>
        <w:spacing w:before="80" w:after="100" w:line="276" w:lineRule="auto"/>
        <w:jc w:val="both"/>
      </w:pPr>
      <w:proofErr w:type="spellStart"/>
      <w:r>
        <w:t>NexaCorp</w:t>
      </w:r>
      <w:proofErr w:type="spellEnd"/>
      <w:r>
        <w:t xml:space="preserve"> Global was incorporated in 1992 in the State of Delaware as </w:t>
      </w:r>
      <w:proofErr w:type="spellStart"/>
      <w:r>
        <w:t>NexaSystems</w:t>
      </w:r>
      <w:proofErr w:type="spellEnd"/>
      <w:r>
        <w:t xml:space="preserve"> Inc., a boutique technology consulting firm serving regional financial institutions on the US West Coast. Under the founding leadership of Chi</w:t>
      </w:r>
      <w:r>
        <w:t>ef Executive Officer Elaine Hartwell and Chief Technology Officer Marcus Delgado, the company achieved rapid growth by pioneering enterprise resource planning (ERP) integrations at a time when most mid-market financial institutions still relied on propriet</w:t>
      </w:r>
      <w:r>
        <w:t>ary mainframe systems.</w:t>
      </w:r>
    </w:p>
    <w:p w:rsidR="003C299D" w:rsidRDefault="00E2045C">
      <w:pPr>
        <w:spacing w:before="80" w:after="100" w:line="276" w:lineRule="auto"/>
        <w:jc w:val="both"/>
      </w:pPr>
      <w:r>
        <w:t xml:space="preserve">Following a landmark Series C funding round of $120 million in 1999, the company rebranded as </w:t>
      </w:r>
      <w:proofErr w:type="spellStart"/>
      <w:r>
        <w:t>NexaCorp</w:t>
      </w:r>
      <w:proofErr w:type="spellEnd"/>
      <w:r>
        <w:t xml:space="preserve"> and expanded its product portfolio to include cloud-native analytics platforms. A pivotal acquisition of London-based DataStream A</w:t>
      </w:r>
      <w:r>
        <w:t xml:space="preserve">nalytics in 2006 opened the European market and transformed </w:t>
      </w:r>
      <w:proofErr w:type="spellStart"/>
      <w:r>
        <w:t>NexaCorp</w:t>
      </w:r>
      <w:proofErr w:type="spellEnd"/>
      <w:r>
        <w:t xml:space="preserve"> into a truly global enterprise. Today, </w:t>
      </w:r>
      <w:proofErr w:type="spellStart"/>
      <w:r>
        <w:t>NexaCorp</w:t>
      </w:r>
      <w:proofErr w:type="spellEnd"/>
      <w:r>
        <w:t xml:space="preserve"> Global operates across 42 countries with more than 28,000 employees and reported annual revenues of $4.7 billion for fiscal year 2024.</w:t>
      </w:r>
    </w:p>
    <w:p w:rsidR="003C299D" w:rsidRDefault="00E2045C">
      <w:pPr>
        <w:spacing w:before="80" w:after="100" w:line="276" w:lineRule="auto"/>
        <w:jc w:val="both"/>
      </w:pPr>
      <w:proofErr w:type="spellStart"/>
      <w:r>
        <w:t>Nexa</w:t>
      </w:r>
      <w:r>
        <w:t>Corp</w:t>
      </w:r>
      <w:proofErr w:type="spellEnd"/>
      <w:r>
        <w:t xml:space="preserve"> is publicly traded on the NASDAQ Global Select Market under the ticker symbol NXCP. The company is headquartered in San Francisco, California, with regional hubs in London (EMEA), Singapore (APAC), São Paulo (LATAM), and Dubai (MENA). Each regional hu</w:t>
      </w:r>
      <w:r>
        <w:t>b operates as a semi-autonomous business unit reporting to the Global Executive Leadership Team.</w:t>
      </w:r>
    </w:p>
    <w:p w:rsidR="003C299D" w:rsidRDefault="00E2045C">
      <w:pPr>
        <w:pStyle w:val="Heading3"/>
      </w:pPr>
      <w:r>
        <w:t>1.1.1 Key Corporate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gridCol w:w="3360"/>
      </w:tblGrid>
      <w:tr w:rsidR="003C299D">
        <w:tblPrEx>
          <w:tblCellMar>
            <w:top w:w="0" w:type="dxa"/>
            <w:bottom w:w="0" w:type="dxa"/>
          </w:tblCellMar>
        </w:tblPrEx>
        <w:trPr>
          <w:tblHeader/>
        </w:trPr>
        <w:tc>
          <w:tcPr>
            <w:tcW w:w="12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Year</w:t>
            </w:r>
          </w:p>
        </w:tc>
        <w:tc>
          <w:tcPr>
            <w:tcW w:w="48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Milestone</w:t>
            </w:r>
          </w:p>
        </w:tc>
        <w:tc>
          <w:tcPr>
            <w:tcW w:w="33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Impact</w:t>
            </w:r>
          </w:p>
        </w:tc>
      </w:tr>
      <w:tr w:rsidR="003C299D">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1992</w:t>
            </w:r>
          </w:p>
        </w:tc>
        <w:tc>
          <w:tcPr>
            <w:tcW w:w="4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Founded as </w:t>
            </w:r>
            <w:proofErr w:type="spellStart"/>
            <w:r>
              <w:rPr>
                <w:sz w:val="19"/>
                <w:szCs w:val="19"/>
              </w:rPr>
              <w:t>NexaSystems</w:t>
            </w:r>
            <w:proofErr w:type="spellEnd"/>
            <w:r>
              <w:rPr>
                <w:sz w:val="19"/>
                <w:szCs w:val="19"/>
              </w:rPr>
              <w:t xml:space="preserve"> Inc. in San Francisco</w:t>
            </w:r>
          </w:p>
        </w:tc>
        <w:tc>
          <w:tcPr>
            <w:tcW w:w="3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10 employees, seed capital $2M</w:t>
            </w:r>
          </w:p>
        </w:tc>
      </w:tr>
      <w:tr w:rsidR="003C299D">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1999</w:t>
            </w:r>
          </w:p>
        </w:tc>
        <w:tc>
          <w:tcPr>
            <w:tcW w:w="4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Series C funding, rebranded </w:t>
            </w:r>
            <w:proofErr w:type="spellStart"/>
            <w:r>
              <w:rPr>
                <w:sz w:val="19"/>
                <w:szCs w:val="19"/>
              </w:rPr>
              <w:t>NexaCorp</w:t>
            </w:r>
            <w:proofErr w:type="spellEnd"/>
          </w:p>
        </w:tc>
        <w:tc>
          <w:tcPr>
            <w:tcW w:w="3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Expansion to 12 US states</w:t>
            </w:r>
          </w:p>
        </w:tc>
      </w:tr>
      <w:tr w:rsidR="003C299D">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2002</w:t>
            </w:r>
          </w:p>
        </w:tc>
        <w:tc>
          <w:tcPr>
            <w:tcW w:w="4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NASDAQ IPO at $18/share</w:t>
            </w:r>
          </w:p>
        </w:tc>
        <w:tc>
          <w:tcPr>
            <w:tcW w:w="3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Market cap $340M at listing</w:t>
            </w:r>
          </w:p>
        </w:tc>
      </w:tr>
      <w:tr w:rsidR="003C299D">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2006</w:t>
            </w:r>
          </w:p>
        </w:tc>
        <w:tc>
          <w:tcPr>
            <w:tcW w:w="4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Acquisition of DataStream Analytics (UK)</w:t>
            </w:r>
          </w:p>
        </w:tc>
        <w:tc>
          <w:tcPr>
            <w:tcW w:w="3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Entry into European markets</w:t>
            </w:r>
          </w:p>
        </w:tc>
      </w:tr>
      <w:tr w:rsidR="003C299D">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2010</w:t>
            </w:r>
          </w:p>
        </w:tc>
        <w:tc>
          <w:tcPr>
            <w:tcW w:w="4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Launch of </w:t>
            </w:r>
            <w:proofErr w:type="spellStart"/>
            <w:r>
              <w:rPr>
                <w:sz w:val="19"/>
                <w:szCs w:val="19"/>
              </w:rPr>
              <w:t>NexaCloud</w:t>
            </w:r>
            <w:proofErr w:type="spellEnd"/>
            <w:r>
              <w:rPr>
                <w:sz w:val="19"/>
                <w:szCs w:val="19"/>
              </w:rPr>
              <w:t>™ Platform v1.0</w:t>
            </w:r>
          </w:p>
        </w:tc>
        <w:tc>
          <w:tcPr>
            <w:tcW w:w="3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First SaaS revenue stream</w:t>
            </w:r>
          </w:p>
        </w:tc>
      </w:tr>
      <w:tr w:rsidR="003C299D">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2014</w:t>
            </w:r>
          </w:p>
        </w:tc>
        <w:tc>
          <w:tcPr>
            <w:tcW w:w="4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Singapore APAC HQ established</w:t>
            </w:r>
          </w:p>
        </w:tc>
        <w:tc>
          <w:tcPr>
            <w:tcW w:w="3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Asia-Pacific market penetration</w:t>
            </w:r>
          </w:p>
        </w:tc>
      </w:tr>
      <w:tr w:rsidR="003C299D">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2018</w:t>
            </w:r>
          </w:p>
        </w:tc>
        <w:tc>
          <w:tcPr>
            <w:tcW w:w="4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ISO 27001 &amp; SOC 2 Type II certified</w:t>
            </w:r>
          </w:p>
        </w:tc>
        <w:tc>
          <w:tcPr>
            <w:tcW w:w="3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Enterprise trust &amp; security benchmark</w:t>
            </w:r>
          </w:p>
        </w:tc>
      </w:tr>
      <w:tr w:rsidR="003C299D">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2020</w:t>
            </w:r>
          </w:p>
        </w:tc>
        <w:tc>
          <w:tcPr>
            <w:tcW w:w="4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COVID-19 response: 100% remote capability</w:t>
            </w:r>
          </w:p>
        </w:tc>
        <w:tc>
          <w:tcPr>
            <w:tcW w:w="3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Zero business continuity disruption</w:t>
            </w:r>
          </w:p>
        </w:tc>
      </w:tr>
      <w:tr w:rsidR="003C299D">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2022</w:t>
            </w:r>
          </w:p>
        </w:tc>
        <w:tc>
          <w:tcPr>
            <w:tcW w:w="4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Acquisition of Mumbai-based </w:t>
            </w:r>
            <w:proofErr w:type="spellStart"/>
            <w:r>
              <w:rPr>
                <w:sz w:val="19"/>
                <w:szCs w:val="19"/>
              </w:rPr>
              <w:t>VelocityAI</w:t>
            </w:r>
            <w:proofErr w:type="spellEnd"/>
          </w:p>
        </w:tc>
        <w:tc>
          <w:tcPr>
            <w:tcW w:w="3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AI/ML product line expansion</w:t>
            </w:r>
          </w:p>
        </w:tc>
      </w:tr>
      <w:tr w:rsidR="003C299D">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2024</w:t>
            </w:r>
          </w:p>
        </w:tc>
        <w:tc>
          <w:tcPr>
            <w:tcW w:w="4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Revenue milestone: $4.7B FY2024</w:t>
            </w:r>
          </w:p>
        </w:tc>
        <w:tc>
          <w:tcPr>
            <w:tcW w:w="3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28,000+ global employees</w:t>
            </w:r>
          </w:p>
        </w:tc>
      </w:tr>
    </w:tbl>
    <w:p w:rsidR="003C299D" w:rsidRDefault="003C299D">
      <w:pPr>
        <w:spacing w:before="120" w:after="120"/>
      </w:pPr>
    </w:p>
    <w:p w:rsidR="003C299D" w:rsidRDefault="00E2045C">
      <w:pPr>
        <w:pStyle w:val="Heading2"/>
      </w:pPr>
      <w:r>
        <w:lastRenderedPageBreak/>
        <w:t>1.2 Vision, Mission &amp; Core Values</w:t>
      </w:r>
    </w:p>
    <w:p w:rsidR="003C299D" w:rsidRDefault="00E2045C">
      <w:pPr>
        <w:pStyle w:val="Heading3"/>
      </w:pPr>
      <w:r>
        <w:t>1.2.1 Our Vision</w:t>
      </w:r>
    </w:p>
    <w:p w:rsidR="003C299D" w:rsidRDefault="00E2045C">
      <w:pPr>
        <w:spacing w:before="80" w:after="100" w:line="276" w:lineRule="auto"/>
        <w:jc w:val="both"/>
      </w:pPr>
      <w:r>
        <w:t>To be the most trusted and indispensable technology partner for enterprises navigating the complexities of a hyper-connected, data-driven global economy.</w:t>
      </w:r>
    </w:p>
    <w:p w:rsidR="003C299D" w:rsidRDefault="00E2045C">
      <w:pPr>
        <w:pStyle w:val="Heading3"/>
      </w:pPr>
      <w:r>
        <w:t>1.2.2 Our Mission</w:t>
      </w:r>
    </w:p>
    <w:p w:rsidR="003C299D" w:rsidRDefault="00E2045C">
      <w:pPr>
        <w:spacing w:before="80" w:after="100" w:line="276" w:lineRule="auto"/>
        <w:jc w:val="both"/>
      </w:pPr>
      <w:proofErr w:type="spellStart"/>
      <w:r>
        <w:t>NexaCorp</w:t>
      </w:r>
      <w:proofErr w:type="spellEnd"/>
      <w:r>
        <w:t xml:space="preserve"> exists to empower </w:t>
      </w:r>
      <w:proofErr w:type="spellStart"/>
      <w:r>
        <w:t>organisations</w:t>
      </w:r>
      <w:proofErr w:type="spellEnd"/>
      <w:r>
        <w:t xml:space="preserve"> with intelligent, scalable, and secure tech</w:t>
      </w:r>
      <w:r>
        <w:t>nology solutions that unlock human potential, drive operational excellence, and create sustainable value for all stakeholders — employees, customers, shareholders, and communities alike.</w:t>
      </w:r>
    </w:p>
    <w:p w:rsidR="003C299D" w:rsidRDefault="00E2045C">
      <w:pPr>
        <w:pStyle w:val="Heading3"/>
      </w:pPr>
      <w:r>
        <w:t>1.2.3 Core Values</w:t>
      </w:r>
    </w:p>
    <w:p w:rsidR="003C299D" w:rsidRDefault="00E2045C">
      <w:pPr>
        <w:spacing w:before="80" w:after="100" w:line="276" w:lineRule="auto"/>
        <w:jc w:val="both"/>
      </w:pPr>
      <w:r>
        <w:t xml:space="preserve">Our seven core values are not aspirational posters </w:t>
      </w:r>
      <w:r>
        <w:t xml:space="preserve">on a wall. They are the </w:t>
      </w:r>
      <w:proofErr w:type="spellStart"/>
      <w:r>
        <w:t>behavioural</w:t>
      </w:r>
      <w:proofErr w:type="spellEnd"/>
      <w:r>
        <w:t xml:space="preserve"> standards against which every </w:t>
      </w:r>
      <w:proofErr w:type="spellStart"/>
      <w:r>
        <w:t>NexaCorp</w:t>
      </w:r>
      <w:proofErr w:type="spellEnd"/>
      <w:r>
        <w:t xml:space="preserve"> employee is evaluated, and they form the backbone of every policy in this handbook.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C299D">
        <w:tblPrEx>
          <w:tblCellMar>
            <w:top w:w="0" w:type="dxa"/>
            <w:bottom w:w="0" w:type="dxa"/>
          </w:tblCellMar>
        </w:tblPrEx>
        <w:trPr>
          <w:tblHeader/>
        </w:trPr>
        <w:tc>
          <w:tcPr>
            <w:tcW w:w="24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Value</w:t>
            </w:r>
          </w:p>
        </w:tc>
        <w:tc>
          <w:tcPr>
            <w:tcW w:w="69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What It Means in Practice</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Integrity First</w:t>
            </w:r>
          </w:p>
        </w:tc>
        <w:tc>
          <w:tcPr>
            <w:tcW w:w="6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We act honestly and transparently even when it is difficult. We do not misrepresent data, timelines, or capabilities to clients, colleagues, or regulators.</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Customer Obsession</w:t>
            </w:r>
          </w:p>
        </w:tc>
        <w:tc>
          <w:tcPr>
            <w:tcW w:w="69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Every decision is evaluated through the lens of long-term customer value. Short-term revenue that compromises customer trust is never acceptable.</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Bold Innovation</w:t>
            </w:r>
          </w:p>
        </w:tc>
        <w:tc>
          <w:tcPr>
            <w:tcW w:w="6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We reward calculated risk-taking and intelligent failure. Bureaucracy that impedes experimentation must be challenged through proper channels.</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Inclusive Excellence</w:t>
            </w:r>
          </w:p>
        </w:tc>
        <w:tc>
          <w:tcPr>
            <w:tcW w:w="69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Diversity is not a compliance exercise — it is a competitive advantage. We build teams that reflect the global communities we serve.</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Ownership Mindset</w:t>
            </w:r>
          </w:p>
        </w:tc>
        <w:tc>
          <w:tcPr>
            <w:tcW w:w="6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Every employee takes responsibility for outcomes, not just activities. We do not hide behind process when results fall short.</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Continuous Learning</w:t>
            </w:r>
          </w:p>
        </w:tc>
        <w:tc>
          <w:tcPr>
            <w:tcW w:w="69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The half-life of technical knowledge is shrinking. Investing in personal and team growth is a professional ob</w:t>
            </w:r>
            <w:r>
              <w:rPr>
                <w:sz w:val="19"/>
                <w:szCs w:val="19"/>
              </w:rPr>
              <w:t>ligation, not an option.</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Sustainable Impact</w:t>
            </w:r>
          </w:p>
        </w:tc>
        <w:tc>
          <w:tcPr>
            <w:tcW w:w="6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We measure success not only in revenue and profit, but in carbon footprint, community investment, and the ethical application of technology.</w:t>
            </w:r>
          </w:p>
        </w:tc>
      </w:tr>
    </w:tbl>
    <w:p w:rsidR="003C299D" w:rsidRDefault="003C299D">
      <w:pPr>
        <w:spacing w:before="120" w:after="120"/>
      </w:pPr>
    </w:p>
    <w:p w:rsidR="003C299D" w:rsidRDefault="00E2045C">
      <w:pPr>
        <w:pStyle w:val="Heading2"/>
      </w:pPr>
      <w:r>
        <w:t xml:space="preserve">1.3 </w:t>
      </w:r>
      <w:proofErr w:type="spellStart"/>
      <w:r>
        <w:t>Organisational</w:t>
      </w:r>
      <w:proofErr w:type="spellEnd"/>
      <w:r>
        <w:t xml:space="preserve"> Structure</w:t>
      </w:r>
    </w:p>
    <w:p w:rsidR="003C299D" w:rsidRDefault="00E2045C">
      <w:pPr>
        <w:pStyle w:val="Heading3"/>
      </w:pPr>
      <w:r>
        <w:t>1.3.1 Executive Leadership Team (ELT)</w:t>
      </w:r>
    </w:p>
    <w:p w:rsidR="003C299D" w:rsidRDefault="00E2045C">
      <w:pPr>
        <w:spacing w:before="80" w:after="100" w:line="276" w:lineRule="auto"/>
        <w:jc w:val="both"/>
      </w:pPr>
      <w:r>
        <w:t>The ELT is responsible for setting strategic direction, allocating capital, managing enterprise risk, and ensuring regulatory compliance. The ELT convenes monthly in person and weekly via video conference. All ELT members serve at the pleasure of the Board</w:t>
      </w:r>
      <w:r>
        <w:t xml:space="preserve"> of Directors.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400"/>
        <w:gridCol w:w="3840"/>
      </w:tblGrid>
      <w:tr w:rsidR="003C299D">
        <w:tblPrEx>
          <w:tblCellMar>
            <w:top w:w="0" w:type="dxa"/>
            <w:bottom w:w="0" w:type="dxa"/>
          </w:tblCellMar>
        </w:tblPrEx>
        <w:trPr>
          <w:tblHeader/>
        </w:trPr>
        <w:tc>
          <w:tcPr>
            <w:tcW w:w="31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Title</w:t>
            </w:r>
          </w:p>
        </w:tc>
        <w:tc>
          <w:tcPr>
            <w:tcW w:w="24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Current Incumbent</w:t>
            </w:r>
          </w:p>
        </w:tc>
        <w:tc>
          <w:tcPr>
            <w:tcW w:w="38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Key Responsibilities</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Chief Executive Officer (CEO)</w:t>
            </w:r>
          </w:p>
        </w:tc>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Elaine Hartwell</w:t>
            </w:r>
          </w:p>
        </w:tc>
        <w:tc>
          <w:tcPr>
            <w:tcW w:w="38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Overall corporate strategy, investor relations, public representation</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Chief Financial Officer (CFO)</w:t>
            </w:r>
          </w:p>
        </w:tc>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Rajiv </w:t>
            </w:r>
            <w:proofErr w:type="spellStart"/>
            <w:r>
              <w:rPr>
                <w:sz w:val="19"/>
                <w:szCs w:val="19"/>
              </w:rPr>
              <w:t>Balasubramaniam</w:t>
            </w:r>
            <w:proofErr w:type="spellEnd"/>
          </w:p>
        </w:tc>
        <w:tc>
          <w:tcPr>
            <w:tcW w:w="38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Financial reporting, treasury, M&amp;A, tax strategy</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lastRenderedPageBreak/>
              <w:t>Chief People Officer (CPO)</w:t>
            </w:r>
          </w:p>
        </w:tc>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Sofia Andersen</w:t>
            </w:r>
          </w:p>
        </w:tc>
        <w:tc>
          <w:tcPr>
            <w:tcW w:w="38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HR, talent, culture, D&amp;I, total rewards</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Chief Technology Officer (CTO)</w:t>
            </w:r>
          </w:p>
        </w:tc>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Dr. James </w:t>
            </w:r>
            <w:proofErr w:type="spellStart"/>
            <w:r>
              <w:rPr>
                <w:sz w:val="19"/>
                <w:szCs w:val="19"/>
              </w:rPr>
              <w:t>Osei-Bonsu</w:t>
            </w:r>
            <w:proofErr w:type="spellEnd"/>
          </w:p>
        </w:tc>
        <w:tc>
          <w:tcPr>
            <w:tcW w:w="38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Product engineering, platform architecture, R&amp;D</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Chief Information Security Officer (CISO)</w:t>
            </w:r>
          </w:p>
        </w:tc>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Ling Wei Chen</w:t>
            </w:r>
          </w:p>
        </w:tc>
        <w:tc>
          <w:tcPr>
            <w:tcW w:w="38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Cybersecurity, risk, compliance, data governance</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Chief Legal Officer (CLO) / General Counsel</w:t>
            </w:r>
          </w:p>
        </w:tc>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proofErr w:type="spellStart"/>
            <w:r>
              <w:rPr>
                <w:sz w:val="19"/>
                <w:szCs w:val="19"/>
              </w:rPr>
              <w:t>Priya</w:t>
            </w:r>
            <w:proofErr w:type="spellEnd"/>
            <w:r>
              <w:rPr>
                <w:sz w:val="19"/>
                <w:szCs w:val="19"/>
              </w:rPr>
              <w:t xml:space="preserve"> Mehta</w:t>
            </w:r>
          </w:p>
        </w:tc>
        <w:tc>
          <w:tcPr>
            <w:tcW w:w="38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Legal, regulatory, IP, contracts, ethics</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Chief Operating Officer (COO)</w:t>
            </w:r>
          </w:p>
        </w:tc>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Lars </w:t>
            </w:r>
            <w:proofErr w:type="spellStart"/>
            <w:r>
              <w:rPr>
                <w:sz w:val="19"/>
                <w:szCs w:val="19"/>
              </w:rPr>
              <w:t>Bergström</w:t>
            </w:r>
            <w:proofErr w:type="spellEnd"/>
          </w:p>
        </w:tc>
        <w:tc>
          <w:tcPr>
            <w:tcW w:w="38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Global operations, supply chain, shared services</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Chief Revenue Officer (CRO)</w:t>
            </w:r>
          </w:p>
        </w:tc>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Amara </w:t>
            </w:r>
            <w:proofErr w:type="spellStart"/>
            <w:r>
              <w:rPr>
                <w:sz w:val="19"/>
                <w:szCs w:val="19"/>
              </w:rPr>
              <w:t>Nwosu</w:t>
            </w:r>
            <w:proofErr w:type="spellEnd"/>
          </w:p>
        </w:tc>
        <w:tc>
          <w:tcPr>
            <w:tcW w:w="38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Sales, marketing, partnerships, customer success</w:t>
            </w:r>
          </w:p>
        </w:tc>
      </w:tr>
    </w:tbl>
    <w:p w:rsidR="003C299D" w:rsidRDefault="003C299D">
      <w:pPr>
        <w:spacing w:before="120" w:after="120"/>
      </w:pPr>
    </w:p>
    <w:p w:rsidR="003C299D" w:rsidRDefault="00E2045C">
      <w:pPr>
        <w:pStyle w:val="Heading3"/>
      </w:pPr>
      <w:r>
        <w:t>1.3.2 Governance Committees</w:t>
      </w:r>
    </w:p>
    <w:p w:rsidR="003C299D" w:rsidRDefault="00E2045C">
      <w:pPr>
        <w:spacing w:before="80" w:after="100" w:line="276" w:lineRule="auto"/>
        <w:jc w:val="both"/>
      </w:pPr>
      <w:r>
        <w:t>In addition to the ELT, the following standing committees provide oversight and governance across key domains:</w:t>
      </w:r>
    </w:p>
    <w:p w:rsidR="003C299D" w:rsidRDefault="00E2045C">
      <w:pPr>
        <w:pStyle w:val="ListParagraph"/>
        <w:numPr>
          <w:ilvl w:val="0"/>
          <w:numId w:val="2"/>
        </w:numPr>
        <w:spacing w:before="60" w:after="60"/>
      </w:pPr>
      <w:r>
        <w:t>Audit &amp; Risk Committee (ARC): Reports to the Board; oversees financial controls, internal audit, and enterprise risk management.</w:t>
      </w:r>
    </w:p>
    <w:p w:rsidR="003C299D" w:rsidRDefault="00E2045C">
      <w:pPr>
        <w:pStyle w:val="ListParagraph"/>
        <w:numPr>
          <w:ilvl w:val="0"/>
          <w:numId w:val="2"/>
        </w:numPr>
        <w:spacing w:before="60" w:after="60"/>
      </w:pPr>
      <w:r>
        <w:t>Ethics &amp; Complia</w:t>
      </w:r>
      <w:r>
        <w:t>nce Committee (ECC): Chaired by the CLO; oversees Code of Conduct enforcement and regulatory compliance.</w:t>
      </w:r>
    </w:p>
    <w:p w:rsidR="003C299D" w:rsidRDefault="00E2045C">
      <w:pPr>
        <w:pStyle w:val="ListParagraph"/>
        <w:numPr>
          <w:ilvl w:val="0"/>
          <w:numId w:val="2"/>
        </w:numPr>
        <w:spacing w:before="60" w:after="60"/>
      </w:pPr>
      <w:r>
        <w:t>Data Governance Council (DGC): Chaired by the CISO; sets data classification, retention, and privacy standards.</w:t>
      </w:r>
    </w:p>
    <w:p w:rsidR="003C299D" w:rsidRDefault="00E2045C">
      <w:pPr>
        <w:pStyle w:val="ListParagraph"/>
        <w:numPr>
          <w:ilvl w:val="0"/>
          <w:numId w:val="2"/>
        </w:numPr>
        <w:spacing w:before="60" w:after="60"/>
      </w:pPr>
      <w:r>
        <w:t>Diversity, Equity &amp; Inclusion Council (</w:t>
      </w:r>
      <w:r>
        <w:t xml:space="preserve">DEIC): Chaired by the CPO; monitors DEI metrics and </w:t>
      </w:r>
      <w:proofErr w:type="spellStart"/>
      <w:r>
        <w:t>programme</w:t>
      </w:r>
      <w:proofErr w:type="spellEnd"/>
      <w:r>
        <w:t xml:space="preserve"> effectiveness.</w:t>
      </w:r>
    </w:p>
    <w:p w:rsidR="003C299D" w:rsidRDefault="00E2045C">
      <w:pPr>
        <w:pStyle w:val="ListParagraph"/>
        <w:numPr>
          <w:ilvl w:val="0"/>
          <w:numId w:val="2"/>
        </w:numPr>
        <w:spacing w:before="60" w:after="60"/>
      </w:pPr>
      <w:r>
        <w:t>Technology Architecture Review Board (TARB): Chaired by the CTO; approves all major platform and infrastructure decisions.</w:t>
      </w:r>
    </w:p>
    <w:p w:rsidR="003C299D" w:rsidRDefault="00E2045C">
      <w:pPr>
        <w:pStyle w:val="ListParagraph"/>
        <w:numPr>
          <w:ilvl w:val="0"/>
          <w:numId w:val="2"/>
        </w:numPr>
        <w:spacing w:before="60" w:after="60"/>
      </w:pPr>
      <w:r>
        <w:t>Investment &amp; M&amp;A Committee: Chaired by the CEO; evaluate</w:t>
      </w:r>
      <w:r>
        <w:t>s acquisitions, divestitures, and major capital allocations.</w:t>
      </w:r>
    </w:p>
    <w:p w:rsidR="003C299D" w:rsidRDefault="00E2045C">
      <w:pPr>
        <w:pStyle w:val="Heading2"/>
      </w:pPr>
      <w:r>
        <w:t>1.4 Business Lines &amp; Global Presence</w:t>
      </w:r>
    </w:p>
    <w:p w:rsidR="003C299D" w:rsidRDefault="00E2045C">
      <w:pPr>
        <w:pStyle w:val="Heading3"/>
      </w:pPr>
      <w:r>
        <w:t>1.4.1 Core Business Units</w:t>
      </w:r>
    </w:p>
    <w:p w:rsidR="003C299D" w:rsidRDefault="00E2045C">
      <w:pPr>
        <w:spacing w:before="80" w:after="100" w:line="276" w:lineRule="auto"/>
        <w:jc w:val="both"/>
      </w:pPr>
      <w:proofErr w:type="spellStart"/>
      <w:r>
        <w:t>NexaCorp</w:t>
      </w:r>
      <w:proofErr w:type="spellEnd"/>
      <w:r>
        <w:t xml:space="preserve"> operates through four distinct business units (BUs), each with its own P&amp;L responsibility and leadership team:</w:t>
      </w:r>
    </w:p>
    <w:p w:rsidR="003C299D" w:rsidRDefault="00E2045C">
      <w:pPr>
        <w:pStyle w:val="ListParagraph"/>
        <w:numPr>
          <w:ilvl w:val="0"/>
          <w:numId w:val="3"/>
        </w:numPr>
        <w:spacing w:before="60" w:after="60"/>
      </w:pPr>
      <w:proofErr w:type="spellStart"/>
      <w:r>
        <w:t>NexaCloud</w:t>
      </w:r>
      <w:proofErr w:type="spellEnd"/>
      <w:r>
        <w:t>™ Platform — Enterprise SaaS products for financial services, healthcare, and logistics verticals. Revenue: $1.9B (FY2024).</w:t>
      </w:r>
    </w:p>
    <w:p w:rsidR="003C299D" w:rsidRDefault="00E2045C">
      <w:pPr>
        <w:pStyle w:val="ListParagraph"/>
        <w:numPr>
          <w:ilvl w:val="0"/>
          <w:numId w:val="3"/>
        </w:numPr>
        <w:spacing w:before="60" w:after="60"/>
      </w:pPr>
      <w:proofErr w:type="spellStart"/>
      <w:r>
        <w:t>NexaData</w:t>
      </w:r>
      <w:proofErr w:type="spellEnd"/>
      <w:r>
        <w:t>™ Analytics — Business intelligence, data warehousing, and AI/ML professional services. Revenue: $1.2B (FY2024).</w:t>
      </w:r>
    </w:p>
    <w:p w:rsidR="003C299D" w:rsidRDefault="00E2045C">
      <w:pPr>
        <w:pStyle w:val="ListParagraph"/>
        <w:numPr>
          <w:ilvl w:val="0"/>
          <w:numId w:val="3"/>
        </w:numPr>
        <w:spacing w:before="60" w:after="60"/>
      </w:pPr>
      <w:proofErr w:type="spellStart"/>
      <w:r>
        <w:t>Ne</w:t>
      </w:r>
      <w:r>
        <w:t>xaSecure</w:t>
      </w:r>
      <w:proofErr w:type="spellEnd"/>
      <w:r>
        <w:t>™ — Managed security operations, penetration testing, and GRC consulting. Revenue: $880M (FY2024).</w:t>
      </w:r>
    </w:p>
    <w:p w:rsidR="003C299D" w:rsidRDefault="00E2045C">
      <w:pPr>
        <w:pStyle w:val="ListParagraph"/>
        <w:numPr>
          <w:ilvl w:val="0"/>
          <w:numId w:val="3"/>
        </w:numPr>
        <w:spacing w:before="60" w:after="60"/>
      </w:pPr>
      <w:proofErr w:type="spellStart"/>
      <w:r>
        <w:t>NexaConsult</w:t>
      </w:r>
      <w:proofErr w:type="spellEnd"/>
      <w:r>
        <w:t xml:space="preserve">™ — Digital transformation advisory and </w:t>
      </w:r>
      <w:proofErr w:type="spellStart"/>
      <w:r>
        <w:t>programme</w:t>
      </w:r>
      <w:proofErr w:type="spellEnd"/>
      <w:r>
        <w:t xml:space="preserve"> management. Revenue: $720M (FY2024).</w:t>
      </w:r>
    </w:p>
    <w:p w:rsidR="003C299D" w:rsidRDefault="00E2045C">
      <w:pPr>
        <w:pStyle w:val="Heading3"/>
      </w:pPr>
      <w:r>
        <w:lastRenderedPageBreak/>
        <w:t>1.4.2 Geographic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1560"/>
        <w:gridCol w:w="3000"/>
      </w:tblGrid>
      <w:tr w:rsidR="003C299D">
        <w:tblPrEx>
          <w:tblCellMar>
            <w:top w:w="0" w:type="dxa"/>
            <w:bottom w:w="0" w:type="dxa"/>
          </w:tblCellMar>
        </w:tblPrEx>
        <w:trPr>
          <w:tblHeader/>
        </w:trPr>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Region</w:t>
            </w:r>
          </w:p>
        </w:tc>
        <w:tc>
          <w:tcPr>
            <w:tcW w:w="30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Countries</w:t>
            </w:r>
          </w:p>
        </w:tc>
        <w:tc>
          <w:tcPr>
            <w:tcW w:w="15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Head</w:t>
            </w:r>
            <w:r>
              <w:rPr>
                <w:b/>
                <w:bCs/>
                <w:color w:val="FFFFFF"/>
                <w:sz w:val="20"/>
                <w:szCs w:val="20"/>
              </w:rPr>
              <w:t>count</w:t>
            </w:r>
          </w:p>
        </w:tc>
        <w:tc>
          <w:tcPr>
            <w:tcW w:w="30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Key Offices</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Americas (HQ)</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USA, Canada, Brazil, Mexico, Colombia</w:t>
            </w:r>
          </w:p>
        </w:tc>
        <w:tc>
          <w:tcPr>
            <w:tcW w:w="1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12,400</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San Francisco, New York, Toronto, São Paulo</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EMEA</w:t>
            </w:r>
          </w:p>
        </w:tc>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UK, Germany, France, UAE, KSA, South Africa, 8 others</w:t>
            </w:r>
          </w:p>
        </w:tc>
        <w:tc>
          <w:tcPr>
            <w:tcW w:w="15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8,200</w:t>
            </w:r>
          </w:p>
        </w:tc>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London, Frankfurt, Paris, Dubai</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APAC</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Singapore, India, Japan, Australia, South Korea, 5 others</w:t>
            </w:r>
          </w:p>
        </w:tc>
        <w:tc>
          <w:tcPr>
            <w:tcW w:w="1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6,100</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Singapore, Mumbai, Tokyo, Sydney</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MENA</w:t>
            </w:r>
          </w:p>
        </w:tc>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UAE, KSA, Egypt, Qatar</w:t>
            </w:r>
          </w:p>
        </w:tc>
        <w:tc>
          <w:tcPr>
            <w:tcW w:w="15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1,300</w:t>
            </w:r>
          </w:p>
        </w:tc>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Dubai (shared with EMEA hub)</w:t>
            </w:r>
          </w:p>
        </w:tc>
      </w:tr>
    </w:tbl>
    <w:p w:rsidR="003C299D" w:rsidRDefault="003C299D">
      <w:pPr>
        <w:spacing w:before="100" w:after="100"/>
      </w:pPr>
    </w:p>
    <w:p w:rsidR="003C299D" w:rsidRDefault="00E2045C">
      <w:pPr>
        <w:pBdr>
          <w:left w:val="single" w:sz="12" w:space="8" w:color="2E75B6"/>
        </w:pBdr>
        <w:spacing w:before="120" w:after="120"/>
        <w:ind w:left="360" w:right="360"/>
      </w:pPr>
      <w:r>
        <w:rPr>
          <w:b/>
          <w:bCs/>
          <w:color w:val="2E75B6"/>
          <w:sz w:val="20"/>
          <w:szCs w:val="20"/>
        </w:rPr>
        <w:t xml:space="preserve">NOTE: </w:t>
      </w:r>
      <w:r>
        <w:rPr>
          <w:i/>
          <w:iCs/>
          <w:sz w:val="20"/>
          <w:szCs w:val="20"/>
        </w:rPr>
        <w:t>Headcount figures are as of Q4 2024 and include all employment types (full-time, part-time, fixed-term contract). Contractor and vendor staff are excluded.</w:t>
      </w:r>
    </w:p>
    <w:p w:rsidR="003C299D" w:rsidRDefault="00E2045C">
      <w:r>
        <w:br w:type="page"/>
      </w:r>
    </w:p>
    <w:p w:rsidR="003C299D" w:rsidRDefault="00E2045C">
      <w:pPr>
        <w:shd w:val="clear" w:color="auto" w:fill="1B3A6B"/>
        <w:spacing w:before="500" w:after="300"/>
        <w:jc w:val="center"/>
      </w:pPr>
      <w:r>
        <w:rPr>
          <w:b/>
          <w:bCs/>
          <w:color w:val="FFFFFF"/>
          <w:sz w:val="32"/>
          <w:szCs w:val="32"/>
        </w:rPr>
        <w:lastRenderedPageBreak/>
        <w:t xml:space="preserve">  PART II — CODE OF BUSINESS CONDUCT &amp; ETHICS  </w:t>
      </w:r>
    </w:p>
    <w:p w:rsidR="003C299D" w:rsidRDefault="003C299D">
      <w:pPr>
        <w:spacing w:before="200" w:after="200"/>
      </w:pPr>
    </w:p>
    <w:p w:rsidR="003C299D" w:rsidRDefault="00E2045C">
      <w:pPr>
        <w:pStyle w:val="Heading1"/>
        <w:pBdr>
          <w:bottom w:val="single" w:sz="8" w:space="4" w:color="2E75B6"/>
        </w:pBdr>
      </w:pPr>
      <w:r>
        <w:t>2. Code of Business Conduct &amp; Ethics</w:t>
      </w:r>
    </w:p>
    <w:p w:rsidR="003C299D" w:rsidRDefault="00E2045C">
      <w:pPr>
        <w:spacing w:before="80" w:after="100" w:line="276" w:lineRule="auto"/>
        <w:jc w:val="both"/>
      </w:pPr>
      <w:proofErr w:type="spellStart"/>
      <w:r>
        <w:t>NexaCorp's</w:t>
      </w:r>
      <w:proofErr w:type="spellEnd"/>
      <w:r>
        <w:t xml:space="preserve"> reputation for integrity is one of its most valuable and irreplaceable assets. Every employee, contractor, board member, and agent acting on </w:t>
      </w:r>
      <w:proofErr w:type="spellStart"/>
      <w:r>
        <w:t>NexaCorp's</w:t>
      </w:r>
      <w:proofErr w:type="spellEnd"/>
      <w:r>
        <w:t xml:space="preserve"> behalf is expected to uphold the highest ethical standards in every interaction. This Code of</w:t>
      </w:r>
      <w:r>
        <w:t xml:space="preserve"> Business Conduct &amp; Ethics (the 'Code') establishes minimum standards. Where local law, professional ethics rules, or client contractual requirements impose a higher standard, that higher standard shall apply.</w:t>
      </w:r>
    </w:p>
    <w:p w:rsidR="003C299D" w:rsidRDefault="00E2045C">
      <w:pPr>
        <w:pBdr>
          <w:left w:val="single" w:sz="12" w:space="8" w:color="C00000"/>
        </w:pBdr>
        <w:spacing w:before="120" w:after="120"/>
        <w:ind w:left="360" w:right="360"/>
      </w:pPr>
      <w:r>
        <w:rPr>
          <w:b/>
          <w:bCs/>
          <w:color w:val="C00000"/>
          <w:sz w:val="20"/>
          <w:szCs w:val="20"/>
        </w:rPr>
        <w:t xml:space="preserve">IMPORTANT: </w:t>
      </w:r>
      <w:r>
        <w:rPr>
          <w:i/>
          <w:iCs/>
          <w:sz w:val="20"/>
          <w:szCs w:val="20"/>
        </w:rPr>
        <w:t xml:space="preserve">The Code applies to </w:t>
      </w:r>
      <w:proofErr w:type="spellStart"/>
      <w:r>
        <w:rPr>
          <w:i/>
          <w:iCs/>
          <w:sz w:val="20"/>
          <w:szCs w:val="20"/>
        </w:rPr>
        <w:t>NexaCorp</w:t>
      </w:r>
      <w:proofErr w:type="spellEnd"/>
      <w:r>
        <w:rPr>
          <w:i/>
          <w:iCs/>
          <w:sz w:val="20"/>
          <w:szCs w:val="20"/>
        </w:rPr>
        <w:t xml:space="preserve"> Global</w:t>
      </w:r>
      <w:r>
        <w:rPr>
          <w:i/>
          <w:iCs/>
          <w:sz w:val="20"/>
          <w:szCs w:val="20"/>
        </w:rPr>
        <w:t xml:space="preserve">, Inc. and all its wholly-owned subsidiaries, joint ventures where </w:t>
      </w:r>
      <w:proofErr w:type="spellStart"/>
      <w:r>
        <w:rPr>
          <w:i/>
          <w:iCs/>
          <w:sz w:val="20"/>
          <w:szCs w:val="20"/>
        </w:rPr>
        <w:t>NexaCorp</w:t>
      </w:r>
      <w:proofErr w:type="spellEnd"/>
      <w:r>
        <w:rPr>
          <w:i/>
          <w:iCs/>
          <w:sz w:val="20"/>
          <w:szCs w:val="20"/>
        </w:rPr>
        <w:t xml:space="preserve"> holds a controlling interest, and any individual or entity acting in an </w:t>
      </w:r>
      <w:proofErr w:type="spellStart"/>
      <w:r>
        <w:rPr>
          <w:i/>
          <w:iCs/>
          <w:sz w:val="20"/>
          <w:szCs w:val="20"/>
        </w:rPr>
        <w:t>authorised</w:t>
      </w:r>
      <w:proofErr w:type="spellEnd"/>
      <w:r>
        <w:rPr>
          <w:i/>
          <w:iCs/>
          <w:sz w:val="20"/>
          <w:szCs w:val="20"/>
        </w:rPr>
        <w:t xml:space="preserve"> capacity on </w:t>
      </w:r>
      <w:proofErr w:type="spellStart"/>
      <w:r>
        <w:rPr>
          <w:i/>
          <w:iCs/>
          <w:sz w:val="20"/>
          <w:szCs w:val="20"/>
        </w:rPr>
        <w:t>NexaCorp's</w:t>
      </w:r>
      <w:proofErr w:type="spellEnd"/>
      <w:r>
        <w:rPr>
          <w:i/>
          <w:iCs/>
          <w:sz w:val="20"/>
          <w:szCs w:val="20"/>
        </w:rPr>
        <w:t xml:space="preserve"> behalf.</w:t>
      </w:r>
    </w:p>
    <w:p w:rsidR="003C299D" w:rsidRDefault="00E2045C">
      <w:pPr>
        <w:pStyle w:val="Heading2"/>
      </w:pPr>
      <w:r>
        <w:t>2.1 Ethical Standards &amp; Expectations</w:t>
      </w:r>
    </w:p>
    <w:p w:rsidR="003C299D" w:rsidRDefault="00E2045C">
      <w:pPr>
        <w:pStyle w:val="Heading3"/>
      </w:pPr>
      <w:r>
        <w:t>2.1.1 General Principles</w:t>
      </w:r>
    </w:p>
    <w:p w:rsidR="003C299D" w:rsidRDefault="00E2045C">
      <w:pPr>
        <w:spacing w:before="80" w:after="100" w:line="276" w:lineRule="auto"/>
        <w:jc w:val="both"/>
      </w:pPr>
      <w:r>
        <w:t xml:space="preserve">All </w:t>
      </w:r>
      <w:proofErr w:type="spellStart"/>
      <w:r>
        <w:t>NexaCorp</w:t>
      </w:r>
      <w:proofErr w:type="spellEnd"/>
      <w:r>
        <w:t xml:space="preserve"> personnel are expected to:</w:t>
      </w:r>
    </w:p>
    <w:p w:rsidR="003C299D" w:rsidRDefault="00E2045C">
      <w:pPr>
        <w:pStyle w:val="ListParagraph"/>
        <w:numPr>
          <w:ilvl w:val="0"/>
          <w:numId w:val="2"/>
        </w:numPr>
        <w:spacing w:before="60" w:after="60"/>
      </w:pPr>
      <w:r>
        <w:t>Act with honesty, transparency, and fairness in all professional dealings, including interactions with clients, vendors, regulators, and colleagues.</w:t>
      </w:r>
    </w:p>
    <w:p w:rsidR="003C299D" w:rsidRDefault="00E2045C">
      <w:pPr>
        <w:pStyle w:val="ListParagraph"/>
        <w:numPr>
          <w:ilvl w:val="0"/>
          <w:numId w:val="2"/>
        </w:numPr>
        <w:spacing w:before="60" w:after="60"/>
      </w:pPr>
      <w:r>
        <w:t xml:space="preserve">Comply fully with all applicable laws, regulations, and </w:t>
      </w:r>
      <w:proofErr w:type="spellStart"/>
      <w:r>
        <w:t>NexaCorp</w:t>
      </w:r>
      <w:proofErr w:type="spellEnd"/>
      <w:r>
        <w:t xml:space="preserve"> po</w:t>
      </w:r>
      <w:r>
        <w:t>licies in every jurisdiction where the company operates.</w:t>
      </w:r>
    </w:p>
    <w:p w:rsidR="003C299D" w:rsidRDefault="00E2045C">
      <w:pPr>
        <w:pStyle w:val="ListParagraph"/>
        <w:numPr>
          <w:ilvl w:val="0"/>
          <w:numId w:val="2"/>
        </w:numPr>
        <w:spacing w:before="60" w:after="60"/>
      </w:pPr>
      <w:r>
        <w:t>Promptly report actual or suspected violations of this Code through the designated reporting channels (see Section 2.5).</w:t>
      </w:r>
    </w:p>
    <w:p w:rsidR="003C299D" w:rsidRDefault="00E2045C">
      <w:pPr>
        <w:pStyle w:val="ListParagraph"/>
        <w:numPr>
          <w:ilvl w:val="0"/>
          <w:numId w:val="2"/>
        </w:numPr>
        <w:spacing w:before="60" w:after="60"/>
      </w:pPr>
      <w:r>
        <w:t xml:space="preserve">Exercise sound judgment and seek guidance when uncertain about the ethical or </w:t>
      </w:r>
      <w:r>
        <w:t>legal implications of a business decision.</w:t>
      </w:r>
    </w:p>
    <w:p w:rsidR="003C299D" w:rsidRDefault="00E2045C">
      <w:pPr>
        <w:pStyle w:val="ListParagraph"/>
        <w:numPr>
          <w:ilvl w:val="0"/>
          <w:numId w:val="2"/>
        </w:numPr>
        <w:spacing w:before="60" w:after="60"/>
      </w:pPr>
      <w:r>
        <w:t>Avoid actions that could create even the appearance of impropriety, regardless of intent.</w:t>
      </w:r>
    </w:p>
    <w:p w:rsidR="003C299D" w:rsidRDefault="00E2045C">
      <w:pPr>
        <w:pStyle w:val="ListParagraph"/>
        <w:numPr>
          <w:ilvl w:val="0"/>
          <w:numId w:val="2"/>
        </w:numPr>
        <w:spacing w:before="60" w:after="60"/>
      </w:pPr>
      <w:r>
        <w:t xml:space="preserve">Protect confidential information, trade secrets, and intellectual property belonging to </w:t>
      </w:r>
      <w:proofErr w:type="spellStart"/>
      <w:r>
        <w:t>NexaCorp</w:t>
      </w:r>
      <w:proofErr w:type="spellEnd"/>
      <w:r>
        <w:t>, its clients, partners, an</w:t>
      </w:r>
      <w:r>
        <w:t>d employees.</w:t>
      </w:r>
    </w:p>
    <w:p w:rsidR="003C299D" w:rsidRDefault="00E2045C">
      <w:pPr>
        <w:pStyle w:val="Heading3"/>
      </w:pPr>
      <w:r>
        <w:t>2.1.2 Personal Conduct Standards</w:t>
      </w:r>
    </w:p>
    <w:p w:rsidR="003C299D" w:rsidRDefault="00E2045C">
      <w:pPr>
        <w:spacing w:before="80" w:after="100" w:line="276" w:lineRule="auto"/>
        <w:jc w:val="both"/>
      </w:pPr>
      <w:r>
        <w:t xml:space="preserve">Professional conduct is expected both within </w:t>
      </w:r>
      <w:proofErr w:type="spellStart"/>
      <w:r>
        <w:t>NexaCorp</w:t>
      </w:r>
      <w:proofErr w:type="spellEnd"/>
      <w:r>
        <w:t xml:space="preserve"> premises and in any external context where an employee's actions could reasonably be associated with or reflect upon the company. This includes but is not l</w:t>
      </w:r>
      <w:r>
        <w:t>imited to: client sites, industry conferences, business travel, company-sponsored social events, and public-facing social media activity.</w:t>
      </w:r>
    </w:p>
    <w:p w:rsidR="003C299D" w:rsidRDefault="00E2045C">
      <w:pPr>
        <w:spacing w:before="80" w:after="100" w:line="276" w:lineRule="auto"/>
        <w:jc w:val="both"/>
      </w:pPr>
      <w:r>
        <w:t xml:space="preserve">Employees must not engage in any conduct that undermines team cohesion, destroys client confidence, or brings </w:t>
      </w:r>
      <w:proofErr w:type="spellStart"/>
      <w:r>
        <w:t>NexaCorp</w:t>
      </w:r>
      <w:proofErr w:type="spellEnd"/>
      <w:r>
        <w:t xml:space="preserve"> into disrepute. </w:t>
      </w:r>
      <w:proofErr w:type="spellStart"/>
      <w:r>
        <w:t>Behaviour</w:t>
      </w:r>
      <w:proofErr w:type="spellEnd"/>
      <w:r>
        <w:t xml:space="preserve"> that is lawful but inconsistent with </w:t>
      </w:r>
      <w:proofErr w:type="spellStart"/>
      <w:r>
        <w:t>NexaCorp's</w:t>
      </w:r>
      <w:proofErr w:type="spellEnd"/>
      <w:r>
        <w:t xml:space="preserve"> values may still result in disciplinary action if it materially affects the company's reputation or business relationships.</w:t>
      </w:r>
    </w:p>
    <w:p w:rsidR="003C299D" w:rsidRDefault="00E2045C">
      <w:pPr>
        <w:pStyle w:val="Heading2"/>
      </w:pPr>
      <w:r>
        <w:t>2.2 Conflicts of Interest</w:t>
      </w:r>
    </w:p>
    <w:p w:rsidR="003C299D" w:rsidRDefault="00E2045C">
      <w:pPr>
        <w:pStyle w:val="Heading3"/>
      </w:pPr>
      <w:r>
        <w:t>2.2.1 Definition</w:t>
      </w:r>
    </w:p>
    <w:p w:rsidR="003C299D" w:rsidRDefault="00E2045C">
      <w:pPr>
        <w:spacing w:before="80" w:after="100" w:line="276" w:lineRule="auto"/>
        <w:jc w:val="both"/>
      </w:pPr>
      <w:r>
        <w:lastRenderedPageBreak/>
        <w:t xml:space="preserve">A conflict of </w:t>
      </w:r>
      <w:r>
        <w:t xml:space="preserve">interest arises when an employee's personal interests, financial interests, or outside relationships interfere — or could reasonably appear to interfere — with their ability to act in the best interests of </w:t>
      </w:r>
      <w:proofErr w:type="spellStart"/>
      <w:r>
        <w:t>NexaCorp</w:t>
      </w:r>
      <w:proofErr w:type="spellEnd"/>
      <w:r>
        <w:t xml:space="preserve"> and its clients. Conflicts of interest ar</w:t>
      </w:r>
      <w:r>
        <w:t>e not automatically prohibited, but they must be promptly disclosed and managed in accordance with this policy.</w:t>
      </w:r>
    </w:p>
    <w:p w:rsidR="003C299D" w:rsidRDefault="00E2045C">
      <w:pPr>
        <w:pStyle w:val="Heading3"/>
      </w:pPr>
      <w:r>
        <w:t>2.2.2 Common Conflict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2040"/>
        <w:gridCol w:w="3360"/>
      </w:tblGrid>
      <w:tr w:rsidR="003C299D">
        <w:tblPrEx>
          <w:tblCellMar>
            <w:top w:w="0" w:type="dxa"/>
            <w:bottom w:w="0" w:type="dxa"/>
          </w:tblCellMar>
        </w:tblPrEx>
        <w:trPr>
          <w:tblHeader/>
        </w:trPr>
        <w:tc>
          <w:tcPr>
            <w:tcW w:w="39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Scenario</w:t>
            </w:r>
          </w:p>
        </w:tc>
        <w:tc>
          <w:tcPr>
            <w:tcW w:w="20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Disclosure Required?</w:t>
            </w:r>
          </w:p>
        </w:tc>
        <w:tc>
          <w:tcPr>
            <w:tcW w:w="33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Approval Required?</w:t>
            </w:r>
          </w:p>
        </w:tc>
      </w:tr>
      <w:tr w:rsidR="003C299D">
        <w:tblPrEx>
          <w:tblCellMar>
            <w:top w:w="0" w:type="dxa"/>
            <w:bottom w:w="0" w:type="dxa"/>
          </w:tblCellMar>
        </w:tblPrEx>
        <w:tc>
          <w:tcPr>
            <w:tcW w:w="3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Owning &gt;1% equity in a </w:t>
            </w:r>
            <w:proofErr w:type="spellStart"/>
            <w:r>
              <w:rPr>
                <w:sz w:val="19"/>
                <w:szCs w:val="19"/>
              </w:rPr>
              <w:t>NexaCorp</w:t>
            </w:r>
            <w:proofErr w:type="spellEnd"/>
            <w:r>
              <w:rPr>
                <w:sz w:val="19"/>
                <w:szCs w:val="19"/>
              </w:rPr>
              <w:t xml:space="preserve"> competitor</w:t>
            </w:r>
          </w:p>
        </w:tc>
        <w:tc>
          <w:tcPr>
            <w:tcW w:w="20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Yes — Immediate</w:t>
            </w:r>
          </w:p>
        </w:tc>
        <w:tc>
          <w:tcPr>
            <w:tcW w:w="3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Yes — CLO + CPO</w:t>
            </w:r>
          </w:p>
        </w:tc>
      </w:tr>
      <w:tr w:rsidR="003C299D">
        <w:tblPrEx>
          <w:tblCellMar>
            <w:top w:w="0" w:type="dxa"/>
            <w:bottom w:w="0" w:type="dxa"/>
          </w:tblCellMar>
        </w:tblPrEx>
        <w:tc>
          <w:tcPr>
            <w:tcW w:w="39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Spouse or domestic partner employed by a key vendor</w:t>
            </w:r>
          </w:p>
        </w:tc>
        <w:tc>
          <w:tcPr>
            <w:tcW w:w="20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 — Within 30 days</w:t>
            </w:r>
          </w:p>
        </w:tc>
        <w:tc>
          <w:tcPr>
            <w:tcW w:w="3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 — Direct Manager + HR</w:t>
            </w:r>
          </w:p>
        </w:tc>
      </w:tr>
      <w:tr w:rsidR="003C299D">
        <w:tblPrEx>
          <w:tblCellMar>
            <w:top w:w="0" w:type="dxa"/>
            <w:bottom w:w="0" w:type="dxa"/>
          </w:tblCellMar>
        </w:tblPrEx>
        <w:tc>
          <w:tcPr>
            <w:tcW w:w="3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Serving on a non-profit board</w:t>
            </w:r>
          </w:p>
        </w:tc>
        <w:tc>
          <w:tcPr>
            <w:tcW w:w="20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Yes — Prior to acceptance</w:t>
            </w:r>
          </w:p>
        </w:tc>
        <w:tc>
          <w:tcPr>
            <w:tcW w:w="3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No — Notification sufficient</w:t>
            </w:r>
          </w:p>
        </w:tc>
      </w:tr>
      <w:tr w:rsidR="003C299D">
        <w:tblPrEx>
          <w:tblCellMar>
            <w:top w:w="0" w:type="dxa"/>
            <w:bottom w:w="0" w:type="dxa"/>
          </w:tblCellMar>
        </w:tblPrEx>
        <w:tc>
          <w:tcPr>
            <w:tcW w:w="39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Serving on a for-profit board</w:t>
            </w:r>
          </w:p>
        </w:tc>
        <w:tc>
          <w:tcPr>
            <w:tcW w:w="20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 — Prior to acceptance</w:t>
            </w:r>
          </w:p>
        </w:tc>
        <w:tc>
          <w:tcPr>
            <w:tcW w:w="3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 — CEO + CLO</w:t>
            </w:r>
          </w:p>
        </w:tc>
      </w:tr>
      <w:tr w:rsidR="003C299D">
        <w:tblPrEx>
          <w:tblCellMar>
            <w:top w:w="0" w:type="dxa"/>
            <w:bottom w:w="0" w:type="dxa"/>
          </w:tblCellMar>
        </w:tblPrEx>
        <w:tc>
          <w:tcPr>
            <w:tcW w:w="3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Referring a family member for a </w:t>
            </w:r>
            <w:proofErr w:type="spellStart"/>
            <w:r>
              <w:rPr>
                <w:sz w:val="19"/>
                <w:szCs w:val="19"/>
              </w:rPr>
              <w:t>NexaCorp</w:t>
            </w:r>
            <w:proofErr w:type="spellEnd"/>
            <w:r>
              <w:rPr>
                <w:sz w:val="19"/>
                <w:szCs w:val="19"/>
              </w:rPr>
              <w:t xml:space="preserve"> position</w:t>
            </w:r>
          </w:p>
        </w:tc>
        <w:tc>
          <w:tcPr>
            <w:tcW w:w="20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Yes — Before referral</w:t>
            </w:r>
          </w:p>
        </w:tc>
        <w:tc>
          <w:tcPr>
            <w:tcW w:w="3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Yes — HR must approve hiring process</w:t>
            </w:r>
          </w:p>
        </w:tc>
      </w:tr>
      <w:tr w:rsidR="003C299D">
        <w:tblPrEx>
          <w:tblCellMar>
            <w:top w:w="0" w:type="dxa"/>
            <w:bottom w:w="0" w:type="dxa"/>
          </w:tblCellMar>
        </w:tblPrEx>
        <w:tc>
          <w:tcPr>
            <w:tcW w:w="39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Personal investment in a client company (&lt;$10K)</w:t>
            </w:r>
          </w:p>
        </w:tc>
        <w:tc>
          <w:tcPr>
            <w:tcW w:w="20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 — Within 14 days</w:t>
            </w:r>
          </w:p>
        </w:tc>
        <w:tc>
          <w:tcPr>
            <w:tcW w:w="3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No — Monitoring sufficient</w:t>
            </w:r>
          </w:p>
        </w:tc>
      </w:tr>
      <w:tr w:rsidR="003C299D">
        <w:tblPrEx>
          <w:tblCellMar>
            <w:top w:w="0" w:type="dxa"/>
            <w:bottom w:w="0" w:type="dxa"/>
          </w:tblCellMar>
        </w:tblPrEx>
        <w:tc>
          <w:tcPr>
            <w:tcW w:w="3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Receiving unsolicited gifts &gt;$100 in value</w:t>
            </w:r>
          </w:p>
        </w:tc>
        <w:tc>
          <w:tcPr>
            <w:tcW w:w="20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Yes — Within 7 days</w:t>
            </w:r>
          </w:p>
        </w:tc>
        <w:tc>
          <w:tcPr>
            <w:tcW w:w="3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See Gift Policy (2.3)</w:t>
            </w:r>
          </w:p>
        </w:tc>
      </w:tr>
      <w:tr w:rsidR="003C299D">
        <w:tblPrEx>
          <w:tblCellMar>
            <w:top w:w="0" w:type="dxa"/>
            <w:bottom w:w="0" w:type="dxa"/>
          </w:tblCellMar>
        </w:tblPrEx>
        <w:tc>
          <w:tcPr>
            <w:tcW w:w="39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Freelance work for a </w:t>
            </w:r>
            <w:proofErr w:type="spellStart"/>
            <w:r>
              <w:rPr>
                <w:sz w:val="19"/>
                <w:szCs w:val="19"/>
              </w:rPr>
              <w:t>NexaCorp</w:t>
            </w:r>
            <w:proofErr w:type="spellEnd"/>
            <w:r>
              <w:rPr>
                <w:sz w:val="19"/>
                <w:szCs w:val="19"/>
              </w:rPr>
              <w:t xml:space="preserve"> client</w:t>
            </w:r>
          </w:p>
        </w:tc>
        <w:tc>
          <w:tcPr>
            <w:tcW w:w="20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 — Before commencing</w:t>
            </w:r>
          </w:p>
        </w:tc>
        <w:tc>
          <w:tcPr>
            <w:tcW w:w="3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 — CPO approval required</w:t>
            </w:r>
          </w:p>
        </w:tc>
      </w:tr>
    </w:tbl>
    <w:p w:rsidR="003C299D" w:rsidRDefault="003C299D">
      <w:pPr>
        <w:spacing w:before="100" w:after="100"/>
      </w:pPr>
    </w:p>
    <w:p w:rsidR="003C299D" w:rsidRDefault="00E2045C">
      <w:pPr>
        <w:pStyle w:val="Heading3"/>
      </w:pPr>
      <w:r>
        <w:t>2.2.3 Disclosure &amp; Recusal Process</w:t>
      </w:r>
    </w:p>
    <w:p w:rsidR="003C299D" w:rsidRDefault="00E2045C">
      <w:pPr>
        <w:spacing w:before="80" w:after="100" w:line="276" w:lineRule="auto"/>
        <w:jc w:val="both"/>
      </w:pPr>
      <w:r>
        <w:t>Employees who identify a potential conflict of interest must complete a Conflict of Interest Disclosure Form (COIDF-001) available on the HR portal within the applicable timeframe listed above. Upon submission, the following process applies:</w:t>
      </w:r>
    </w:p>
    <w:p w:rsidR="003C299D" w:rsidRDefault="00E2045C">
      <w:pPr>
        <w:pStyle w:val="ListParagraph"/>
        <w:numPr>
          <w:ilvl w:val="0"/>
          <w:numId w:val="3"/>
        </w:numPr>
        <w:spacing w:before="60" w:after="60"/>
      </w:pPr>
      <w:r>
        <w:t>The Ethics &amp; C</w:t>
      </w:r>
      <w:r>
        <w:t>ompliance Committee (ECC) will review the disclosure within ten (10) business days.</w:t>
      </w:r>
    </w:p>
    <w:p w:rsidR="003C299D" w:rsidRDefault="00E2045C">
      <w:pPr>
        <w:pStyle w:val="ListParagraph"/>
        <w:numPr>
          <w:ilvl w:val="0"/>
          <w:numId w:val="3"/>
        </w:numPr>
        <w:spacing w:before="60" w:after="60"/>
      </w:pPr>
      <w:r>
        <w:t>A written determination will be issued classifying the conflict as (a) No Conflict, (b) Manageable Conflict with Conditions, or (c) Disqualifying Conflict.</w:t>
      </w:r>
    </w:p>
    <w:p w:rsidR="003C299D" w:rsidRDefault="00E2045C">
      <w:pPr>
        <w:pStyle w:val="ListParagraph"/>
        <w:numPr>
          <w:ilvl w:val="0"/>
          <w:numId w:val="3"/>
        </w:numPr>
        <w:spacing w:before="60" w:after="60"/>
      </w:pPr>
      <w:r>
        <w:t>Where conditions</w:t>
      </w:r>
      <w:r>
        <w:t xml:space="preserve"> are imposed, they may include recusal from specific decisions, divestiture of financial interests, or restructuring of reporting relationships.</w:t>
      </w:r>
    </w:p>
    <w:p w:rsidR="003C299D" w:rsidRDefault="00E2045C">
      <w:pPr>
        <w:pStyle w:val="ListParagraph"/>
        <w:numPr>
          <w:ilvl w:val="0"/>
          <w:numId w:val="3"/>
        </w:numPr>
        <w:spacing w:before="60" w:after="60"/>
      </w:pPr>
      <w:r>
        <w:t>The employee must sign an acknowledgement of the conditions and maintain compliance throughout their employment</w:t>
      </w:r>
      <w:r>
        <w:t>.</w:t>
      </w:r>
    </w:p>
    <w:p w:rsidR="003C299D" w:rsidRDefault="00E2045C">
      <w:pPr>
        <w:pStyle w:val="ListParagraph"/>
        <w:numPr>
          <w:ilvl w:val="0"/>
          <w:numId w:val="3"/>
        </w:numPr>
        <w:spacing w:before="60" w:after="60"/>
      </w:pPr>
      <w:r>
        <w:t>Annual re-certification of conflict disclosures is required as part of the Ethics Acknowledgement process.</w:t>
      </w:r>
    </w:p>
    <w:p w:rsidR="003C299D" w:rsidRDefault="00E2045C">
      <w:pPr>
        <w:pBdr>
          <w:left w:val="single" w:sz="12" w:space="8" w:color="E36B00"/>
        </w:pBdr>
        <w:spacing w:before="120" w:after="120"/>
        <w:ind w:left="360" w:right="360"/>
      </w:pPr>
      <w:r>
        <w:rPr>
          <w:b/>
          <w:bCs/>
          <w:color w:val="E36B00"/>
          <w:sz w:val="20"/>
          <w:szCs w:val="20"/>
        </w:rPr>
        <w:t xml:space="preserve">WARNING: </w:t>
      </w:r>
      <w:r>
        <w:rPr>
          <w:i/>
          <w:iCs/>
          <w:sz w:val="20"/>
          <w:szCs w:val="20"/>
        </w:rPr>
        <w:t xml:space="preserve">Failure to disclose a known conflict of interest is itself a material violation of this Code and may result in termination of employment, </w:t>
      </w:r>
      <w:r>
        <w:rPr>
          <w:i/>
          <w:iCs/>
          <w:sz w:val="20"/>
          <w:szCs w:val="20"/>
        </w:rPr>
        <w:t>regardless of whether any actual harm resulted.</w:t>
      </w:r>
    </w:p>
    <w:p w:rsidR="003C299D" w:rsidRDefault="00E2045C">
      <w:pPr>
        <w:pStyle w:val="Heading2"/>
      </w:pPr>
      <w:r>
        <w:t>2.3 Gifts, Entertainment &amp; Anti-Bribery</w:t>
      </w:r>
    </w:p>
    <w:p w:rsidR="003C299D" w:rsidRDefault="00E2045C">
      <w:pPr>
        <w:pStyle w:val="Heading3"/>
      </w:pPr>
      <w:r>
        <w:lastRenderedPageBreak/>
        <w:t>2.3.1 Policy Purpose</w:t>
      </w:r>
    </w:p>
    <w:p w:rsidR="003C299D" w:rsidRDefault="00E2045C">
      <w:pPr>
        <w:spacing w:before="80" w:after="100" w:line="276" w:lineRule="auto"/>
        <w:jc w:val="both"/>
      </w:pPr>
      <w:proofErr w:type="spellStart"/>
      <w:r>
        <w:t>NexaCorp</w:t>
      </w:r>
      <w:proofErr w:type="spellEnd"/>
      <w:r>
        <w:t xml:space="preserve"> prohibits bribery and corruption in all forms and in every jurisdiction without exception. This prohibition applies whether or not the relevant country's local law contains equivalent protections. </w:t>
      </w:r>
      <w:proofErr w:type="spellStart"/>
      <w:r>
        <w:t>NexaCorp's</w:t>
      </w:r>
      <w:proofErr w:type="spellEnd"/>
      <w:r>
        <w:t xml:space="preserve"> obligations include, but are not limite</w:t>
      </w:r>
      <w:r>
        <w:t>d to, compliance with the US Foreign Corrupt Practices Act (FCPA), the UK Bribery Act 2010, and applicable OECD Anti-Bribery Convention standards.</w:t>
      </w:r>
    </w:p>
    <w:p w:rsidR="003C299D" w:rsidRDefault="00E2045C">
      <w:pPr>
        <w:pStyle w:val="Heading3"/>
      </w:pPr>
      <w:r>
        <w:t>2.3.2 Gifts — Employees May Accept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160"/>
        <w:gridCol w:w="3600"/>
      </w:tblGrid>
      <w:tr w:rsidR="003C299D">
        <w:tblPrEx>
          <w:tblCellMar>
            <w:top w:w="0" w:type="dxa"/>
            <w:bottom w:w="0" w:type="dxa"/>
          </w:tblCellMar>
        </w:tblPrEx>
        <w:trPr>
          <w:tblHeader/>
        </w:trPr>
        <w:tc>
          <w:tcPr>
            <w:tcW w:w="36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Gift Type</w:t>
            </w:r>
          </w:p>
        </w:tc>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Max Value (USD)</w:t>
            </w:r>
          </w:p>
        </w:tc>
        <w:tc>
          <w:tcPr>
            <w:tcW w:w="36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Conditions</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Branded merchandise (pens, mugs, bags)</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$75</w:t>
            </w:r>
          </w:p>
        </w:tc>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No disclosure required</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Meals hosted by vendor/client</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$150 per person</w:t>
            </w:r>
          </w:p>
        </w:tc>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Must be business-related; manager notification</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Event tickets (cultural, sporting)</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$200 per event</w:t>
            </w:r>
          </w:p>
        </w:tc>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Supervisor pre-approval; COIDF if recurring</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Holiday gift baskets</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$100</w:t>
            </w:r>
          </w:p>
        </w:tc>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Departmental disclosure only</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Travel, hotel, or accommodation</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$0 — Prohibited</w:t>
            </w:r>
          </w:p>
        </w:tc>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No exceptions without ELT + CLO approval</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Cash or cash equivalents (gift cards)</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$0 — Prohibited</w:t>
            </w:r>
          </w:p>
        </w:tc>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Absolute prohibition; no exceptions</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Gifts from regulated industry clients</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$0 — Prohibited</w:t>
            </w:r>
          </w:p>
        </w:tc>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Subject to more restrictive client rules</w:t>
            </w:r>
          </w:p>
        </w:tc>
      </w:tr>
    </w:tbl>
    <w:p w:rsidR="003C299D" w:rsidRDefault="003C299D">
      <w:pPr>
        <w:spacing w:before="100" w:after="100"/>
      </w:pPr>
    </w:p>
    <w:p w:rsidR="003C299D" w:rsidRDefault="00E2045C">
      <w:pPr>
        <w:pBdr>
          <w:left w:val="single" w:sz="12" w:space="8" w:color="2E75B6"/>
        </w:pBdr>
        <w:spacing w:before="120" w:after="120"/>
        <w:ind w:left="360" w:right="360"/>
      </w:pPr>
      <w:r>
        <w:rPr>
          <w:b/>
          <w:bCs/>
          <w:color w:val="2E75B6"/>
          <w:sz w:val="20"/>
          <w:szCs w:val="20"/>
        </w:rPr>
        <w:t xml:space="preserve">NOTE: </w:t>
      </w:r>
      <w:r>
        <w:rPr>
          <w:i/>
          <w:iCs/>
          <w:sz w:val="20"/>
          <w:szCs w:val="20"/>
        </w:rPr>
        <w:t>Gifts received above the stated thresholds must be returned to the sender with a polite explanation citing company policy, or surrendered to the Office Manager for charitable donation. A record must be submitted to the Ethics Hotline portal within 7 days.</w:t>
      </w:r>
    </w:p>
    <w:p w:rsidR="003C299D" w:rsidRDefault="00E2045C">
      <w:pPr>
        <w:pStyle w:val="Heading3"/>
      </w:pPr>
      <w:r>
        <w:t>2.3.3 Government Officials — Zero Tolerance</w:t>
      </w:r>
    </w:p>
    <w:p w:rsidR="003C299D" w:rsidRDefault="00E2045C">
      <w:pPr>
        <w:spacing w:before="80" w:after="100" w:line="276" w:lineRule="auto"/>
        <w:jc w:val="both"/>
      </w:pPr>
      <w:r>
        <w:t>No gift, meal, entertainment, travel, or payment of any value may be offered to any government official, public sector employee, or member of a ruling royal family without prior written approval from the CLO and,</w:t>
      </w:r>
      <w:r>
        <w:t xml:space="preserve"> where required, external legal counsel in the relevant jurisdiction. This prohibition applies globally and covers officials at every level of government — local, state/provincial, national, and supranational.</w:t>
      </w:r>
    </w:p>
    <w:p w:rsidR="003C299D" w:rsidRDefault="00E2045C">
      <w:pPr>
        <w:pStyle w:val="Heading2"/>
      </w:pPr>
      <w:r>
        <w:t>2.4 Insider Trading &amp; Securities Policy</w:t>
      </w:r>
    </w:p>
    <w:p w:rsidR="003C299D" w:rsidRDefault="00E2045C">
      <w:pPr>
        <w:pStyle w:val="Heading3"/>
      </w:pPr>
      <w:r>
        <w:t>2.4.1 Scope &amp; Definition</w:t>
      </w:r>
    </w:p>
    <w:p w:rsidR="003C299D" w:rsidRDefault="00E2045C">
      <w:pPr>
        <w:spacing w:before="80" w:after="100" w:line="276" w:lineRule="auto"/>
        <w:jc w:val="both"/>
      </w:pPr>
      <w:proofErr w:type="spellStart"/>
      <w:r>
        <w:t>NexaCorp's</w:t>
      </w:r>
      <w:proofErr w:type="spellEnd"/>
      <w:r>
        <w:t xml:space="preserve"> securities policy applies to all employees, officers, directors, and contractors who in the course of their work may come into possession of material non-public information (MNPI) about </w:t>
      </w:r>
      <w:proofErr w:type="spellStart"/>
      <w:r>
        <w:t>NexaCorp</w:t>
      </w:r>
      <w:proofErr w:type="spellEnd"/>
      <w:r>
        <w:t xml:space="preserve"> or any publicly traded co</w:t>
      </w:r>
      <w:r>
        <w:t xml:space="preserve">mpany with which </w:t>
      </w:r>
      <w:proofErr w:type="spellStart"/>
      <w:r>
        <w:t>NexaCorp</w:t>
      </w:r>
      <w:proofErr w:type="spellEnd"/>
      <w:r>
        <w:t xml:space="preserve"> has a business relationship. MNPI is any information that (a) has not been publicly disclosed through official channels, and (b) a reasonable investor would consider important in deciding whether to buy, sell, or hold securities.</w:t>
      </w:r>
    </w:p>
    <w:p w:rsidR="003C299D" w:rsidRDefault="00E2045C">
      <w:pPr>
        <w:pStyle w:val="Heading3"/>
      </w:pPr>
      <w:r>
        <w:t>2.4.2 Prohibited Activities</w:t>
      </w:r>
    </w:p>
    <w:p w:rsidR="003C299D" w:rsidRDefault="00E2045C">
      <w:pPr>
        <w:pStyle w:val="ListParagraph"/>
        <w:numPr>
          <w:ilvl w:val="0"/>
          <w:numId w:val="2"/>
        </w:numPr>
        <w:spacing w:before="60" w:after="60"/>
      </w:pPr>
      <w:r>
        <w:lastRenderedPageBreak/>
        <w:t xml:space="preserve">Trading in </w:t>
      </w:r>
      <w:proofErr w:type="spellStart"/>
      <w:r>
        <w:t>NexaCorp</w:t>
      </w:r>
      <w:proofErr w:type="spellEnd"/>
      <w:r>
        <w:t xml:space="preserve"> securities while in possession of MNPI, regardless of whether the information was obtained through employment or other means.</w:t>
      </w:r>
    </w:p>
    <w:p w:rsidR="003C299D" w:rsidRDefault="00E2045C">
      <w:pPr>
        <w:pStyle w:val="ListParagraph"/>
        <w:numPr>
          <w:ilvl w:val="0"/>
          <w:numId w:val="2"/>
        </w:numPr>
        <w:spacing w:before="60" w:after="60"/>
      </w:pPr>
      <w:r>
        <w:t xml:space="preserve">Tipping — sharing MNPI with any third party (family, friends, </w:t>
      </w:r>
      <w:proofErr w:type="gramStart"/>
      <w:r>
        <w:t>professional</w:t>
      </w:r>
      <w:proofErr w:type="gramEnd"/>
      <w:r>
        <w:t xml:space="preserve"> advisors) who may trade on the basis of such information.</w:t>
      </w:r>
    </w:p>
    <w:p w:rsidR="003C299D" w:rsidRDefault="00E2045C">
      <w:pPr>
        <w:pStyle w:val="ListParagraph"/>
        <w:numPr>
          <w:ilvl w:val="0"/>
          <w:numId w:val="2"/>
        </w:numPr>
        <w:spacing w:before="60" w:after="60"/>
      </w:pPr>
      <w:r>
        <w:t xml:space="preserve">Trading in the securities of any </w:t>
      </w:r>
      <w:proofErr w:type="spellStart"/>
      <w:r>
        <w:t>NexaCorp</w:t>
      </w:r>
      <w:proofErr w:type="spellEnd"/>
      <w:r>
        <w:t xml:space="preserve"> client, partner, or acquisition target while in possession of MNPI relating to th</w:t>
      </w:r>
      <w:r>
        <w:t>at entity.</w:t>
      </w:r>
    </w:p>
    <w:p w:rsidR="003C299D" w:rsidRDefault="00E2045C">
      <w:pPr>
        <w:pStyle w:val="ListParagraph"/>
        <w:numPr>
          <w:ilvl w:val="0"/>
          <w:numId w:val="2"/>
        </w:numPr>
        <w:spacing w:before="60" w:after="60"/>
      </w:pPr>
      <w:r>
        <w:t xml:space="preserve">Short-selling </w:t>
      </w:r>
      <w:proofErr w:type="spellStart"/>
      <w:r>
        <w:t>NexaCorp</w:t>
      </w:r>
      <w:proofErr w:type="spellEnd"/>
      <w:r>
        <w:t xml:space="preserve"> stock or purchasing put options on </w:t>
      </w:r>
      <w:proofErr w:type="spellStart"/>
      <w:r>
        <w:t>NexaCorp</w:t>
      </w:r>
      <w:proofErr w:type="spellEnd"/>
      <w:r>
        <w:t xml:space="preserve"> stock at any time.</w:t>
      </w:r>
    </w:p>
    <w:p w:rsidR="003C299D" w:rsidRDefault="00E2045C">
      <w:pPr>
        <w:pStyle w:val="ListParagraph"/>
        <w:numPr>
          <w:ilvl w:val="0"/>
          <w:numId w:val="2"/>
        </w:numPr>
        <w:spacing w:before="60" w:after="60"/>
      </w:pPr>
      <w:r>
        <w:t xml:space="preserve">Participating in speculative trading strategies (hedging, margin accounts) using </w:t>
      </w:r>
      <w:proofErr w:type="spellStart"/>
      <w:r>
        <w:t>NexaCorp</w:t>
      </w:r>
      <w:proofErr w:type="spellEnd"/>
      <w:r>
        <w:t xml:space="preserve"> securities.</w:t>
      </w:r>
    </w:p>
    <w:p w:rsidR="003C299D" w:rsidRDefault="00E2045C">
      <w:pPr>
        <w:pStyle w:val="Heading3"/>
      </w:pPr>
      <w:r>
        <w:t>2.4.3 Trading Windows &amp; Pre-Clearance</w:t>
      </w:r>
    </w:p>
    <w:p w:rsidR="003C299D" w:rsidRDefault="00E2045C">
      <w:pPr>
        <w:spacing w:before="80" w:after="100" w:line="276" w:lineRule="auto"/>
        <w:jc w:val="both"/>
      </w:pPr>
      <w:r>
        <w:t>Designated Insiders</w:t>
      </w:r>
      <w:r>
        <w:t xml:space="preserve"> (DIs) — comprising all ELT members, vice presidents, and employees in Finance, Legal, Strategy, and M&amp;A — are subject to mandatory trading windows. Trading windows open on the second business day following each quarterly earnings release and close 14 cale</w:t>
      </w:r>
      <w:r>
        <w:t>ndar days before the end of the subsequent quarter. All DI trades must be pre-cleared through the CLO's office at least 48 hours in advance.</w:t>
      </w:r>
    </w:p>
    <w:p w:rsidR="003C299D" w:rsidRDefault="00E2045C">
      <w:pPr>
        <w:pBdr>
          <w:left w:val="single" w:sz="12" w:space="8" w:color="E36B00"/>
        </w:pBdr>
        <w:spacing w:before="120" w:after="120"/>
        <w:ind w:left="360" w:right="360"/>
      </w:pPr>
      <w:r>
        <w:rPr>
          <w:b/>
          <w:bCs/>
          <w:color w:val="E36B00"/>
          <w:sz w:val="20"/>
          <w:szCs w:val="20"/>
        </w:rPr>
        <w:t xml:space="preserve">WARNING: </w:t>
      </w:r>
      <w:r>
        <w:rPr>
          <w:i/>
          <w:iCs/>
          <w:sz w:val="20"/>
          <w:szCs w:val="20"/>
        </w:rPr>
        <w:t>Non-DI employees are not subject to trading windows but remain bound by the prohibition on trading while i</w:t>
      </w:r>
      <w:r>
        <w:rPr>
          <w:i/>
          <w:iCs/>
          <w:sz w:val="20"/>
          <w:szCs w:val="20"/>
        </w:rPr>
        <w:t>n possession of MNPI. When in doubt, do not trade and seek guidance from the Legal department.</w:t>
      </w:r>
    </w:p>
    <w:p w:rsidR="003C299D" w:rsidRDefault="00E2045C">
      <w:pPr>
        <w:pStyle w:val="Heading2"/>
      </w:pPr>
      <w:r>
        <w:t>2.5 Whistleblower &amp; Non-Retaliation Policy</w:t>
      </w:r>
    </w:p>
    <w:p w:rsidR="003C299D" w:rsidRDefault="00E2045C">
      <w:pPr>
        <w:pStyle w:val="Heading3"/>
      </w:pPr>
      <w:r>
        <w:t>2.5.1 Reporting Channels</w:t>
      </w:r>
    </w:p>
    <w:p w:rsidR="003C299D" w:rsidRDefault="00E2045C">
      <w:pPr>
        <w:spacing w:before="80" w:after="100" w:line="276" w:lineRule="auto"/>
        <w:jc w:val="both"/>
      </w:pPr>
      <w:proofErr w:type="spellStart"/>
      <w:r>
        <w:t>NexaCorp</w:t>
      </w:r>
      <w:proofErr w:type="spellEnd"/>
      <w:r>
        <w:t xml:space="preserve"> is committed to providing safe, confidential, and accessible channels through which </w:t>
      </w:r>
      <w:r>
        <w:t>employees can report concerns about actual or suspected violations of law, regulation, or company policy. The following reporting channels are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520"/>
        <w:gridCol w:w="1800"/>
        <w:gridCol w:w="2880"/>
      </w:tblGrid>
      <w:tr w:rsidR="003C299D">
        <w:tblPrEx>
          <w:tblCellMar>
            <w:top w:w="0" w:type="dxa"/>
            <w:bottom w:w="0" w:type="dxa"/>
          </w:tblCellMar>
        </w:tblPrEx>
        <w:trPr>
          <w:tblHeader/>
        </w:trPr>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Channel</w:t>
            </w:r>
          </w:p>
        </w:tc>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Contact / Access</w:t>
            </w:r>
          </w:p>
        </w:tc>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Availability</w:t>
            </w:r>
          </w:p>
        </w:tc>
        <w:tc>
          <w:tcPr>
            <w:tcW w:w="28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Anonymity</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Ethics Hotline (Telephone)</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+1-800-NEX-ETIX</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24/7/365</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Yes</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Ethics Web Portal</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ethics.nexacorp.com (internal)</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24/7/365</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Direct Report to Manager</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Verbal or written</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Business hours</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No</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HR Business Partner</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hr@nexacorp.com</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Business hours</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Conditional</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General Counsel's Office</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legal-ethics@nexacorp.com</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Business hours</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Conditional</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External Regulator (SEC, FCA, etc.)</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Regulator's published channels</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Varies</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Per regulator policy</w:t>
            </w:r>
          </w:p>
        </w:tc>
      </w:tr>
    </w:tbl>
    <w:p w:rsidR="003C299D" w:rsidRDefault="003C299D">
      <w:pPr>
        <w:spacing w:before="100" w:after="100"/>
      </w:pPr>
    </w:p>
    <w:p w:rsidR="003C299D" w:rsidRDefault="00E2045C">
      <w:pPr>
        <w:pStyle w:val="Heading3"/>
      </w:pPr>
      <w:r>
        <w:t>2.5.2 Non-Retaliation Guarantee</w:t>
      </w:r>
    </w:p>
    <w:p w:rsidR="003C299D" w:rsidRDefault="00E2045C">
      <w:pPr>
        <w:spacing w:before="80" w:after="100" w:line="276" w:lineRule="auto"/>
        <w:jc w:val="both"/>
      </w:pPr>
      <w:proofErr w:type="spellStart"/>
      <w:r>
        <w:t>NexaCorp</w:t>
      </w:r>
      <w:proofErr w:type="spellEnd"/>
      <w:r>
        <w:t xml:space="preserve"> strictly prohibits retaliation against any employee who in good faith reports a concern, participates in an investigation, or refuses to participate in conduct that they believe violates this Code or applicable law. Retaliation includes, but is no</w:t>
      </w:r>
      <w:r>
        <w:t xml:space="preserve">t limited to: termination, demotion, disciplinary action, </w:t>
      </w:r>
      <w:r>
        <w:lastRenderedPageBreak/>
        <w:t>negative performance reviews, exclusion from projects, threats, harassment, or any other adverse employment action motivated by the employee's protected reporting activity.</w:t>
      </w:r>
    </w:p>
    <w:p w:rsidR="003C299D" w:rsidRDefault="00E2045C">
      <w:pPr>
        <w:spacing w:before="80" w:after="100" w:line="276" w:lineRule="auto"/>
        <w:jc w:val="both"/>
      </w:pPr>
      <w:r>
        <w:t>Any manager or employee f</w:t>
      </w:r>
      <w:r>
        <w:t>ound to have engaged in retaliation against a whistleblower will be subject to immediate disciplinary action up to and including termination of employment, regardless of seniority or tenure.</w:t>
      </w:r>
    </w:p>
    <w:p w:rsidR="003C299D" w:rsidRDefault="00E2045C">
      <w:pPr>
        <w:pBdr>
          <w:left w:val="single" w:sz="12" w:space="8" w:color="2E75B6"/>
        </w:pBdr>
        <w:spacing w:before="120" w:after="120"/>
        <w:ind w:left="360" w:right="360"/>
      </w:pPr>
      <w:r>
        <w:rPr>
          <w:b/>
          <w:bCs/>
          <w:color w:val="2E75B6"/>
          <w:sz w:val="20"/>
          <w:szCs w:val="20"/>
        </w:rPr>
        <w:t xml:space="preserve">NOTE: </w:t>
      </w:r>
      <w:r>
        <w:rPr>
          <w:i/>
          <w:iCs/>
          <w:sz w:val="20"/>
          <w:szCs w:val="20"/>
        </w:rPr>
        <w:t>Good faith reporting does not mean the report must turn out</w:t>
      </w:r>
      <w:r>
        <w:rPr>
          <w:i/>
          <w:iCs/>
          <w:sz w:val="20"/>
          <w:szCs w:val="20"/>
        </w:rPr>
        <w:t xml:space="preserve"> to be correct. It means the reporter genuinely believed the information to indicate a potential violation. Bad faith or malicious false reports are not protected and may themselves result in disciplinary action.</w:t>
      </w:r>
    </w:p>
    <w:p w:rsidR="003C299D" w:rsidRDefault="00E2045C">
      <w:pPr>
        <w:pStyle w:val="Heading3"/>
      </w:pPr>
      <w:r>
        <w:t>2.5.3 Investigation Process</w:t>
      </w:r>
    </w:p>
    <w:p w:rsidR="003C299D" w:rsidRDefault="00E2045C">
      <w:pPr>
        <w:spacing w:before="80" w:after="100" w:line="276" w:lineRule="auto"/>
        <w:jc w:val="both"/>
      </w:pPr>
      <w:r>
        <w:t>All reports rec</w:t>
      </w:r>
      <w:r>
        <w:t>eived through Ethics channels are triaged by the Ethics &amp; Compliance Committee within 3 business days. Investigations are conducted by qualified personnel independent of the subject of the complaint. Findings are documented and reported to the Audit &amp; Risk</w:t>
      </w:r>
      <w:r>
        <w:t xml:space="preserve"> Committee. Reporters may request an update on the status of their report every 30 days.</w:t>
      </w:r>
    </w:p>
    <w:p w:rsidR="003C299D" w:rsidRDefault="00E2045C">
      <w:r>
        <w:br w:type="page"/>
      </w:r>
    </w:p>
    <w:p w:rsidR="003C299D" w:rsidRDefault="00E2045C">
      <w:pPr>
        <w:shd w:val="clear" w:color="auto" w:fill="1B3A6B"/>
        <w:spacing w:before="500" w:after="300"/>
        <w:jc w:val="center"/>
      </w:pPr>
      <w:r>
        <w:rPr>
          <w:b/>
          <w:bCs/>
          <w:color w:val="FFFFFF"/>
          <w:sz w:val="32"/>
          <w:szCs w:val="32"/>
        </w:rPr>
        <w:lastRenderedPageBreak/>
        <w:t xml:space="preserve">  PART III — HUMAN RESOURCES POLICIES  </w:t>
      </w:r>
    </w:p>
    <w:p w:rsidR="003C299D" w:rsidRDefault="003C299D">
      <w:pPr>
        <w:spacing w:before="200" w:after="200"/>
      </w:pPr>
    </w:p>
    <w:p w:rsidR="003C299D" w:rsidRDefault="00E2045C">
      <w:pPr>
        <w:pStyle w:val="Heading1"/>
        <w:pBdr>
          <w:bottom w:val="single" w:sz="8" w:space="4" w:color="2E75B6"/>
        </w:pBdr>
      </w:pPr>
      <w:r>
        <w:t>3. Human Resources Policies</w:t>
      </w:r>
    </w:p>
    <w:p w:rsidR="003C299D" w:rsidRDefault="00E2045C">
      <w:pPr>
        <w:spacing w:before="80" w:after="100" w:line="276" w:lineRule="auto"/>
        <w:jc w:val="both"/>
      </w:pPr>
      <w:r>
        <w:t xml:space="preserve">This Part establishes </w:t>
      </w:r>
      <w:proofErr w:type="spellStart"/>
      <w:r>
        <w:t>NexaCorp's</w:t>
      </w:r>
      <w:proofErr w:type="spellEnd"/>
      <w:r>
        <w:t xml:space="preserve"> human resources policies applicable to all employees globally. Country-specific addenda attached to this handbook address legal variances at the jurisdiction level. In the event of a conflict, the more employee-protective p</w:t>
      </w:r>
      <w:r>
        <w:t>rovision shall prevail subject to applicable law.</w:t>
      </w:r>
    </w:p>
    <w:p w:rsidR="003C299D" w:rsidRDefault="00E2045C">
      <w:pPr>
        <w:pStyle w:val="Heading2"/>
      </w:pPr>
      <w:r>
        <w:t>3.1 Recruitment, Selection &amp; Onboarding</w:t>
      </w:r>
    </w:p>
    <w:p w:rsidR="003C299D" w:rsidRDefault="00E2045C">
      <w:pPr>
        <w:pStyle w:val="Heading3"/>
      </w:pPr>
      <w:r>
        <w:t>3.1.1 Commitment to Fair Hiring</w:t>
      </w:r>
    </w:p>
    <w:p w:rsidR="003C299D" w:rsidRDefault="00E2045C">
      <w:pPr>
        <w:spacing w:before="80" w:after="100" w:line="276" w:lineRule="auto"/>
        <w:jc w:val="both"/>
      </w:pPr>
      <w:proofErr w:type="spellStart"/>
      <w:r>
        <w:t>NexaCorp</w:t>
      </w:r>
      <w:proofErr w:type="spellEnd"/>
      <w:r>
        <w:t xml:space="preserve"> is an equal opportunity employer and makes all hiring decisions on the basis of qualifications, skills, experience, and demon</w:t>
      </w:r>
      <w:r>
        <w:t xml:space="preserve">strated potential — without regard to race, </w:t>
      </w:r>
      <w:proofErr w:type="spellStart"/>
      <w:r>
        <w:t>colour</w:t>
      </w:r>
      <w:proofErr w:type="spellEnd"/>
      <w:r>
        <w:t>, religion, gender, gender identity or expression, sexual orientation, national origin, disability, age, veteran status, or any other characteristic protected by applicable law. All job postings must be rev</w:t>
      </w:r>
      <w:r>
        <w:t>iewed and approved by HR prior to publication.</w:t>
      </w:r>
    </w:p>
    <w:p w:rsidR="003C299D" w:rsidRDefault="00E2045C">
      <w:pPr>
        <w:pStyle w:val="Heading3"/>
      </w:pPr>
      <w:r>
        <w:t>3.1.2 Recruitment Process</w:t>
      </w:r>
    </w:p>
    <w:p w:rsidR="003C299D" w:rsidRDefault="00E2045C">
      <w:pPr>
        <w:pStyle w:val="ListParagraph"/>
        <w:numPr>
          <w:ilvl w:val="0"/>
          <w:numId w:val="3"/>
        </w:numPr>
        <w:spacing w:before="60" w:after="60"/>
      </w:pPr>
      <w:r>
        <w:t xml:space="preserve">Hiring Manager submits an approved headcount request (HC-REQ form) through HRIS, attaching an updated role profile aligned to the </w:t>
      </w:r>
      <w:proofErr w:type="spellStart"/>
      <w:r>
        <w:t>NexaCorp</w:t>
      </w:r>
      <w:proofErr w:type="spellEnd"/>
      <w:r>
        <w:t xml:space="preserve"> Job Architecture Framework (JAF).</w:t>
      </w:r>
    </w:p>
    <w:p w:rsidR="003C299D" w:rsidRDefault="00E2045C">
      <w:pPr>
        <w:pStyle w:val="ListParagraph"/>
        <w:numPr>
          <w:ilvl w:val="0"/>
          <w:numId w:val="3"/>
        </w:numPr>
        <w:spacing w:before="60" w:after="60"/>
      </w:pPr>
      <w:r>
        <w:t xml:space="preserve">HR Talent </w:t>
      </w:r>
      <w:r>
        <w:t>Acquisition (TA) assigns a dedicated recruiter who develops a sourcing strategy within 5 business days of HC-REQ approval.</w:t>
      </w:r>
    </w:p>
    <w:p w:rsidR="003C299D" w:rsidRDefault="00E2045C">
      <w:pPr>
        <w:pStyle w:val="ListParagraph"/>
        <w:numPr>
          <w:ilvl w:val="0"/>
          <w:numId w:val="3"/>
        </w:numPr>
        <w:spacing w:before="60" w:after="60"/>
      </w:pPr>
      <w:r>
        <w:t>Job postings are published simultaneously on the internal career portal (minimum 5 business days) and external job boards. Internal c</w:t>
      </w:r>
      <w:r>
        <w:t>andidates must be given equal consideration.</w:t>
      </w:r>
    </w:p>
    <w:p w:rsidR="003C299D" w:rsidRDefault="00E2045C">
      <w:pPr>
        <w:pStyle w:val="ListParagraph"/>
        <w:numPr>
          <w:ilvl w:val="0"/>
          <w:numId w:val="3"/>
        </w:numPr>
        <w:spacing w:before="60" w:after="60"/>
      </w:pPr>
      <w:r>
        <w:t xml:space="preserve">All shortlisted candidates undergo a structured interview process using </w:t>
      </w:r>
      <w:proofErr w:type="spellStart"/>
      <w:r>
        <w:t>NexaCorp's</w:t>
      </w:r>
      <w:proofErr w:type="spellEnd"/>
      <w:r>
        <w:t xml:space="preserve"> Competency-Based Interview (CBI) methodology. A minimum of 3 interviewers is required for any roles at Grade 6 and above.</w:t>
      </w:r>
    </w:p>
    <w:p w:rsidR="003C299D" w:rsidRDefault="00E2045C">
      <w:pPr>
        <w:pStyle w:val="ListParagraph"/>
        <w:numPr>
          <w:ilvl w:val="0"/>
          <w:numId w:val="3"/>
        </w:numPr>
        <w:spacing w:before="60" w:after="60"/>
      </w:pPr>
      <w:r>
        <w:t>Refere</w:t>
      </w:r>
      <w:r>
        <w:t>nce checks (minimum 2 professional references) are mandatory for all external hires. Background screening (criminal, education, employment verification) is conducted in compliance with local law.</w:t>
      </w:r>
    </w:p>
    <w:p w:rsidR="003C299D" w:rsidRDefault="00E2045C">
      <w:pPr>
        <w:pStyle w:val="ListParagraph"/>
        <w:numPr>
          <w:ilvl w:val="0"/>
          <w:numId w:val="3"/>
        </w:numPr>
        <w:spacing w:before="60" w:after="60"/>
      </w:pPr>
      <w:r>
        <w:t>Offers of employment are extended exclusively in writing thr</w:t>
      </w:r>
      <w:r>
        <w:t>ough the HRIS platform. Verbal offers are non-binding.</w:t>
      </w:r>
    </w:p>
    <w:p w:rsidR="003C299D" w:rsidRDefault="00E2045C">
      <w:pPr>
        <w:pStyle w:val="ListParagraph"/>
        <w:numPr>
          <w:ilvl w:val="0"/>
          <w:numId w:val="3"/>
        </w:numPr>
        <w:spacing w:before="60" w:after="60"/>
      </w:pPr>
      <w:r>
        <w:t>Candidates must not commence work until a signed offer letter and all mandatory pre-employment checks have been satisfactorily completed.</w:t>
      </w:r>
    </w:p>
    <w:p w:rsidR="003C299D" w:rsidRDefault="00E2045C">
      <w:pPr>
        <w:pStyle w:val="Heading3"/>
      </w:pPr>
      <w:r>
        <w:t xml:space="preserve">3.1.3 Onboarding </w:t>
      </w:r>
      <w:proofErr w:type="spellStart"/>
      <w:r>
        <w:t>Programme</w:t>
      </w:r>
      <w:proofErr w:type="spellEnd"/>
    </w:p>
    <w:p w:rsidR="003C299D" w:rsidRDefault="00E2045C">
      <w:pPr>
        <w:spacing w:before="80" w:after="100" w:line="276" w:lineRule="auto"/>
        <w:jc w:val="both"/>
      </w:pPr>
      <w:proofErr w:type="spellStart"/>
      <w:r>
        <w:t>NexaCorp's</w:t>
      </w:r>
      <w:proofErr w:type="spellEnd"/>
      <w:r>
        <w:t xml:space="preserve"> structured onboarding </w:t>
      </w:r>
      <w:proofErr w:type="spellStart"/>
      <w:r>
        <w:t>pro</w:t>
      </w:r>
      <w:r>
        <w:t>gramme</w:t>
      </w:r>
      <w:proofErr w:type="spellEnd"/>
      <w:r>
        <w:t xml:space="preserve"> (</w:t>
      </w:r>
      <w:proofErr w:type="spellStart"/>
      <w:r>
        <w:t>NexaStart</w:t>
      </w:r>
      <w:proofErr w:type="spellEnd"/>
      <w:r>
        <w:t>™) is designed to ensure new hires are productive, culturally integrated, and compliant within their first 90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60"/>
        <w:gridCol w:w="5400"/>
      </w:tblGrid>
      <w:tr w:rsidR="003C299D">
        <w:tblPrEx>
          <w:tblCellMar>
            <w:top w:w="0" w:type="dxa"/>
            <w:bottom w:w="0" w:type="dxa"/>
          </w:tblCellMar>
        </w:tblPrEx>
        <w:trPr>
          <w:tblHeader/>
        </w:trPr>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lastRenderedPageBreak/>
              <w:t>Phase</w:t>
            </w:r>
          </w:p>
        </w:tc>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Timeline</w:t>
            </w:r>
          </w:p>
        </w:tc>
        <w:tc>
          <w:tcPr>
            <w:tcW w:w="54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Key Activities</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Pre-Arrival</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5+ days before Day 1</w:t>
            </w:r>
          </w:p>
        </w:tc>
        <w:tc>
          <w:tcPr>
            <w:tcW w:w="5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Offer letter countersigned, equipment ordered, system accounts provisioned, buddy assigned</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Welcome Week</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Days 1–5</w:t>
            </w:r>
          </w:p>
        </w:tc>
        <w:tc>
          <w:tcPr>
            <w:tcW w:w="5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Orientation, culture sessions, benefits enrolment, IT setup, manager 1:1, team introductions</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Immersion</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Weeks 2–4</w:t>
            </w:r>
          </w:p>
        </w:tc>
        <w:tc>
          <w:tcPr>
            <w:tcW w:w="5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Role-specific technical training, </w:t>
            </w:r>
            <w:proofErr w:type="spellStart"/>
            <w:r>
              <w:rPr>
                <w:sz w:val="19"/>
                <w:szCs w:val="19"/>
              </w:rPr>
              <w:t>NexaAcademy</w:t>
            </w:r>
            <w:proofErr w:type="spellEnd"/>
            <w:r>
              <w:rPr>
                <w:sz w:val="19"/>
                <w:szCs w:val="19"/>
              </w:rPr>
              <w:t>™ mandatory modules, shadow assignments</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Integration</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Months 2–3</w:t>
            </w:r>
          </w:p>
        </w:tc>
        <w:tc>
          <w:tcPr>
            <w:tcW w:w="5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First project assignment, 30-day check-in with HR BP, peer mentoring begins</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Consolidation</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End of Month 3</w:t>
            </w:r>
          </w:p>
        </w:tc>
        <w:tc>
          <w:tcPr>
            <w:tcW w:w="5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90-day performance conversation, confirmation of employment (where applicable)</w:t>
            </w:r>
          </w:p>
        </w:tc>
      </w:tr>
    </w:tbl>
    <w:p w:rsidR="003C299D" w:rsidRDefault="003C299D">
      <w:pPr>
        <w:spacing w:before="100" w:after="100"/>
      </w:pPr>
    </w:p>
    <w:p w:rsidR="003C299D" w:rsidRDefault="00E2045C">
      <w:pPr>
        <w:pBdr>
          <w:left w:val="single" w:sz="12" w:space="8" w:color="E36B00"/>
        </w:pBdr>
        <w:spacing w:before="120" w:after="120"/>
        <w:ind w:left="360" w:right="360"/>
      </w:pPr>
      <w:r>
        <w:rPr>
          <w:b/>
          <w:bCs/>
          <w:color w:val="E36B00"/>
          <w:sz w:val="20"/>
          <w:szCs w:val="20"/>
        </w:rPr>
        <w:t xml:space="preserve">WARNING: </w:t>
      </w:r>
      <w:r>
        <w:rPr>
          <w:i/>
          <w:iCs/>
          <w:sz w:val="20"/>
          <w:szCs w:val="20"/>
        </w:rPr>
        <w:t>Hiring managers are responsible for completing the Manager Onboarding Checklist within the HRIS system within 48 hours of the new hire's start date. Failure to do so will be flagged in the quarterly HR Compliance Report.</w:t>
      </w:r>
    </w:p>
    <w:p w:rsidR="003C299D" w:rsidRDefault="00E2045C">
      <w:pPr>
        <w:pStyle w:val="Heading2"/>
      </w:pPr>
      <w:r>
        <w:t>3.2 Employment Classifications</w:t>
      </w:r>
    </w:p>
    <w:p w:rsidR="003C299D" w:rsidRDefault="00E2045C">
      <w:pPr>
        <w:pStyle w:val="Heading3"/>
      </w:pPr>
      <w:r>
        <w:t>3.2.</w:t>
      </w:r>
      <w:r>
        <w:t>1 Classification Types</w:t>
      </w:r>
    </w:p>
    <w:p w:rsidR="003C299D" w:rsidRDefault="00E2045C">
      <w:pPr>
        <w:spacing w:before="80" w:after="100" w:line="276" w:lineRule="auto"/>
        <w:jc w:val="both"/>
      </w:pPr>
      <w:r>
        <w:t>Employment classifications determine benefits eligibility, overtime entitlement, and applicable HR policies. Misclassification of workers (particularly the improper classification of employees as independent contractors) creates sign</w:t>
      </w:r>
      <w:r>
        <w:t>ificant legal, tax, and reputational risk. All classification decisions must be made by HR in conjunction with Finance and Legal.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1800"/>
        <w:gridCol w:w="2160"/>
      </w:tblGrid>
      <w:tr w:rsidR="003C299D">
        <w:tblPrEx>
          <w:tblCellMar>
            <w:top w:w="0" w:type="dxa"/>
            <w:bottom w:w="0" w:type="dxa"/>
          </w:tblCellMar>
        </w:tblPrEx>
        <w:trPr>
          <w:tblHeader/>
        </w:trPr>
        <w:tc>
          <w:tcPr>
            <w:tcW w:w="24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Classification</w:t>
            </w:r>
          </w:p>
        </w:tc>
        <w:tc>
          <w:tcPr>
            <w:tcW w:w="30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Definition</w:t>
            </w:r>
          </w:p>
        </w:tc>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Benefits Eligible?</w:t>
            </w:r>
          </w:p>
        </w:tc>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FLSA Overtime?</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Full-Time Employee (FTE)</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Works scheduled ≥40 </w:t>
            </w:r>
            <w:proofErr w:type="spellStart"/>
            <w:r>
              <w:rPr>
                <w:sz w:val="19"/>
                <w:szCs w:val="19"/>
              </w:rPr>
              <w:t>hrs</w:t>
            </w:r>
            <w:proofErr w:type="spellEnd"/>
            <w:r>
              <w:rPr>
                <w:sz w:val="19"/>
                <w:szCs w:val="19"/>
              </w:rPr>
              <w:t>/week on indefinite contract</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Full benefits</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If non-exempt</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Part-Time Employee (PTE)</w:t>
            </w:r>
          </w:p>
        </w:tc>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Works scheduled &lt;30 </w:t>
            </w:r>
            <w:proofErr w:type="spellStart"/>
            <w:r>
              <w:rPr>
                <w:sz w:val="19"/>
                <w:szCs w:val="19"/>
              </w:rPr>
              <w:t>hrs</w:t>
            </w:r>
            <w:proofErr w:type="spellEnd"/>
            <w:r>
              <w:rPr>
                <w:sz w:val="19"/>
                <w:szCs w:val="19"/>
              </w:rPr>
              <w:t>/week on indefinite contract</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Prorated benefits</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If non-exempt</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Fixed-Term Contract (FTC)</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Employment for a defined period or project</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Prorated benefits</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If non-exempt</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Temporary Employee</w:t>
            </w:r>
          </w:p>
        </w:tc>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Engaged via staffing agency; not direct </w:t>
            </w:r>
            <w:proofErr w:type="spellStart"/>
            <w:r>
              <w:rPr>
                <w:sz w:val="19"/>
                <w:szCs w:val="19"/>
              </w:rPr>
              <w:t>NexaCorp</w:t>
            </w:r>
            <w:proofErr w:type="spellEnd"/>
            <w:r>
              <w:rPr>
                <w:sz w:val="19"/>
                <w:szCs w:val="19"/>
              </w:rPr>
              <w:t xml:space="preserve"> employees</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None (agency)</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Per agency contract</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Independent Contractor</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Self-employed; project-based; no employment relationship</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None</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N/A</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Intern / Graduate Trainee</w:t>
            </w:r>
          </w:p>
        </w:tc>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Structured </w:t>
            </w:r>
            <w:proofErr w:type="spellStart"/>
            <w:r>
              <w:rPr>
                <w:sz w:val="19"/>
                <w:szCs w:val="19"/>
              </w:rPr>
              <w:t>programme</w:t>
            </w:r>
            <w:proofErr w:type="spellEnd"/>
            <w:r>
              <w:rPr>
                <w:sz w:val="19"/>
                <w:szCs w:val="19"/>
              </w:rPr>
              <w:t xml:space="preserve"> of &lt;12 months duration</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Limited (see HR-INT-01)</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If non-exempt</w:t>
            </w:r>
          </w:p>
        </w:tc>
      </w:tr>
    </w:tbl>
    <w:p w:rsidR="003C299D" w:rsidRDefault="003C299D">
      <w:pPr>
        <w:spacing w:before="100" w:after="100"/>
      </w:pPr>
    </w:p>
    <w:p w:rsidR="003C299D" w:rsidRDefault="00E2045C">
      <w:pPr>
        <w:pStyle w:val="Heading3"/>
      </w:pPr>
      <w:r>
        <w:t>3.2.2 Contractor Classification Test</w:t>
      </w:r>
    </w:p>
    <w:p w:rsidR="003C299D" w:rsidRDefault="00E2045C">
      <w:pPr>
        <w:spacing w:before="80" w:after="100" w:line="276" w:lineRule="auto"/>
        <w:jc w:val="both"/>
      </w:pPr>
      <w:r>
        <w:t xml:space="preserve">Before engaging any individual as an independent contractor rather than as an employee, the hiring department must complete a Worker Classification Assessment (WCA) through the Legal </w:t>
      </w:r>
      <w:r>
        <w:lastRenderedPageBreak/>
        <w:t>department. The following factors are evaluated as part of the test, broa</w:t>
      </w:r>
      <w:r>
        <w:t>dly aligned with IRS Common Law Rules and applicable state tests (including California AB5 where applicable):</w:t>
      </w:r>
    </w:p>
    <w:p w:rsidR="003C299D" w:rsidRDefault="00E2045C">
      <w:pPr>
        <w:pStyle w:val="ListParagraph"/>
        <w:numPr>
          <w:ilvl w:val="0"/>
          <w:numId w:val="2"/>
        </w:numPr>
        <w:spacing w:before="60" w:after="60"/>
      </w:pPr>
      <w:proofErr w:type="spellStart"/>
      <w:r>
        <w:t>Behavioural</w:t>
      </w:r>
      <w:proofErr w:type="spellEnd"/>
      <w:r>
        <w:t xml:space="preserve"> Control: Does the company control how the worker performs tasks, or only the result?</w:t>
      </w:r>
    </w:p>
    <w:p w:rsidR="003C299D" w:rsidRDefault="00E2045C">
      <w:pPr>
        <w:pStyle w:val="ListParagraph"/>
        <w:numPr>
          <w:ilvl w:val="0"/>
          <w:numId w:val="2"/>
        </w:numPr>
        <w:spacing w:before="60" w:after="60"/>
      </w:pPr>
      <w:r>
        <w:t>Financial Control: Does the worker have significa</w:t>
      </w:r>
      <w:r>
        <w:t>nt investment in tools, work for multiple clients, and bear the risk of profit/loss?</w:t>
      </w:r>
    </w:p>
    <w:p w:rsidR="003C299D" w:rsidRDefault="00E2045C">
      <w:pPr>
        <w:pStyle w:val="ListParagraph"/>
        <w:numPr>
          <w:ilvl w:val="0"/>
          <w:numId w:val="2"/>
        </w:numPr>
        <w:spacing w:before="60" w:after="60"/>
      </w:pPr>
      <w:r>
        <w:t>Type of Relationship: Is there a written contract, provision of employee-type benefits, and is the relationship indefinite or project-specific?</w:t>
      </w:r>
    </w:p>
    <w:p w:rsidR="003C299D" w:rsidRDefault="00E2045C">
      <w:pPr>
        <w:pBdr>
          <w:left w:val="single" w:sz="12" w:space="8" w:color="C00000"/>
        </w:pBdr>
        <w:spacing w:before="120" w:after="120"/>
        <w:ind w:left="360" w:right="360"/>
      </w:pPr>
      <w:r>
        <w:rPr>
          <w:b/>
          <w:bCs/>
          <w:color w:val="C00000"/>
          <w:sz w:val="20"/>
          <w:szCs w:val="20"/>
        </w:rPr>
        <w:t xml:space="preserve">IMPORTANT: </w:t>
      </w:r>
      <w:r>
        <w:rPr>
          <w:i/>
          <w:iCs/>
          <w:sz w:val="20"/>
          <w:szCs w:val="20"/>
        </w:rPr>
        <w:t>In California, t</w:t>
      </w:r>
      <w:r>
        <w:rPr>
          <w:i/>
          <w:iCs/>
          <w:sz w:val="20"/>
          <w:szCs w:val="20"/>
        </w:rPr>
        <w:t>he ABC test under AB5 applies to most occupational classifications and creates a strong presumption of employee status. All California contractor engagements require mandatory pre-approval by the CLO's office.</w:t>
      </w:r>
    </w:p>
    <w:p w:rsidR="003C299D" w:rsidRDefault="00E2045C">
      <w:pPr>
        <w:pStyle w:val="Heading2"/>
      </w:pPr>
      <w:r>
        <w:t>3.3 Compensation, Payroll &amp; Overtime</w:t>
      </w:r>
    </w:p>
    <w:p w:rsidR="003C299D" w:rsidRDefault="00E2045C">
      <w:pPr>
        <w:pStyle w:val="Heading3"/>
      </w:pPr>
      <w:r>
        <w:t>3.3.1 Compensation Philosophy</w:t>
      </w:r>
    </w:p>
    <w:p w:rsidR="003C299D" w:rsidRDefault="00E2045C">
      <w:pPr>
        <w:spacing w:before="80" w:after="100" w:line="276" w:lineRule="auto"/>
        <w:jc w:val="both"/>
      </w:pPr>
      <w:proofErr w:type="spellStart"/>
      <w:r>
        <w:t>NexaCorp's</w:t>
      </w:r>
      <w:proofErr w:type="spellEnd"/>
      <w:r>
        <w:t xml:space="preserve"> compensation philosophy is designed to attract, retain, and motivate high-</w:t>
      </w:r>
      <w:proofErr w:type="spellStart"/>
      <w:r>
        <w:t>calibre</w:t>
      </w:r>
      <w:proofErr w:type="spellEnd"/>
      <w:r>
        <w:t xml:space="preserve"> talent by offering market-competitive total compensation packages. Total compensation comprises base salary, variable pay (short-term</w:t>
      </w:r>
      <w:r>
        <w:t xml:space="preserve"> and long-term incentives), and benefits. </w:t>
      </w:r>
      <w:proofErr w:type="spellStart"/>
      <w:r>
        <w:t>NexaCorp</w:t>
      </w:r>
      <w:proofErr w:type="spellEnd"/>
      <w:r>
        <w:t xml:space="preserve"> targets the 65th percentile of the relevant talent market for base salary for employees performing at-expectation levels, rising to the 75th percentile for sustained high performers.</w:t>
      </w:r>
    </w:p>
    <w:p w:rsidR="003C299D" w:rsidRDefault="00E2045C">
      <w:pPr>
        <w:spacing w:before="80" w:after="100" w:line="276" w:lineRule="auto"/>
        <w:jc w:val="both"/>
      </w:pPr>
      <w:r>
        <w:t>The relevant talent ma</w:t>
      </w:r>
      <w:r>
        <w:t xml:space="preserve">rket is defined annually by the People Analytics team based on industry sector, role type, geographic location, and company size peer group. </w:t>
      </w:r>
      <w:proofErr w:type="spellStart"/>
      <w:r>
        <w:t>NexaCorp</w:t>
      </w:r>
      <w:proofErr w:type="spellEnd"/>
      <w:r>
        <w:t xml:space="preserve"> participates in and purchases data from at least three (3) </w:t>
      </w:r>
      <w:proofErr w:type="spellStart"/>
      <w:r>
        <w:t>recognised</w:t>
      </w:r>
      <w:proofErr w:type="spellEnd"/>
      <w:r>
        <w:t xml:space="preserve"> third-party compensation surveys ann</w:t>
      </w:r>
      <w:r>
        <w:t>ually.</w:t>
      </w:r>
    </w:p>
    <w:p w:rsidR="003C299D" w:rsidRDefault="00E2045C">
      <w:pPr>
        <w:pStyle w:val="Heading3"/>
      </w:pPr>
      <w:r>
        <w:t>3.3.2 Grade &amp; Pay Band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9"/>
        <w:gridCol w:w="2141"/>
        <w:gridCol w:w="2847"/>
        <w:gridCol w:w="3553"/>
      </w:tblGrid>
      <w:tr w:rsidR="003C299D">
        <w:tblPrEx>
          <w:tblCellMar>
            <w:top w:w="0" w:type="dxa"/>
            <w:bottom w:w="0" w:type="dxa"/>
          </w:tblCellMar>
        </w:tblPrEx>
        <w:trPr>
          <w:tblHeader/>
        </w:trPr>
        <w:tc>
          <w:tcPr>
            <w:tcW w:w="7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Grade</w:t>
            </w:r>
          </w:p>
        </w:tc>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Job Level</w:t>
            </w:r>
          </w:p>
        </w:tc>
        <w:tc>
          <w:tcPr>
            <w:tcW w:w="28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Typical Titles</w:t>
            </w:r>
          </w:p>
        </w:tc>
        <w:tc>
          <w:tcPr>
            <w:tcW w:w="36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Base Salary Range (USD, US Market)</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1–2</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Junior Individual Contributor</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Analyst I/II, Associate I/II</w:t>
            </w:r>
          </w:p>
        </w:tc>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$55,000 – $80,000</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3–4</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Senior Individual Contributor</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Senior Analyst, Specialist, Engineer</w:t>
            </w:r>
          </w:p>
        </w:tc>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$80,000 – $115,000</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5–6</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Lead / Principal</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Lead Engineer, Principal Consultant, Senior Specialist</w:t>
            </w:r>
          </w:p>
        </w:tc>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$115,000 – $165,000</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7–8</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Manager / Director</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Manager, Senior Manager, Director</w:t>
            </w:r>
          </w:p>
        </w:tc>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$150,000 – $220,000</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9–10</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Senior Director / VP</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Senior Director, Vice President</w:t>
            </w:r>
          </w:p>
        </w:tc>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$210,000 – $330,000</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11–12</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ELT / C-Suite</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SVP, EVP, C-Suite Officers</w:t>
            </w:r>
          </w:p>
        </w:tc>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$310,000+ (plus long-term incentives)</w:t>
            </w:r>
          </w:p>
        </w:tc>
      </w:tr>
    </w:tbl>
    <w:p w:rsidR="003C299D" w:rsidRDefault="003C299D">
      <w:pPr>
        <w:spacing w:before="100" w:after="100"/>
      </w:pPr>
    </w:p>
    <w:p w:rsidR="003C299D" w:rsidRDefault="00E2045C">
      <w:pPr>
        <w:pBdr>
          <w:left w:val="single" w:sz="12" w:space="8" w:color="2E75B6"/>
        </w:pBdr>
        <w:spacing w:before="120" w:after="120"/>
        <w:ind w:left="360" w:right="360"/>
      </w:pPr>
      <w:r>
        <w:rPr>
          <w:b/>
          <w:bCs/>
          <w:color w:val="2E75B6"/>
          <w:sz w:val="20"/>
          <w:szCs w:val="20"/>
        </w:rPr>
        <w:t xml:space="preserve">NOTE: </w:t>
      </w:r>
      <w:r>
        <w:rPr>
          <w:i/>
          <w:iCs/>
          <w:sz w:val="20"/>
          <w:szCs w:val="20"/>
        </w:rPr>
        <w:t>Pay bands are reviewed annually and may be adjusted based on market movement, internal equity analysis, and company financial performance. All salary changes must be approved through the HRIS system with dual approval (Manager + HR Business Partner) before</w:t>
      </w:r>
      <w:r>
        <w:rPr>
          <w:i/>
          <w:iCs/>
          <w:sz w:val="20"/>
          <w:szCs w:val="20"/>
        </w:rPr>
        <w:t xml:space="preserve"> communication to the employee.</w:t>
      </w:r>
    </w:p>
    <w:p w:rsidR="003C299D" w:rsidRDefault="00E2045C">
      <w:pPr>
        <w:pStyle w:val="Heading3"/>
      </w:pPr>
      <w:r>
        <w:t>3.3.3 Variable Pay — Short-Term Incentive (STI)</w:t>
      </w:r>
    </w:p>
    <w:p w:rsidR="003C299D" w:rsidRDefault="00E2045C">
      <w:pPr>
        <w:spacing w:before="80" w:after="100" w:line="276" w:lineRule="auto"/>
        <w:jc w:val="both"/>
      </w:pPr>
      <w:r>
        <w:lastRenderedPageBreak/>
        <w:t xml:space="preserve">The STI </w:t>
      </w:r>
      <w:proofErr w:type="spellStart"/>
      <w:r>
        <w:t>programme</w:t>
      </w:r>
      <w:proofErr w:type="spellEnd"/>
      <w:r>
        <w:t xml:space="preserve"> (</w:t>
      </w:r>
      <w:proofErr w:type="spellStart"/>
      <w:r>
        <w:t>NexaBonus</w:t>
      </w:r>
      <w:proofErr w:type="spellEnd"/>
      <w:r>
        <w:t>™) is an annual cash incentive plan available to all employees at Grade 3 and above. STI targets are expressed as a percentage of annual base salary</w:t>
      </w:r>
      <w:r>
        <w:t xml:space="preserve"> and increase with seniority. Final STI payouts are determined by the product of Company Performance Multiplier (CPM) and Individual Performance Rating (IPR).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gridCol w:w="4680"/>
      </w:tblGrid>
      <w:tr w:rsidR="003C299D">
        <w:tblPrEx>
          <w:tblCellMar>
            <w:top w:w="0" w:type="dxa"/>
            <w:bottom w:w="0" w:type="dxa"/>
          </w:tblCellMar>
        </w:tblPrEx>
        <w:trPr>
          <w:tblHeader/>
        </w:trPr>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Grade</w:t>
            </w:r>
          </w:p>
        </w:tc>
        <w:tc>
          <w:tcPr>
            <w:tcW w:w="28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STI Target % of Base</w:t>
            </w:r>
          </w:p>
        </w:tc>
        <w:tc>
          <w:tcPr>
            <w:tcW w:w="46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Max STI Payout (200% CPM + Exceptional IPR)</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3–4</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10%</w:t>
            </w:r>
          </w:p>
        </w:tc>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20% of base salary</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5–6</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15%</w:t>
            </w:r>
          </w:p>
        </w:tc>
        <w:tc>
          <w:tcPr>
            <w:tcW w:w="46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30% of base salary</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7–8</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25%</w:t>
            </w:r>
          </w:p>
        </w:tc>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50% of base salary</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9–10</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40%</w:t>
            </w:r>
          </w:p>
        </w:tc>
        <w:tc>
          <w:tcPr>
            <w:tcW w:w="46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80% of base salary</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11–12</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60–100%</w:t>
            </w:r>
          </w:p>
        </w:tc>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120–200% of base salary</w:t>
            </w:r>
          </w:p>
        </w:tc>
      </w:tr>
    </w:tbl>
    <w:p w:rsidR="003C299D" w:rsidRDefault="003C299D">
      <w:pPr>
        <w:spacing w:before="100" w:after="100"/>
      </w:pPr>
    </w:p>
    <w:p w:rsidR="003C299D" w:rsidRDefault="00E2045C">
      <w:pPr>
        <w:pStyle w:val="Heading3"/>
      </w:pPr>
      <w:r>
        <w:t xml:space="preserve">3.3.4 Long-Term Incentive (LTI) </w:t>
      </w:r>
      <w:proofErr w:type="spellStart"/>
      <w:r>
        <w:t>Programme</w:t>
      </w:r>
      <w:proofErr w:type="spellEnd"/>
    </w:p>
    <w:p w:rsidR="003C299D" w:rsidRDefault="00E2045C">
      <w:pPr>
        <w:spacing w:before="80" w:after="100" w:line="276" w:lineRule="auto"/>
        <w:jc w:val="both"/>
      </w:pPr>
      <w:r>
        <w:t xml:space="preserve">The </w:t>
      </w:r>
      <w:proofErr w:type="spellStart"/>
      <w:r>
        <w:t>NexaEquity</w:t>
      </w:r>
      <w:proofErr w:type="spellEnd"/>
      <w:r>
        <w:t xml:space="preserve">™ LTI </w:t>
      </w:r>
      <w:proofErr w:type="spellStart"/>
      <w:r>
        <w:t>programme</w:t>
      </w:r>
      <w:proofErr w:type="spellEnd"/>
      <w:r>
        <w:t xml:space="preserve"> provides eligible employees (Grade 7 and above) with equity-based compensation in the form of Restricted Stock Units (RSUs) that vest over a four-year period using a 1-year cliff followed by quarterly vesting (25% after Year 1</w:t>
      </w:r>
      <w:r>
        <w:t>, then 6.25% per quarter for 12 additional quarters). LTI awards are discretionary and are made annually in February following the prior year's performance review cycle.</w:t>
      </w:r>
    </w:p>
    <w:p w:rsidR="003C299D" w:rsidRDefault="00E2045C">
      <w:pPr>
        <w:pStyle w:val="Heading3"/>
      </w:pPr>
      <w:r>
        <w:t>3.3.5 Payroll Administration</w:t>
      </w:r>
    </w:p>
    <w:p w:rsidR="003C299D" w:rsidRDefault="00E2045C">
      <w:pPr>
        <w:spacing w:before="80" w:after="100" w:line="276" w:lineRule="auto"/>
        <w:jc w:val="both"/>
      </w:pPr>
      <w:proofErr w:type="spellStart"/>
      <w:r>
        <w:t>NexaCorp</w:t>
      </w:r>
      <w:proofErr w:type="spellEnd"/>
      <w:r>
        <w:t xml:space="preserve"> processes payroll on a semi-monthly basis (on the 15th and last business day of each month for salaried employees). Hourly employees are paid bi-weekly. Direct deposit is mandatory for all US employees. Employees must maintain current bank account</w:t>
      </w:r>
      <w:r>
        <w:t xml:space="preserve"> information in the HRIS self-service portal. </w:t>
      </w:r>
      <w:proofErr w:type="spellStart"/>
      <w:r>
        <w:t>NexaCorp</w:t>
      </w:r>
      <w:proofErr w:type="spellEnd"/>
      <w:r>
        <w:t xml:space="preserve"> is not responsible for delays caused by employee-provided incorrect banking information.</w:t>
      </w:r>
    </w:p>
    <w:p w:rsidR="003C299D" w:rsidRDefault="00E2045C">
      <w:pPr>
        <w:spacing w:before="80" w:after="100" w:line="276" w:lineRule="auto"/>
        <w:jc w:val="both"/>
      </w:pPr>
      <w:r>
        <w:t>All changes to bank account details must be verified through a two-step authentication process and approved by H</w:t>
      </w:r>
      <w:r>
        <w:t>R Operations within 3 business days. This safeguard exists to prevent payroll fraud and social engineering attacks.</w:t>
      </w:r>
    </w:p>
    <w:p w:rsidR="003C299D" w:rsidRDefault="00E2045C">
      <w:pPr>
        <w:pStyle w:val="Heading3"/>
      </w:pPr>
      <w:r>
        <w:t>3.3.6 Overtime Policy</w:t>
      </w:r>
    </w:p>
    <w:p w:rsidR="003C299D" w:rsidRDefault="00E2045C">
      <w:pPr>
        <w:spacing w:before="80" w:after="100" w:line="276" w:lineRule="auto"/>
        <w:jc w:val="both"/>
      </w:pPr>
      <w:r>
        <w:t>Non-exempt employees who work more than 40 hours in any workweek are entitled to overtime pay at the rate of 1.5 times</w:t>
      </w:r>
      <w:r>
        <w:t xml:space="preserve"> their regular rate of pay for all hours in excess of 40. In California and other applicable states, daily overtime (hours in excess of 8 per day) and double-time rules apply as mandated by state law. All overtime must be pre-approved in writing by the emp</w:t>
      </w:r>
      <w:r>
        <w:t>loyee's direct manager before the hours are worked. Retroactive overtime approval is permitted only in documented emergency situations.</w:t>
      </w:r>
    </w:p>
    <w:p w:rsidR="003C299D" w:rsidRDefault="00E2045C">
      <w:pPr>
        <w:pBdr>
          <w:left w:val="single" w:sz="12" w:space="8" w:color="E36B00"/>
        </w:pBdr>
        <w:spacing w:before="120" w:after="120"/>
        <w:ind w:left="360" w:right="360"/>
      </w:pPr>
      <w:r>
        <w:rPr>
          <w:b/>
          <w:bCs/>
          <w:color w:val="E36B00"/>
          <w:sz w:val="20"/>
          <w:szCs w:val="20"/>
        </w:rPr>
        <w:t xml:space="preserve">WARNING: </w:t>
      </w:r>
      <w:r>
        <w:rPr>
          <w:i/>
          <w:iCs/>
          <w:sz w:val="20"/>
          <w:szCs w:val="20"/>
        </w:rPr>
        <w:t>Managers who systematically discourage employees from recording all hours worked — including through indirect m</w:t>
      </w:r>
      <w:r>
        <w:rPr>
          <w:i/>
          <w:iCs/>
          <w:sz w:val="20"/>
          <w:szCs w:val="20"/>
        </w:rPr>
        <w:t xml:space="preserve">eans such as cultural pressure — are in violation of the FLSA and </w:t>
      </w:r>
      <w:proofErr w:type="spellStart"/>
      <w:r>
        <w:rPr>
          <w:i/>
          <w:iCs/>
          <w:sz w:val="20"/>
          <w:szCs w:val="20"/>
        </w:rPr>
        <w:t>NexaCorp</w:t>
      </w:r>
      <w:proofErr w:type="spellEnd"/>
      <w:r>
        <w:rPr>
          <w:i/>
          <w:iCs/>
          <w:sz w:val="20"/>
          <w:szCs w:val="20"/>
        </w:rPr>
        <w:t xml:space="preserve"> policy and will be subject to immediate disciplinary action.</w:t>
      </w:r>
    </w:p>
    <w:p w:rsidR="003C299D" w:rsidRDefault="00E2045C">
      <w:pPr>
        <w:pStyle w:val="Heading2"/>
      </w:pPr>
      <w:r>
        <w:t>3.4 Benefits &amp; Employee Wellness</w:t>
      </w:r>
    </w:p>
    <w:p w:rsidR="003C299D" w:rsidRDefault="00E2045C">
      <w:pPr>
        <w:pStyle w:val="Heading3"/>
      </w:pPr>
      <w:r>
        <w:t>3.4.1 Benefits Philosophy</w:t>
      </w:r>
    </w:p>
    <w:p w:rsidR="003C299D" w:rsidRDefault="00E2045C">
      <w:pPr>
        <w:spacing w:before="80" w:after="100" w:line="276" w:lineRule="auto"/>
        <w:jc w:val="both"/>
      </w:pPr>
      <w:proofErr w:type="spellStart"/>
      <w:r>
        <w:lastRenderedPageBreak/>
        <w:t>NexaCorp's</w:t>
      </w:r>
      <w:proofErr w:type="spellEnd"/>
      <w:r>
        <w:t xml:space="preserve"> benefits package is designed to support the whole employee — physical health, mental wellbeing, financial security, and family needs. The company reviews its benefits offerings annually and benchmarks against the top quartile of technology secto</w:t>
      </w:r>
      <w:r>
        <w:t>r employers in each market. Benefits eligibility is determined by employment classification and geography. The following applies to US-based full-time employees unless otherwise stated.</w:t>
      </w:r>
    </w:p>
    <w:p w:rsidR="003C299D" w:rsidRDefault="00E2045C">
      <w:pPr>
        <w:pStyle w:val="Heading3"/>
      </w:pPr>
      <w:r>
        <w:t>3.4.2 Medical, Dental &amp; Vision 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9"/>
        <w:gridCol w:w="1263"/>
        <w:gridCol w:w="2024"/>
        <w:gridCol w:w="1936"/>
        <w:gridCol w:w="1300"/>
        <w:gridCol w:w="1318"/>
      </w:tblGrid>
      <w:tr w:rsidR="003C299D">
        <w:tblPrEx>
          <w:tblCellMar>
            <w:top w:w="0" w:type="dxa"/>
            <w:bottom w:w="0" w:type="dxa"/>
          </w:tblCellMar>
        </w:tblPrEx>
        <w:trPr>
          <w:tblHeader/>
        </w:trPr>
        <w:tc>
          <w:tcPr>
            <w:tcW w:w="24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Plan</w:t>
            </w:r>
          </w:p>
        </w:tc>
        <w:tc>
          <w:tcPr>
            <w:tcW w:w="15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Employee Premium (Monthly</w:t>
            </w:r>
            <w:r>
              <w:rPr>
                <w:b/>
                <w:bCs/>
                <w:color w:val="FFFFFF"/>
                <w:sz w:val="20"/>
                <w:szCs w:val="20"/>
              </w:rPr>
              <w:t>)</w:t>
            </w:r>
          </w:p>
        </w:tc>
        <w:tc>
          <w:tcPr>
            <w:tcW w:w="15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proofErr w:type="spellStart"/>
            <w:r>
              <w:rPr>
                <w:b/>
                <w:bCs/>
                <w:color w:val="FFFFFF"/>
                <w:sz w:val="20"/>
                <w:szCs w:val="20"/>
              </w:rPr>
              <w:t>Employee+Spouse</w:t>
            </w:r>
            <w:proofErr w:type="spellEnd"/>
          </w:p>
        </w:tc>
        <w:tc>
          <w:tcPr>
            <w:tcW w:w="15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proofErr w:type="spellStart"/>
            <w:r>
              <w:rPr>
                <w:b/>
                <w:bCs/>
                <w:color w:val="FFFFFF"/>
                <w:sz w:val="20"/>
                <w:szCs w:val="20"/>
              </w:rPr>
              <w:t>Employee+Family</w:t>
            </w:r>
            <w:proofErr w:type="spellEnd"/>
          </w:p>
        </w:tc>
        <w:tc>
          <w:tcPr>
            <w:tcW w:w="14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Deductible</w:t>
            </w:r>
          </w:p>
        </w:tc>
        <w:tc>
          <w:tcPr>
            <w:tcW w:w="18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Out-of-Pocket Max</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proofErr w:type="spellStart"/>
            <w:r>
              <w:rPr>
                <w:sz w:val="19"/>
                <w:szCs w:val="19"/>
              </w:rPr>
              <w:t>NexaCare</w:t>
            </w:r>
            <w:proofErr w:type="spellEnd"/>
            <w:r>
              <w:rPr>
                <w:sz w:val="19"/>
                <w:szCs w:val="19"/>
              </w:rPr>
              <w:t>™ Premium PPO</w:t>
            </w:r>
          </w:p>
        </w:tc>
        <w:tc>
          <w:tcPr>
            <w:tcW w:w="1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$85</w:t>
            </w:r>
          </w:p>
        </w:tc>
        <w:tc>
          <w:tcPr>
            <w:tcW w:w="1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$215</w:t>
            </w:r>
          </w:p>
        </w:tc>
        <w:tc>
          <w:tcPr>
            <w:tcW w:w="1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$310</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$500 individual</w:t>
            </w:r>
          </w:p>
        </w:tc>
        <w:tc>
          <w:tcPr>
            <w:tcW w:w="18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$2,500 individual</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proofErr w:type="spellStart"/>
            <w:r>
              <w:rPr>
                <w:sz w:val="19"/>
                <w:szCs w:val="19"/>
              </w:rPr>
              <w:t>NexaCare</w:t>
            </w:r>
            <w:proofErr w:type="spellEnd"/>
            <w:r>
              <w:rPr>
                <w:sz w:val="19"/>
                <w:szCs w:val="19"/>
              </w:rPr>
              <w:t>™ Value HMO</w:t>
            </w:r>
          </w:p>
        </w:tc>
        <w:tc>
          <w:tcPr>
            <w:tcW w:w="15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$35</w:t>
            </w:r>
          </w:p>
        </w:tc>
        <w:tc>
          <w:tcPr>
            <w:tcW w:w="15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$105</w:t>
            </w:r>
          </w:p>
        </w:tc>
        <w:tc>
          <w:tcPr>
            <w:tcW w:w="15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$155</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$250 individual</w:t>
            </w:r>
          </w:p>
        </w:tc>
        <w:tc>
          <w:tcPr>
            <w:tcW w:w="18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$1,500 individual</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proofErr w:type="spellStart"/>
            <w:r>
              <w:rPr>
                <w:sz w:val="19"/>
                <w:szCs w:val="19"/>
              </w:rPr>
              <w:t>NexaCare</w:t>
            </w:r>
            <w:proofErr w:type="spellEnd"/>
            <w:r>
              <w:rPr>
                <w:sz w:val="19"/>
                <w:szCs w:val="19"/>
              </w:rPr>
              <w:t>™ HDHP + HSA</w:t>
            </w:r>
          </w:p>
        </w:tc>
        <w:tc>
          <w:tcPr>
            <w:tcW w:w="1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$0</w:t>
            </w:r>
          </w:p>
        </w:tc>
        <w:tc>
          <w:tcPr>
            <w:tcW w:w="1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$80</w:t>
            </w:r>
          </w:p>
        </w:tc>
        <w:tc>
          <w:tcPr>
            <w:tcW w:w="1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$120</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$1,400 individual</w:t>
            </w:r>
          </w:p>
        </w:tc>
        <w:tc>
          <w:tcPr>
            <w:tcW w:w="18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$3,200 individual</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Delta Dental Plus</w:t>
            </w:r>
          </w:p>
        </w:tc>
        <w:tc>
          <w:tcPr>
            <w:tcW w:w="15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$12</w:t>
            </w:r>
          </w:p>
        </w:tc>
        <w:tc>
          <w:tcPr>
            <w:tcW w:w="15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$32</w:t>
            </w:r>
          </w:p>
        </w:tc>
        <w:tc>
          <w:tcPr>
            <w:tcW w:w="15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$55</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$50 per person</w:t>
            </w:r>
          </w:p>
        </w:tc>
        <w:tc>
          <w:tcPr>
            <w:tcW w:w="18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$1,500 annual max (100% preventive)</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VSP Vision Select</w:t>
            </w:r>
          </w:p>
        </w:tc>
        <w:tc>
          <w:tcPr>
            <w:tcW w:w="1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$6</w:t>
            </w:r>
          </w:p>
        </w:tc>
        <w:tc>
          <w:tcPr>
            <w:tcW w:w="1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$14</w:t>
            </w:r>
          </w:p>
        </w:tc>
        <w:tc>
          <w:tcPr>
            <w:tcW w:w="1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$20</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$20 exam copay</w:t>
            </w:r>
          </w:p>
        </w:tc>
        <w:tc>
          <w:tcPr>
            <w:tcW w:w="18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$200 frames allowance</w:t>
            </w:r>
          </w:p>
        </w:tc>
      </w:tr>
    </w:tbl>
    <w:p w:rsidR="003C299D" w:rsidRDefault="003C299D">
      <w:pPr>
        <w:spacing w:before="100" w:after="100"/>
      </w:pPr>
    </w:p>
    <w:p w:rsidR="003C299D" w:rsidRDefault="00E2045C">
      <w:pPr>
        <w:pBdr>
          <w:left w:val="single" w:sz="12" w:space="8" w:color="2E75B6"/>
        </w:pBdr>
        <w:spacing w:before="120" w:after="120"/>
        <w:ind w:left="360" w:right="360"/>
      </w:pPr>
      <w:r>
        <w:rPr>
          <w:b/>
          <w:bCs/>
          <w:color w:val="2E75B6"/>
          <w:sz w:val="20"/>
          <w:szCs w:val="20"/>
        </w:rPr>
        <w:t xml:space="preserve">NOTE: </w:t>
      </w:r>
      <w:proofErr w:type="spellStart"/>
      <w:r>
        <w:rPr>
          <w:i/>
          <w:iCs/>
          <w:sz w:val="20"/>
          <w:szCs w:val="20"/>
        </w:rPr>
        <w:t>NexaCorp</w:t>
      </w:r>
      <w:proofErr w:type="spellEnd"/>
      <w:r>
        <w:rPr>
          <w:i/>
          <w:iCs/>
          <w:sz w:val="20"/>
          <w:szCs w:val="20"/>
        </w:rPr>
        <w:t xml:space="preserve"> contributes $800/year to the HSA of employees enrolled in the HDHP plan. Unused HSA balances roll over year-to-year and are portable. Employees leaving </w:t>
      </w:r>
      <w:proofErr w:type="spellStart"/>
      <w:r>
        <w:rPr>
          <w:i/>
          <w:iCs/>
          <w:sz w:val="20"/>
          <w:szCs w:val="20"/>
        </w:rPr>
        <w:t>NexaCorp</w:t>
      </w:r>
      <w:proofErr w:type="spellEnd"/>
      <w:r>
        <w:rPr>
          <w:i/>
          <w:iCs/>
          <w:sz w:val="20"/>
          <w:szCs w:val="20"/>
        </w:rPr>
        <w:t xml:space="preserve"> retain their accumulated HSA balance.</w:t>
      </w:r>
    </w:p>
    <w:p w:rsidR="003C299D" w:rsidRDefault="00E2045C">
      <w:pPr>
        <w:pStyle w:val="Heading3"/>
      </w:pPr>
      <w:r>
        <w:t>3.4.3 Retirement &amp; Financial Benefits</w:t>
      </w:r>
    </w:p>
    <w:p w:rsidR="003C299D" w:rsidRDefault="00E2045C">
      <w:pPr>
        <w:spacing w:before="80" w:after="100" w:line="276" w:lineRule="auto"/>
        <w:jc w:val="both"/>
      </w:pPr>
      <w:proofErr w:type="spellStart"/>
      <w:r>
        <w:t>NexaCorp</w:t>
      </w:r>
      <w:proofErr w:type="spellEnd"/>
      <w:r>
        <w:t xml:space="preserve"> o</w:t>
      </w:r>
      <w:r>
        <w:t xml:space="preserve">ffers a 401(k) plan with the following features: Employee contributions up to the IRS annual limit ($23,000 for 2025; $30,500 for employees age 50+); </w:t>
      </w:r>
      <w:proofErr w:type="spellStart"/>
      <w:r>
        <w:t>NexaCorp</w:t>
      </w:r>
      <w:proofErr w:type="spellEnd"/>
      <w:r>
        <w:t xml:space="preserve"> matches 100% of the first 4% of eligible compensation contributed by the employee, immediately ve</w:t>
      </w:r>
      <w:r>
        <w:t>sted; an additional discretionary profit-sharing contribution of up to 2% of eligible compensation based on company financial performance, subject to a 3-year graded vesting schedule (33%/67%/100%).</w:t>
      </w:r>
    </w:p>
    <w:p w:rsidR="003C299D" w:rsidRDefault="00E2045C">
      <w:pPr>
        <w:spacing w:before="80" w:after="100" w:line="276" w:lineRule="auto"/>
        <w:jc w:val="both"/>
      </w:pPr>
      <w:r>
        <w:t xml:space="preserve">Additional financial wellness benefits include: Employee </w:t>
      </w:r>
      <w:r>
        <w:t xml:space="preserve">Stock Purchase Plan (ESPP) with a 15% discount on </w:t>
      </w:r>
      <w:proofErr w:type="spellStart"/>
      <w:r>
        <w:t>NexaCorp</w:t>
      </w:r>
      <w:proofErr w:type="spellEnd"/>
      <w:r>
        <w:t xml:space="preserve"> stock purchased at the lower of the beginning or end of each 6-month purchase period; Group Term Life Insurance at 2x base salary (up to $500,000) at no cost to the employee; Short-Term Disability </w:t>
      </w:r>
      <w:r>
        <w:t>coverage at 60% of base salary for up to 12 weeks; Long-Term Disability coverage at 60% of base salary to age 65 after a 90-day elimination period.</w:t>
      </w:r>
    </w:p>
    <w:p w:rsidR="003C299D" w:rsidRDefault="00E2045C">
      <w:pPr>
        <w:pStyle w:val="Heading3"/>
      </w:pPr>
      <w:r>
        <w:t>3.4.4 Mental Health &amp; Wellbeing</w:t>
      </w:r>
    </w:p>
    <w:p w:rsidR="003C299D" w:rsidRDefault="00E2045C">
      <w:pPr>
        <w:spacing w:before="80" w:after="100" w:line="276" w:lineRule="auto"/>
        <w:jc w:val="both"/>
      </w:pPr>
      <w:proofErr w:type="spellStart"/>
      <w:r>
        <w:t>NexaCorp</w:t>
      </w:r>
      <w:proofErr w:type="spellEnd"/>
      <w:r>
        <w:t xml:space="preserve"> </w:t>
      </w:r>
      <w:proofErr w:type="spellStart"/>
      <w:r>
        <w:t>recognises</w:t>
      </w:r>
      <w:proofErr w:type="spellEnd"/>
      <w:r>
        <w:t xml:space="preserve"> that mental health is inseparable from professional perf</w:t>
      </w:r>
      <w:r>
        <w:t>ormance and personal fulfilment. The following resources are available to all employees and their immediate household members at no cost:</w:t>
      </w:r>
    </w:p>
    <w:p w:rsidR="003C299D" w:rsidRDefault="00E2045C">
      <w:pPr>
        <w:pStyle w:val="ListParagraph"/>
        <w:numPr>
          <w:ilvl w:val="0"/>
          <w:numId w:val="2"/>
        </w:numPr>
        <w:spacing w:before="60" w:after="60"/>
      </w:pPr>
      <w:r>
        <w:lastRenderedPageBreak/>
        <w:t xml:space="preserve">Employee Assistance </w:t>
      </w:r>
      <w:proofErr w:type="spellStart"/>
      <w:r>
        <w:t>Programme</w:t>
      </w:r>
      <w:proofErr w:type="spellEnd"/>
      <w:r>
        <w:t xml:space="preserve"> (EAP) via </w:t>
      </w:r>
      <w:proofErr w:type="spellStart"/>
      <w:r>
        <w:t>ComPsych</w:t>
      </w:r>
      <w:proofErr w:type="spellEnd"/>
      <w:r>
        <w:t xml:space="preserve">® </w:t>
      </w:r>
      <w:proofErr w:type="spellStart"/>
      <w:r>
        <w:t>GuidanceResources</w:t>
      </w:r>
      <w:proofErr w:type="spellEnd"/>
      <w:r>
        <w:t>: up to 8 free counselling sessions per issue per year; 24/7 crisis line; financial and legal consultation; childcare and eldercare referrals.</w:t>
      </w:r>
    </w:p>
    <w:p w:rsidR="003C299D" w:rsidRDefault="00E2045C">
      <w:pPr>
        <w:pStyle w:val="ListParagraph"/>
        <w:numPr>
          <w:ilvl w:val="0"/>
          <w:numId w:val="2"/>
        </w:numPr>
        <w:spacing w:before="60" w:after="60"/>
      </w:pPr>
      <w:proofErr w:type="spellStart"/>
      <w:r>
        <w:t>NexaMind</w:t>
      </w:r>
      <w:proofErr w:type="spellEnd"/>
      <w:r>
        <w:t xml:space="preserve">™ App: Curated digital mental wellness platform with guided meditation, sleep content, stress assessments, and therapist video sessions ($0 copay for </w:t>
      </w:r>
      <w:proofErr w:type="spellStart"/>
      <w:r>
        <w:t>NexaCorp</w:t>
      </w:r>
      <w:proofErr w:type="spellEnd"/>
      <w:r>
        <w:t>-enrolled employees).</w:t>
      </w:r>
    </w:p>
    <w:p w:rsidR="003C299D" w:rsidRDefault="00E2045C">
      <w:pPr>
        <w:pStyle w:val="ListParagraph"/>
        <w:numPr>
          <w:ilvl w:val="0"/>
          <w:numId w:val="2"/>
        </w:numPr>
        <w:spacing w:before="60" w:after="60"/>
      </w:pPr>
      <w:r>
        <w:t>Mental Health Days: 3 designated Mental Health Days per calendar yea</w:t>
      </w:r>
      <w:r>
        <w:t>r (in addition to PTO) that may be taken without medical documentation. Announced to manager same-day.</w:t>
      </w:r>
    </w:p>
    <w:p w:rsidR="003C299D" w:rsidRDefault="00E2045C">
      <w:pPr>
        <w:pStyle w:val="ListParagraph"/>
        <w:numPr>
          <w:ilvl w:val="0"/>
          <w:numId w:val="2"/>
        </w:numPr>
        <w:spacing w:before="60" w:after="60"/>
      </w:pPr>
      <w:r>
        <w:t>Compassionate Leave: Up to 5 paid days per event for bereavement or family crisis, in addition to state-mandated bereavement entitlements.</w:t>
      </w:r>
    </w:p>
    <w:p w:rsidR="003C299D" w:rsidRDefault="00E2045C">
      <w:pPr>
        <w:pStyle w:val="ListParagraph"/>
        <w:numPr>
          <w:ilvl w:val="0"/>
          <w:numId w:val="2"/>
        </w:numPr>
        <w:spacing w:before="60" w:after="60"/>
      </w:pPr>
      <w:r>
        <w:t>Quarterly Well</w:t>
      </w:r>
      <w:r>
        <w:t>being Stipend: $150/quarter reimbursable towards gym memberships, fitness equipment, nutrition coaching, or approved wellness expenditures.</w:t>
      </w:r>
    </w:p>
    <w:p w:rsidR="003C299D" w:rsidRDefault="00E2045C">
      <w:pPr>
        <w:pStyle w:val="Heading3"/>
      </w:pPr>
      <w:r>
        <w:t>3.4.5 Family &amp; Parental 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920"/>
        <w:gridCol w:w="2040"/>
        <w:gridCol w:w="2880"/>
      </w:tblGrid>
      <w:tr w:rsidR="003C299D">
        <w:tblPrEx>
          <w:tblCellMar>
            <w:top w:w="0" w:type="dxa"/>
            <w:bottom w:w="0" w:type="dxa"/>
          </w:tblCellMar>
        </w:tblPrEx>
        <w:trPr>
          <w:tblHeader/>
        </w:trPr>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Benefit</w:t>
            </w:r>
          </w:p>
        </w:tc>
        <w:tc>
          <w:tcPr>
            <w:tcW w:w="19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Entitlement</w:t>
            </w:r>
          </w:p>
        </w:tc>
        <w:tc>
          <w:tcPr>
            <w:tcW w:w="20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Eligibility</w:t>
            </w:r>
          </w:p>
        </w:tc>
        <w:tc>
          <w:tcPr>
            <w:tcW w:w="28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Notes</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Parental Leave — Primary Caregiver</w:t>
            </w:r>
          </w:p>
        </w:tc>
        <w:tc>
          <w:tcPr>
            <w:tcW w:w="1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20 weeks paid at 100% base</w:t>
            </w:r>
          </w:p>
        </w:tc>
        <w:tc>
          <w:tcPr>
            <w:tcW w:w="20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All full-time employees; 12 months tenure</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Inclusive of birth, adoption, foster placement</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Parental Leave — Secondary Caregiver</w:t>
            </w:r>
          </w:p>
        </w:tc>
        <w:tc>
          <w:tcPr>
            <w:tcW w:w="1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8 weeks paid at 100% base</w:t>
            </w:r>
          </w:p>
        </w:tc>
        <w:tc>
          <w:tcPr>
            <w:tcW w:w="20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All full-time employees; 12 months tenure</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Must commence within 12 months of </w:t>
            </w:r>
            <w:r>
              <w:rPr>
                <w:sz w:val="19"/>
                <w:szCs w:val="19"/>
              </w:rPr>
              <w:t>qualifying event</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Fertility Treatment Support</w:t>
            </w:r>
          </w:p>
        </w:tc>
        <w:tc>
          <w:tcPr>
            <w:tcW w:w="1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$25,000 lifetime benefit</w:t>
            </w:r>
          </w:p>
        </w:tc>
        <w:tc>
          <w:tcPr>
            <w:tcW w:w="20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All insured employees</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IVF, egg freezing, surrogacy, adoption assistance</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Back-up Childcare</w:t>
            </w:r>
          </w:p>
        </w:tc>
        <w:tc>
          <w:tcPr>
            <w:tcW w:w="1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20 days/year via Bright Horizons</w:t>
            </w:r>
          </w:p>
        </w:tc>
        <w:tc>
          <w:tcPr>
            <w:tcW w:w="20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All full-time employees</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In-</w:t>
            </w:r>
            <w:proofErr w:type="spellStart"/>
            <w:r>
              <w:rPr>
                <w:sz w:val="19"/>
                <w:szCs w:val="19"/>
              </w:rPr>
              <w:t>centre</w:t>
            </w:r>
            <w:proofErr w:type="spellEnd"/>
            <w:r>
              <w:rPr>
                <w:sz w:val="19"/>
                <w:szCs w:val="19"/>
              </w:rPr>
              <w:t xml:space="preserve"> or in-home care; $10 copay per day</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Dependent Care FSA</w:t>
            </w:r>
          </w:p>
        </w:tc>
        <w:tc>
          <w:tcPr>
            <w:tcW w:w="1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Up to $5,000/year pre-tax</w:t>
            </w:r>
          </w:p>
        </w:tc>
        <w:tc>
          <w:tcPr>
            <w:tcW w:w="20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All benefits-eligible employees</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Use-it-or-lose-it with 2.5-month grace period</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Lactation Accommodation</w:t>
            </w:r>
          </w:p>
        </w:tc>
        <w:tc>
          <w:tcPr>
            <w:tcW w:w="1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Private space + break time</w:t>
            </w:r>
          </w:p>
        </w:tc>
        <w:tc>
          <w:tcPr>
            <w:tcW w:w="20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All nursing employees</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IT-enabled rooms with refrigeration in all offices</w:t>
            </w:r>
          </w:p>
        </w:tc>
      </w:tr>
    </w:tbl>
    <w:p w:rsidR="003C299D" w:rsidRDefault="003C299D">
      <w:pPr>
        <w:spacing w:before="100" w:after="100"/>
      </w:pPr>
    </w:p>
    <w:p w:rsidR="003C299D" w:rsidRDefault="00E2045C">
      <w:pPr>
        <w:pStyle w:val="Heading2"/>
      </w:pPr>
      <w:r>
        <w:t>3.5 Performance Management</w:t>
      </w:r>
    </w:p>
    <w:p w:rsidR="003C299D" w:rsidRDefault="00E2045C">
      <w:pPr>
        <w:pStyle w:val="Heading3"/>
      </w:pPr>
      <w:r>
        <w:t>3.5.1 Performance Cycle Overview</w:t>
      </w:r>
    </w:p>
    <w:p w:rsidR="003C299D" w:rsidRDefault="00E2045C">
      <w:pPr>
        <w:spacing w:before="80" w:after="100" w:line="276" w:lineRule="auto"/>
        <w:jc w:val="both"/>
      </w:pPr>
      <w:proofErr w:type="spellStart"/>
      <w:r>
        <w:t>NexaCorp</w:t>
      </w:r>
      <w:proofErr w:type="spellEnd"/>
      <w:r>
        <w:t xml:space="preserve"> operates on an annual performance cycle aligned to the calendar year (January 1 – December 31). The cycle is designed to be an ongoing, forward-looking conversation rather than a once-a-year administrative event. Managers and employees are expecte</w:t>
      </w:r>
      <w:r>
        <w:t>d to engage in structured performance conversations at a minimum frequency defined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2880"/>
        <w:gridCol w:w="2520"/>
      </w:tblGrid>
      <w:tr w:rsidR="003C299D">
        <w:tblPrEx>
          <w:tblCellMar>
            <w:top w:w="0" w:type="dxa"/>
            <w:bottom w:w="0" w:type="dxa"/>
          </w:tblCellMar>
        </w:tblPrEx>
        <w:trPr>
          <w:tblHeader/>
        </w:trPr>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Checkpoint</w:t>
            </w:r>
          </w:p>
        </w:tc>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Timing</w:t>
            </w:r>
          </w:p>
        </w:tc>
        <w:tc>
          <w:tcPr>
            <w:tcW w:w="28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Format</w:t>
            </w:r>
          </w:p>
        </w:tc>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Documented in HRIS?</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Goal Setting</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January (within 30 days of new year)</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Manager-Employee 1:1 + HRIS OKR tool</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Yes — mandatory</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Mid-Year Check-In</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June–July</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Structured 1:1 conversation</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 — mandatory</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Informal Pulse Checks</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Monthly (recommended)</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Brief 1:1; no formal template</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Optional</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lastRenderedPageBreak/>
              <w:t>Year-End Review</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November–December</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Self-assessment + manager review + calibration</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 — mandatory</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Calibration Sessions</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December</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Manager cohort discussions facilitated by HR BP</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Summary documented</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Compensation Communication</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February (following year)</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Manager delivers individual letter</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 — via HRIS</w:t>
            </w:r>
          </w:p>
        </w:tc>
      </w:tr>
    </w:tbl>
    <w:p w:rsidR="003C299D" w:rsidRDefault="003C299D">
      <w:pPr>
        <w:spacing w:before="100" w:after="100"/>
      </w:pPr>
    </w:p>
    <w:p w:rsidR="003C299D" w:rsidRDefault="00E2045C">
      <w:pPr>
        <w:pStyle w:val="Heading3"/>
      </w:pPr>
      <w:r>
        <w:t>3.5.2 Goal Framework (OKRs)</w:t>
      </w:r>
    </w:p>
    <w:p w:rsidR="003C299D" w:rsidRDefault="00E2045C">
      <w:pPr>
        <w:spacing w:before="80" w:after="100" w:line="276" w:lineRule="auto"/>
        <w:jc w:val="both"/>
      </w:pPr>
      <w:proofErr w:type="spellStart"/>
      <w:r>
        <w:t>NexaCorp</w:t>
      </w:r>
      <w:proofErr w:type="spellEnd"/>
      <w:r>
        <w:t xml:space="preserve"> uses the Objectives and Key Results (OKR) framework at all levels of the </w:t>
      </w:r>
      <w:proofErr w:type="spellStart"/>
      <w:r>
        <w:t>organisation</w:t>
      </w:r>
      <w:proofErr w:type="spellEnd"/>
      <w:r>
        <w:t>. Each employee is expected to have 3–5 OKRs per year, of which at least one must align directly to team or business-unit level OKRs (cascaded goals). OKRs are se</w:t>
      </w:r>
      <w:r>
        <w:t>t collaboratively between manager and employee and must be specific, measurable, achievable, relevant, and time-bound (SMART). Stretch goals are encouraged and should represent approximately 30% of an employee's OKR portfolio.</w:t>
      </w:r>
    </w:p>
    <w:p w:rsidR="003C299D" w:rsidRDefault="00E2045C">
      <w:pPr>
        <w:pStyle w:val="Heading3"/>
      </w:pPr>
      <w:r>
        <w:t>3.5.3 Performance Ratings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
        <w:gridCol w:w="2135"/>
        <w:gridCol w:w="4111"/>
        <w:gridCol w:w="2251"/>
      </w:tblGrid>
      <w:tr w:rsidR="003C299D">
        <w:tblPrEx>
          <w:tblCellMar>
            <w:top w:w="0" w:type="dxa"/>
            <w:bottom w:w="0" w:type="dxa"/>
          </w:tblCellMar>
        </w:tblPrEx>
        <w:trPr>
          <w:tblHeader/>
        </w:trPr>
        <w:tc>
          <w:tcPr>
            <w:tcW w:w="7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Rat</w:t>
            </w:r>
            <w:r>
              <w:rPr>
                <w:b/>
                <w:bCs/>
                <w:color w:val="FFFFFF"/>
                <w:sz w:val="20"/>
                <w:szCs w:val="20"/>
              </w:rPr>
              <w:t>ing</w:t>
            </w:r>
          </w:p>
        </w:tc>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Label</w:t>
            </w:r>
          </w:p>
        </w:tc>
        <w:tc>
          <w:tcPr>
            <w:tcW w:w="42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Description</w:t>
            </w:r>
          </w:p>
        </w:tc>
        <w:tc>
          <w:tcPr>
            <w:tcW w:w="22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 Distribution (Guideline)</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5</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Exceptional</w:t>
            </w:r>
          </w:p>
        </w:tc>
        <w:tc>
          <w:tcPr>
            <w:tcW w:w="4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Consistently exceeds all goals; role model; measurable impact beyond role scope</w:t>
            </w:r>
          </w:p>
        </w:tc>
        <w:tc>
          <w:tcPr>
            <w:tcW w:w="22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~5%</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4</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Exceeds Expectations</w:t>
            </w:r>
          </w:p>
        </w:tc>
        <w:tc>
          <w:tcPr>
            <w:tcW w:w="4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Meets all goals and exceeds most; produces above-average results</w:t>
            </w:r>
          </w:p>
        </w:tc>
        <w:tc>
          <w:tcPr>
            <w:tcW w:w="22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~20%</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3</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Meets Expectations</w:t>
            </w:r>
          </w:p>
        </w:tc>
        <w:tc>
          <w:tcPr>
            <w:tcW w:w="4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Fully meets all goals; solid, reliable contributor; consistent delivery</w:t>
            </w:r>
          </w:p>
        </w:tc>
        <w:tc>
          <w:tcPr>
            <w:tcW w:w="22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~55%</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Development Needed</w:t>
            </w:r>
          </w:p>
        </w:tc>
        <w:tc>
          <w:tcPr>
            <w:tcW w:w="4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Partially meets goals; improvement required in key areas; PIP may apply</w:t>
            </w:r>
          </w:p>
        </w:tc>
        <w:tc>
          <w:tcPr>
            <w:tcW w:w="22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~15%</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Does Not Meet Expectations</w:t>
            </w:r>
          </w:p>
        </w:tc>
        <w:tc>
          <w:tcPr>
            <w:tcW w:w="4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Significantly misses goals; immediate corrective action required</w:t>
            </w:r>
          </w:p>
        </w:tc>
        <w:tc>
          <w:tcPr>
            <w:tcW w:w="22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~5%</w:t>
            </w:r>
          </w:p>
        </w:tc>
      </w:tr>
    </w:tbl>
    <w:p w:rsidR="003C299D" w:rsidRDefault="003C299D">
      <w:pPr>
        <w:spacing w:before="100" w:after="100"/>
      </w:pPr>
    </w:p>
    <w:p w:rsidR="003C299D" w:rsidRDefault="00E2045C">
      <w:pPr>
        <w:pBdr>
          <w:left w:val="single" w:sz="12" w:space="8" w:color="2E75B6"/>
        </w:pBdr>
        <w:spacing w:before="120" w:after="120"/>
        <w:ind w:left="360" w:right="360"/>
      </w:pPr>
      <w:r>
        <w:rPr>
          <w:b/>
          <w:bCs/>
          <w:color w:val="2E75B6"/>
          <w:sz w:val="20"/>
          <w:szCs w:val="20"/>
        </w:rPr>
        <w:t xml:space="preserve">NOTE: </w:t>
      </w:r>
      <w:r>
        <w:rPr>
          <w:i/>
          <w:iCs/>
          <w:sz w:val="20"/>
          <w:szCs w:val="20"/>
        </w:rPr>
        <w:t>Distribution guidelines are soft targets to inform calibration discussions, not rigid quotas. Forced ranking is prohibited. HR Business Partners will flag departments with distributions significantly outside guidelines for manager coaching.</w:t>
      </w:r>
    </w:p>
    <w:p w:rsidR="003C299D" w:rsidRDefault="00E2045C">
      <w:pPr>
        <w:pStyle w:val="Heading3"/>
      </w:pPr>
      <w:r>
        <w:t>3.5.4 Performance Improvement Plans (PIPs)</w:t>
      </w:r>
    </w:p>
    <w:p w:rsidR="003C299D" w:rsidRDefault="00E2045C">
      <w:pPr>
        <w:spacing w:before="80" w:after="100" w:line="276" w:lineRule="auto"/>
        <w:jc w:val="both"/>
      </w:pPr>
      <w:r>
        <w:t>A Performance Improvement Plan (PIP) is a structured, time-bound tool used to address documented and sustained performance deficiencies. PIPs are not punitive; their purpose is to give the employee a clear underst</w:t>
      </w:r>
      <w:r>
        <w:t>anding of expectations, a realistic timeframe in which to demonstrate improvement, and documented support resources. A PIP is not a precursor to termination but may result in termination if performance does not improve as specified.</w:t>
      </w:r>
    </w:p>
    <w:p w:rsidR="003C299D" w:rsidRDefault="00E2045C">
      <w:pPr>
        <w:spacing w:before="80" w:after="100" w:line="276" w:lineRule="auto"/>
        <w:jc w:val="both"/>
      </w:pPr>
      <w:r>
        <w:t>PIP requirements: Minim</w:t>
      </w:r>
      <w:r>
        <w:t>um 30-day duration (60-day for senior individual contributors and above); specific, measurable success criteria agreed upon in advance; bi-weekly documented check-ins; HR Business Partner involvement from initiation; right to union representation where app</w:t>
      </w:r>
      <w:r>
        <w:t xml:space="preserve">licable. If </w:t>
      </w:r>
      <w:r>
        <w:lastRenderedPageBreak/>
        <w:t>performance meets PIP criteria at conclusion, the PIP is closed with a documented success note. If criteria are not met, the company may extend the PIP, change the employee's role, or proceed with separation.</w:t>
      </w:r>
    </w:p>
    <w:p w:rsidR="003C299D" w:rsidRDefault="00E2045C">
      <w:pPr>
        <w:pStyle w:val="Heading2"/>
      </w:pPr>
      <w:r>
        <w:t>3.6 Learning &amp; Development</w:t>
      </w:r>
    </w:p>
    <w:p w:rsidR="003C299D" w:rsidRDefault="00E2045C">
      <w:pPr>
        <w:pStyle w:val="Heading3"/>
      </w:pPr>
      <w:r>
        <w:t>3.6.1 Le</w:t>
      </w:r>
      <w:r>
        <w:t>arning Philosophy</w:t>
      </w:r>
    </w:p>
    <w:p w:rsidR="003C299D" w:rsidRDefault="00E2045C">
      <w:pPr>
        <w:spacing w:before="80" w:after="100" w:line="276" w:lineRule="auto"/>
        <w:jc w:val="both"/>
      </w:pPr>
      <w:proofErr w:type="spellStart"/>
      <w:r>
        <w:t>NexaCorp</w:t>
      </w:r>
      <w:proofErr w:type="spellEnd"/>
      <w:r>
        <w:t xml:space="preserve"> invests approximately 3.2% of total payroll costs in employee learning and development — above the technology sector median of 2.1% (SHRM Benchmarking, 2024). The company believes that learning is a shared responsibility: </w:t>
      </w:r>
      <w:proofErr w:type="spellStart"/>
      <w:r>
        <w:t>NexaCor</w:t>
      </w:r>
      <w:r>
        <w:t>p</w:t>
      </w:r>
      <w:proofErr w:type="spellEnd"/>
      <w:r>
        <w:t xml:space="preserve"> provides the resources, time, and culture; employees take ownership of their own growth.</w:t>
      </w:r>
    </w:p>
    <w:p w:rsidR="003C299D" w:rsidRDefault="00E2045C">
      <w:pPr>
        <w:pStyle w:val="Heading3"/>
      </w:pPr>
      <w:r>
        <w:t xml:space="preserve">3.6.2 </w:t>
      </w:r>
      <w:proofErr w:type="spellStart"/>
      <w:r>
        <w:t>NexaAcademy</w:t>
      </w:r>
      <w:proofErr w:type="spellEnd"/>
      <w:r>
        <w:t>™ Learning Platform</w:t>
      </w:r>
    </w:p>
    <w:p w:rsidR="003C299D" w:rsidRDefault="00E2045C">
      <w:pPr>
        <w:spacing w:before="80" w:after="100" w:line="276" w:lineRule="auto"/>
        <w:jc w:val="both"/>
      </w:pPr>
      <w:r>
        <w:t xml:space="preserve">All employees have access to </w:t>
      </w:r>
      <w:proofErr w:type="spellStart"/>
      <w:r>
        <w:t>NexaAcademy</w:t>
      </w:r>
      <w:proofErr w:type="spellEnd"/>
      <w:r>
        <w:t xml:space="preserve">™, </w:t>
      </w:r>
      <w:proofErr w:type="spellStart"/>
      <w:r>
        <w:t>NexaCorp's</w:t>
      </w:r>
      <w:proofErr w:type="spellEnd"/>
      <w:r>
        <w:t xml:space="preserve"> proprietary learning management system (LMS), which aggregates 18,000+ learning resources from LinkedIn Learning, Coursera for Business, O'Reilly Technical Library, Harvard </w:t>
      </w:r>
      <w:proofErr w:type="spellStart"/>
      <w:r>
        <w:t>ManageMentor</w:t>
      </w:r>
      <w:proofErr w:type="spellEnd"/>
      <w:r>
        <w:t xml:space="preserve">, and </w:t>
      </w:r>
      <w:proofErr w:type="spellStart"/>
      <w:r>
        <w:t>NexaCorp</w:t>
      </w:r>
      <w:proofErr w:type="spellEnd"/>
      <w:r>
        <w:t>-de</w:t>
      </w:r>
      <w:r>
        <w:t xml:space="preserve">veloped content. Key features include AI-powered learning path recommendations based on role, grade, and career aspirations; peer cohort learning circles; and a verified skills passport that employees retain beyond their </w:t>
      </w:r>
      <w:proofErr w:type="spellStart"/>
      <w:r>
        <w:t>NexaCorp</w:t>
      </w:r>
      <w:proofErr w:type="spellEnd"/>
      <w:r>
        <w:t xml:space="preserve"> tenure.</w:t>
      </w:r>
    </w:p>
    <w:p w:rsidR="003C299D" w:rsidRDefault="00E2045C">
      <w:pPr>
        <w:pStyle w:val="Heading3"/>
      </w:pPr>
      <w:r>
        <w:t>3.6.3 Mandatory Tr</w:t>
      </w:r>
      <w:r>
        <w:t>aining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60"/>
        <w:gridCol w:w="1440"/>
        <w:gridCol w:w="2640"/>
      </w:tblGrid>
      <w:tr w:rsidR="003C299D">
        <w:tblPrEx>
          <w:tblCellMar>
            <w:top w:w="0" w:type="dxa"/>
            <w:bottom w:w="0" w:type="dxa"/>
          </w:tblCellMar>
        </w:tblPrEx>
        <w:trPr>
          <w:tblHeader/>
        </w:trPr>
        <w:tc>
          <w:tcPr>
            <w:tcW w:w="31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Training Module</w:t>
            </w:r>
          </w:p>
        </w:tc>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Audience</w:t>
            </w:r>
          </w:p>
        </w:tc>
        <w:tc>
          <w:tcPr>
            <w:tcW w:w="14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Frequency</w:t>
            </w:r>
          </w:p>
        </w:tc>
        <w:tc>
          <w:tcPr>
            <w:tcW w:w="26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Completion Deadline</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Code of Conduct &amp; Ethics</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All employees</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Annual</w:t>
            </w:r>
          </w:p>
        </w:tc>
        <w:tc>
          <w:tcPr>
            <w:tcW w:w="26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January 31</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Information Security Awareness</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All employees</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Annual + after major incidents</w:t>
            </w:r>
          </w:p>
        </w:tc>
        <w:tc>
          <w:tcPr>
            <w:tcW w:w="26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February 28</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Data Privacy (GDPR/CCPA)</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All employees handling personal data</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Annual</w:t>
            </w:r>
          </w:p>
        </w:tc>
        <w:tc>
          <w:tcPr>
            <w:tcW w:w="26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March 31</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Anti-Harassment &amp; Discrimination</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All employees (extended for managers)</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Biennial</w:t>
            </w:r>
          </w:p>
        </w:tc>
        <w:tc>
          <w:tcPr>
            <w:tcW w:w="26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June 30 (even years)</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Insider Trading &amp; Securities Policy</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All DIs and Finance/Legal teams</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Annual</w:t>
            </w:r>
          </w:p>
        </w:tc>
        <w:tc>
          <w:tcPr>
            <w:tcW w:w="26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January 31</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Health &amp; Safety Fundamentals</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All office-based employees</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Annual + new hire</w:t>
            </w:r>
          </w:p>
        </w:tc>
        <w:tc>
          <w:tcPr>
            <w:tcW w:w="26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Within 30 days of hire</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Manager Essentials (</w:t>
            </w:r>
            <w:proofErr w:type="spellStart"/>
            <w:r>
              <w:rPr>
                <w:sz w:val="19"/>
                <w:szCs w:val="19"/>
              </w:rPr>
              <w:t>NexaLead</w:t>
            </w:r>
            <w:proofErr w:type="spellEnd"/>
            <w:r>
              <w:rPr>
                <w:sz w:val="19"/>
                <w:szCs w:val="19"/>
              </w:rPr>
              <w:t>™)</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All people managers</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Once (new managers within 6 months)</w:t>
            </w:r>
          </w:p>
        </w:tc>
        <w:tc>
          <w:tcPr>
            <w:tcW w:w="26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Within 6 months of promotion</w:t>
            </w:r>
          </w:p>
        </w:tc>
      </w:tr>
      <w:tr w:rsidR="003C299D">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Export Controls &amp; Trade Compliance</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Sales, Engineering, Legal, Finance</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Annual</w:t>
            </w:r>
          </w:p>
        </w:tc>
        <w:tc>
          <w:tcPr>
            <w:tcW w:w="26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April 30</w:t>
            </w:r>
          </w:p>
        </w:tc>
      </w:tr>
    </w:tbl>
    <w:p w:rsidR="003C299D" w:rsidRDefault="003C299D">
      <w:pPr>
        <w:spacing w:before="100" w:after="100"/>
      </w:pPr>
    </w:p>
    <w:p w:rsidR="003C299D" w:rsidRDefault="00E2045C">
      <w:pPr>
        <w:pStyle w:val="Heading3"/>
      </w:pPr>
      <w:r>
        <w:t xml:space="preserve">3.6.4 External Development </w:t>
      </w:r>
      <w:proofErr w:type="spellStart"/>
      <w:r>
        <w:t>Programmes</w:t>
      </w:r>
      <w:proofErr w:type="spellEnd"/>
    </w:p>
    <w:p w:rsidR="003C299D" w:rsidRDefault="00E2045C">
      <w:pPr>
        <w:spacing w:before="80" w:after="100" w:line="276" w:lineRule="auto"/>
        <w:jc w:val="both"/>
      </w:pPr>
      <w:proofErr w:type="spellStart"/>
      <w:r>
        <w:lastRenderedPageBreak/>
        <w:t>NexaCorp</w:t>
      </w:r>
      <w:proofErr w:type="spellEnd"/>
      <w:r>
        <w:t xml:space="preserve"> supports employee participation in external professional development through the following </w:t>
      </w:r>
      <w:proofErr w:type="spellStart"/>
      <w:r>
        <w:t>programmes</w:t>
      </w:r>
      <w:proofErr w:type="spellEnd"/>
      <w:r>
        <w:t>:</w:t>
      </w:r>
    </w:p>
    <w:p w:rsidR="003C299D" w:rsidRDefault="00E2045C">
      <w:pPr>
        <w:pStyle w:val="ListParagraph"/>
        <w:numPr>
          <w:ilvl w:val="0"/>
          <w:numId w:val="2"/>
        </w:numPr>
        <w:spacing w:before="60" w:after="60"/>
      </w:pPr>
      <w:r>
        <w:t>Annual Learning Stipend: $2,500 per FTE per calendar year for external courses, certifications, conferences, professional memberships, or approved books/subscriptions. Reimbursed via expense claim with receipts.</w:t>
      </w:r>
    </w:p>
    <w:p w:rsidR="003C299D" w:rsidRDefault="00E2045C">
      <w:pPr>
        <w:pStyle w:val="ListParagraph"/>
        <w:numPr>
          <w:ilvl w:val="0"/>
          <w:numId w:val="2"/>
        </w:numPr>
        <w:spacing w:before="60" w:after="60"/>
      </w:pPr>
      <w:r>
        <w:t>Tuition Assistance: Up to $10,000 per year f</w:t>
      </w:r>
      <w:r>
        <w:t xml:space="preserve">or degree or graduate </w:t>
      </w:r>
      <w:proofErr w:type="spellStart"/>
      <w:r>
        <w:t>programmes</w:t>
      </w:r>
      <w:proofErr w:type="spellEnd"/>
      <w:r>
        <w:t xml:space="preserve"> directly relevant to the employee's role or career path. Requires 2-year service commitment post-completion; pro-rated </w:t>
      </w:r>
      <w:proofErr w:type="spellStart"/>
      <w:r>
        <w:t>clawback</w:t>
      </w:r>
      <w:proofErr w:type="spellEnd"/>
      <w:r>
        <w:t xml:space="preserve"> if employment ends within the commitment period.</w:t>
      </w:r>
    </w:p>
    <w:p w:rsidR="003C299D" w:rsidRDefault="00E2045C">
      <w:pPr>
        <w:pStyle w:val="ListParagraph"/>
        <w:numPr>
          <w:ilvl w:val="0"/>
          <w:numId w:val="2"/>
        </w:numPr>
        <w:spacing w:before="60" w:after="60"/>
      </w:pPr>
      <w:r>
        <w:t xml:space="preserve">Conference Speaker </w:t>
      </w:r>
      <w:proofErr w:type="spellStart"/>
      <w:r>
        <w:t>Programme</w:t>
      </w:r>
      <w:proofErr w:type="spellEnd"/>
      <w:r>
        <w:t>: Employees select</w:t>
      </w:r>
      <w:r>
        <w:t>ed to present at industry conferences receive full expenses coverage and 2 days paid preparation leave.</w:t>
      </w:r>
    </w:p>
    <w:p w:rsidR="003C299D" w:rsidRDefault="00E2045C">
      <w:pPr>
        <w:pStyle w:val="ListParagraph"/>
        <w:numPr>
          <w:ilvl w:val="0"/>
          <w:numId w:val="2"/>
        </w:numPr>
        <w:spacing w:before="60" w:after="60"/>
      </w:pPr>
      <w:proofErr w:type="spellStart"/>
      <w:r>
        <w:t>NexaFellow</w:t>
      </w:r>
      <w:proofErr w:type="spellEnd"/>
      <w:r>
        <w:t xml:space="preserve"> </w:t>
      </w:r>
      <w:proofErr w:type="spellStart"/>
      <w:r>
        <w:t>Programme</w:t>
      </w:r>
      <w:proofErr w:type="spellEnd"/>
      <w:r>
        <w:t>: A 12-month intensive leadership development cohort for high-potential Grade 7–8 employees, including executive mentoring, an actio</w:t>
      </w:r>
      <w:r>
        <w:t>n-learning project, and an international rotation.</w:t>
      </w:r>
    </w:p>
    <w:p w:rsidR="003C299D" w:rsidRDefault="00E2045C">
      <w:pPr>
        <w:pStyle w:val="ListParagraph"/>
        <w:numPr>
          <w:ilvl w:val="0"/>
          <w:numId w:val="2"/>
        </w:numPr>
        <w:spacing w:before="60" w:after="60"/>
      </w:pPr>
      <w:r>
        <w:t>Technical Certification Reimbursement: 100% reimbursement of exam fees for approved technical certifications (AWS, GCP, Azure, CISSP, PMP, CFA, etc.) up to 3 certifications per year.</w:t>
      </w:r>
    </w:p>
    <w:p w:rsidR="003C299D" w:rsidRDefault="00E2045C">
      <w:pPr>
        <w:pStyle w:val="Heading2"/>
      </w:pPr>
      <w:r>
        <w:t>3.7 Leave Management P</w:t>
      </w:r>
      <w:r>
        <w:t>olicy</w:t>
      </w:r>
    </w:p>
    <w:p w:rsidR="003C299D" w:rsidRDefault="00E2045C">
      <w:pPr>
        <w:pStyle w:val="Heading3"/>
      </w:pPr>
      <w:r>
        <w:t xml:space="preserve">3.7.1 Paid Time </w:t>
      </w:r>
      <w:proofErr w:type="gramStart"/>
      <w:r>
        <w:t>Off</w:t>
      </w:r>
      <w:proofErr w:type="gramEnd"/>
      <w:r>
        <w:t xml:space="preserve"> (PTO)</w:t>
      </w:r>
    </w:p>
    <w:p w:rsidR="003C299D" w:rsidRDefault="00E2045C">
      <w:pPr>
        <w:spacing w:before="80" w:after="100" w:line="276" w:lineRule="auto"/>
        <w:jc w:val="both"/>
      </w:pPr>
      <w:proofErr w:type="spellStart"/>
      <w:r>
        <w:t>NexaCorp</w:t>
      </w:r>
      <w:proofErr w:type="spellEnd"/>
      <w:r>
        <w:t xml:space="preserve"> operates a unified Paid Time </w:t>
      </w:r>
      <w:proofErr w:type="gramStart"/>
      <w:r>
        <w:t>Off</w:t>
      </w:r>
      <w:proofErr w:type="gramEnd"/>
      <w:r>
        <w:t xml:space="preserve"> (PTO) policy that consolidates vacation, personal days, and sick days into a single PTO bank. This approach gives employees maximum flexibility in managing their time away from work. PTO accrues from Day 1 of emplo</w:t>
      </w:r>
      <w:r>
        <w:t>yment at the following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520"/>
        <w:gridCol w:w="2160"/>
        <w:gridCol w:w="2280"/>
      </w:tblGrid>
      <w:tr w:rsidR="003C299D">
        <w:tblPrEx>
          <w:tblCellMar>
            <w:top w:w="0" w:type="dxa"/>
            <w:bottom w:w="0" w:type="dxa"/>
          </w:tblCellMar>
        </w:tblPrEx>
        <w:trPr>
          <w:tblHeader/>
        </w:trPr>
        <w:tc>
          <w:tcPr>
            <w:tcW w:w="24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Years of Service</w:t>
            </w:r>
          </w:p>
        </w:tc>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Annual PTO Accrual (US)</w:t>
            </w:r>
          </w:p>
        </w:tc>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Maximum Carry-Over</w:t>
            </w:r>
          </w:p>
        </w:tc>
        <w:tc>
          <w:tcPr>
            <w:tcW w:w="22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Max Accrual Cap</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0–2 years</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20 days (160 hours)</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10 days</w:t>
            </w:r>
          </w:p>
        </w:tc>
        <w:tc>
          <w:tcPr>
            <w:tcW w:w="22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30 days</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3–5 years</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23 days (184 hours)</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12 days</w:t>
            </w:r>
          </w:p>
        </w:tc>
        <w:tc>
          <w:tcPr>
            <w:tcW w:w="22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35 days</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6–10 years</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26 days (208 hours)</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15 days</w:t>
            </w:r>
          </w:p>
        </w:tc>
        <w:tc>
          <w:tcPr>
            <w:tcW w:w="22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40 days</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10+ years</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30 days (240 hours)</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15 days</w:t>
            </w:r>
          </w:p>
        </w:tc>
        <w:tc>
          <w:tcPr>
            <w:tcW w:w="22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45 days</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ELT / VP and above</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Unlimited (managed)</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N/A</w:t>
            </w:r>
          </w:p>
        </w:tc>
        <w:tc>
          <w:tcPr>
            <w:tcW w:w="22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N/A</w:t>
            </w:r>
          </w:p>
        </w:tc>
      </w:tr>
    </w:tbl>
    <w:p w:rsidR="003C299D" w:rsidRDefault="003C299D">
      <w:pPr>
        <w:spacing w:before="100" w:after="100"/>
      </w:pPr>
    </w:p>
    <w:p w:rsidR="003C299D" w:rsidRDefault="00E2045C">
      <w:pPr>
        <w:pBdr>
          <w:left w:val="single" w:sz="12" w:space="8" w:color="2E75B6"/>
        </w:pBdr>
        <w:spacing w:before="120" w:after="120"/>
        <w:ind w:left="360" w:right="360"/>
      </w:pPr>
      <w:r>
        <w:rPr>
          <w:b/>
          <w:bCs/>
          <w:color w:val="2E75B6"/>
          <w:sz w:val="20"/>
          <w:szCs w:val="20"/>
        </w:rPr>
        <w:t xml:space="preserve">NOTE: </w:t>
      </w:r>
      <w:r>
        <w:rPr>
          <w:i/>
          <w:iCs/>
          <w:sz w:val="20"/>
          <w:szCs w:val="20"/>
        </w:rPr>
        <w:t>PTO must be pre-approved by the employee's manager, except for unplanned sick leave which must be reported by 9:00 AM on the first day of absence. For extended illness (3+ consecutive days), medical certification will be required.</w:t>
      </w:r>
    </w:p>
    <w:p w:rsidR="003C299D" w:rsidRDefault="00E2045C">
      <w:pPr>
        <w:pStyle w:val="Heading3"/>
      </w:pPr>
      <w:r>
        <w:t>3.7.2 Paid Holidays</w:t>
      </w:r>
    </w:p>
    <w:p w:rsidR="003C299D" w:rsidRDefault="00E2045C">
      <w:pPr>
        <w:spacing w:before="80" w:after="100" w:line="276" w:lineRule="auto"/>
        <w:jc w:val="both"/>
      </w:pPr>
      <w:proofErr w:type="spellStart"/>
      <w:r>
        <w:t>NexaC</w:t>
      </w:r>
      <w:r>
        <w:t>orp</w:t>
      </w:r>
      <w:proofErr w:type="spellEnd"/>
      <w:r>
        <w:t xml:space="preserve"> observes the following paid holidays for US employees. Non-US employees observe their country's statutory public holidays as detailed in country-specific addenda.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60"/>
        <w:gridCol w:w="3000"/>
      </w:tblGrid>
      <w:tr w:rsidR="003C299D">
        <w:tblPrEx>
          <w:tblCellMar>
            <w:top w:w="0" w:type="dxa"/>
            <w:bottom w:w="0" w:type="dxa"/>
          </w:tblCellMar>
        </w:tblPrEx>
        <w:trPr>
          <w:tblHeader/>
        </w:trPr>
        <w:tc>
          <w:tcPr>
            <w:tcW w:w="36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Holiday</w:t>
            </w:r>
          </w:p>
        </w:tc>
        <w:tc>
          <w:tcPr>
            <w:tcW w:w="27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Typical Date</w:t>
            </w:r>
          </w:p>
        </w:tc>
        <w:tc>
          <w:tcPr>
            <w:tcW w:w="30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Notes</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New Year's Day</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January 1</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Observed on nearest weekday if falls on weekend</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Martin Luther King Jr. Day</w:t>
            </w:r>
          </w:p>
        </w:tc>
        <w:tc>
          <w:tcPr>
            <w:tcW w:w="2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Third Monday in January</w:t>
            </w:r>
          </w:p>
        </w:tc>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3C299D"/>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lastRenderedPageBreak/>
              <w:t>Presidents' Day</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Third Monday in February</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3C299D"/>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Memorial Day</w:t>
            </w:r>
          </w:p>
        </w:tc>
        <w:tc>
          <w:tcPr>
            <w:tcW w:w="2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Last Monday in May</w:t>
            </w:r>
          </w:p>
        </w:tc>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3C299D"/>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Juneteenth National Independence Day</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June 19</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3C299D"/>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Independence Day</w:t>
            </w:r>
          </w:p>
        </w:tc>
        <w:tc>
          <w:tcPr>
            <w:tcW w:w="2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July 4</w:t>
            </w:r>
          </w:p>
        </w:tc>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3C299D"/>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Labor Day</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First Monday in September</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3C299D"/>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Thanksgiving Day</w:t>
            </w:r>
          </w:p>
        </w:tc>
        <w:tc>
          <w:tcPr>
            <w:tcW w:w="2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Fourth Thursday in November</w:t>
            </w:r>
          </w:p>
        </w:tc>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3C299D"/>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Day After Thanksgiving</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Friday following Thanksgiving</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proofErr w:type="spellStart"/>
            <w:r>
              <w:rPr>
                <w:sz w:val="19"/>
                <w:szCs w:val="19"/>
              </w:rPr>
              <w:t>NexaCorp</w:t>
            </w:r>
            <w:proofErr w:type="spellEnd"/>
            <w:r>
              <w:rPr>
                <w:sz w:val="19"/>
                <w:szCs w:val="19"/>
              </w:rPr>
              <w:t>-designated day</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Christmas Day</w:t>
            </w:r>
          </w:p>
        </w:tc>
        <w:tc>
          <w:tcPr>
            <w:tcW w:w="2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December 25</w:t>
            </w:r>
          </w:p>
        </w:tc>
        <w:tc>
          <w:tcPr>
            <w:tcW w:w="3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3C299D"/>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proofErr w:type="spellStart"/>
            <w:r>
              <w:rPr>
                <w:sz w:val="19"/>
                <w:szCs w:val="19"/>
              </w:rPr>
              <w:t>NexaDay</w:t>
            </w:r>
            <w:proofErr w:type="spellEnd"/>
            <w:r>
              <w:rPr>
                <w:sz w:val="19"/>
                <w:szCs w:val="19"/>
              </w:rPr>
              <w:t xml:space="preserve"> (Floating Holiday)</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Employee's choice</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May not be carried over; use by Dec 31</w:t>
            </w:r>
          </w:p>
        </w:tc>
      </w:tr>
    </w:tbl>
    <w:p w:rsidR="003C299D" w:rsidRDefault="003C299D">
      <w:pPr>
        <w:spacing w:before="100" w:after="100"/>
      </w:pPr>
    </w:p>
    <w:p w:rsidR="003C299D" w:rsidRDefault="00E2045C">
      <w:pPr>
        <w:pStyle w:val="Heading3"/>
      </w:pPr>
      <w:r>
        <w:t>3.7.3 Leave of Absence Types</w:t>
      </w:r>
    </w:p>
    <w:p w:rsidR="003C299D" w:rsidRDefault="00E2045C">
      <w:pPr>
        <w:spacing w:before="80" w:after="100" w:line="276" w:lineRule="auto"/>
        <w:jc w:val="both"/>
      </w:pPr>
      <w:r>
        <w:t xml:space="preserve">In addition to PTO and holidays, </w:t>
      </w:r>
      <w:proofErr w:type="spellStart"/>
      <w:r>
        <w:t>NexaCorp</w:t>
      </w:r>
      <w:proofErr w:type="spellEnd"/>
      <w:r>
        <w:t xml:space="preserve"> </w:t>
      </w:r>
      <w:proofErr w:type="spellStart"/>
      <w:r>
        <w:t>recognises</w:t>
      </w:r>
      <w:proofErr w:type="spellEnd"/>
      <w:r>
        <w:t xml:space="preserve"> the following formal leave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440"/>
        <w:gridCol w:w="1440"/>
        <w:gridCol w:w="1800"/>
        <w:gridCol w:w="2160"/>
      </w:tblGrid>
      <w:tr w:rsidR="003C299D">
        <w:tblPrEx>
          <w:tblCellMar>
            <w:top w:w="0" w:type="dxa"/>
            <w:bottom w:w="0" w:type="dxa"/>
          </w:tblCellMar>
        </w:tblPrEx>
        <w:trPr>
          <w:tblHeader/>
        </w:trPr>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Leave Type</w:t>
            </w:r>
          </w:p>
        </w:tc>
        <w:tc>
          <w:tcPr>
            <w:tcW w:w="14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Max Duration</w:t>
            </w:r>
          </w:p>
        </w:tc>
        <w:tc>
          <w:tcPr>
            <w:tcW w:w="14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Paid?</w:t>
            </w:r>
          </w:p>
        </w:tc>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Notice Required</w:t>
            </w:r>
          </w:p>
        </w:tc>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Documentation</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FMLA / Medical Leave</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12 weeks/year</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Partially (STD integration)</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30 days or ASAP</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Medical certification</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Parental Leave</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See Section 3.4.5</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 — 100%</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90 days preferred</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Birth/adoption record</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Military Leave (USERRA)</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Indefinite job protection</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14 days paid; USERRA thereafter</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Advance notice required</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Military orders</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Jury Duty Leave</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Duration of service</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Full pay to 10 days; unpaid thereafter</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Summons receipt</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Jury summons copy</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Bereavement Leave</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3–5 days</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Yes — 100%</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Same day</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Obituary/death cert. optional</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Volunteer Leave</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3 days/year</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 — 100%</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5 business days</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Org confirmation letter</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Sabbatical Leave</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1–3 months (unpaid)</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No</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6 months</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CPO approval required</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Personal / Unpaid Leave</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Up to 12 weeks</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No</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30 days</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Manager + HR BP approval</w:t>
            </w:r>
          </w:p>
        </w:tc>
      </w:tr>
    </w:tbl>
    <w:p w:rsidR="003C299D" w:rsidRDefault="003C299D">
      <w:pPr>
        <w:spacing w:before="100" w:after="100"/>
      </w:pPr>
    </w:p>
    <w:p w:rsidR="003C299D" w:rsidRDefault="00E2045C">
      <w:pPr>
        <w:pStyle w:val="Heading3"/>
      </w:pPr>
      <w:r>
        <w:t>3.7.4 Sick Leave — State-Specific Accruals</w:t>
      </w:r>
    </w:p>
    <w:p w:rsidR="003C299D" w:rsidRDefault="00E2045C">
      <w:pPr>
        <w:spacing w:before="80" w:after="100" w:line="276" w:lineRule="auto"/>
        <w:jc w:val="both"/>
      </w:pPr>
      <w:r>
        <w:t xml:space="preserve">In jurisdictions where state or local law mandates separate sick leave accruals (e.g., California, New York, New Jersey, Colorado, Washington), </w:t>
      </w:r>
      <w:proofErr w:type="spellStart"/>
      <w:r>
        <w:t>NexaCorp's</w:t>
      </w:r>
      <w:proofErr w:type="spellEnd"/>
      <w:r>
        <w:t xml:space="preserve"> unified PTO bank satisfies and exceeds the statutory minimum in all cases. Employees in these states </w:t>
      </w:r>
      <w:r>
        <w:t xml:space="preserve">have the right to use PTO for qualifying </w:t>
      </w:r>
      <w:r>
        <w:lastRenderedPageBreak/>
        <w:t>sick leave purposes without any separate approval process. HR Operations maintains a current map of state-specific sick leave requirements which is updated quarterly.</w:t>
      </w:r>
    </w:p>
    <w:p w:rsidR="003C299D" w:rsidRDefault="00E2045C">
      <w:pPr>
        <w:pStyle w:val="Heading2"/>
      </w:pPr>
      <w:r>
        <w:t>3.8 Remote &amp; Hybrid Work Policy</w:t>
      </w:r>
    </w:p>
    <w:p w:rsidR="003C299D" w:rsidRDefault="00E2045C">
      <w:pPr>
        <w:pStyle w:val="Heading3"/>
      </w:pPr>
      <w:r>
        <w:t>3.8.1 Policy Intent</w:t>
      </w:r>
    </w:p>
    <w:p w:rsidR="003C299D" w:rsidRDefault="00E2045C">
      <w:pPr>
        <w:spacing w:before="80" w:after="100" w:line="276" w:lineRule="auto"/>
        <w:jc w:val="both"/>
      </w:pPr>
      <w:proofErr w:type="spellStart"/>
      <w:r>
        <w:t>NexaCorp</w:t>
      </w:r>
      <w:proofErr w:type="spellEnd"/>
      <w:r>
        <w:t xml:space="preserve"> embraces flexible work as a core talent strategy and competitive advantage. The company does not impose a mandatory office attendance minimum as a uniform global standard; instead, it delegates flexibility decisions to Business</w:t>
      </w:r>
      <w:r>
        <w:t xml:space="preserve"> Unit heads within a framework of principles established by this policy. The overriding principle is that work location decisions should be driven by what best enables the employee and their team to deliver outstanding results, not by </w:t>
      </w:r>
      <w:proofErr w:type="spellStart"/>
      <w:r>
        <w:t>presenteeism</w:t>
      </w:r>
      <w:proofErr w:type="spellEnd"/>
      <w:r>
        <w:t xml:space="preserve"> or tradi</w:t>
      </w:r>
      <w:r>
        <w:t>tion.</w:t>
      </w:r>
    </w:p>
    <w:p w:rsidR="003C299D" w:rsidRDefault="00E2045C">
      <w:pPr>
        <w:pStyle w:val="Heading3"/>
      </w:pPr>
      <w:r>
        <w:t>3.8.2 Work Arrangement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60"/>
        <w:gridCol w:w="2160"/>
        <w:gridCol w:w="2640"/>
      </w:tblGrid>
      <w:tr w:rsidR="003C299D">
        <w:tblPrEx>
          <w:tblCellMar>
            <w:top w:w="0" w:type="dxa"/>
            <w:bottom w:w="0" w:type="dxa"/>
          </w:tblCellMar>
        </w:tblPrEx>
        <w:trPr>
          <w:tblHeader/>
        </w:trPr>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Arrangement</w:t>
            </w:r>
          </w:p>
        </w:tc>
        <w:tc>
          <w:tcPr>
            <w:tcW w:w="27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Definition</w:t>
            </w:r>
          </w:p>
        </w:tc>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Approval Authority</w:t>
            </w:r>
          </w:p>
        </w:tc>
        <w:tc>
          <w:tcPr>
            <w:tcW w:w="26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proofErr w:type="gramStart"/>
            <w:r>
              <w:rPr>
                <w:b/>
                <w:bCs/>
                <w:color w:val="FFFFFF"/>
                <w:sz w:val="20"/>
                <w:szCs w:val="20"/>
              </w:rPr>
              <w:t>IT</w:t>
            </w:r>
            <w:proofErr w:type="gramEnd"/>
            <w:r>
              <w:rPr>
                <w:b/>
                <w:bCs/>
                <w:color w:val="FFFFFF"/>
                <w:sz w:val="20"/>
                <w:szCs w:val="20"/>
              </w:rPr>
              <w:t xml:space="preserve"> Equipment Provided?</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Office-First</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Primarily office-based; remote ad-hoc up to 4 days/month</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Manager discretion</w:t>
            </w:r>
          </w:p>
        </w:tc>
        <w:tc>
          <w:tcPr>
            <w:tcW w:w="26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Full workstation + peripherals</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Hybrid — Structured</w:t>
            </w:r>
          </w:p>
        </w:tc>
        <w:tc>
          <w:tcPr>
            <w:tcW w:w="2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Defined office days (e.g., Mon/Wed/Fri); remote on other days</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Manager + HR BP</w:t>
            </w:r>
          </w:p>
        </w:tc>
        <w:tc>
          <w:tcPr>
            <w:tcW w:w="26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Laptop + home peripherals stipend</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Hybrid — Flexible</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Minimum 2 office days per 2-week period; self-directed beyond that</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Manager + HR BP</w:t>
            </w:r>
          </w:p>
        </w:tc>
        <w:tc>
          <w:tcPr>
            <w:tcW w:w="26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Laptop + home peripherals stipend</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Remote — Domestic</w:t>
            </w:r>
          </w:p>
        </w:tc>
        <w:tc>
          <w:tcPr>
            <w:tcW w:w="2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Fully remote within country of employment; occasional travel to office</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Director + HR BP approval</w:t>
            </w:r>
          </w:p>
        </w:tc>
        <w:tc>
          <w:tcPr>
            <w:tcW w:w="26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Laptop + $600 home office stipend</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Remote — International</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Permanently remote from a country other than country of employment</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ELT + Legal + Tax approval</w:t>
            </w:r>
          </w:p>
        </w:tc>
        <w:tc>
          <w:tcPr>
            <w:tcW w:w="26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Subject to individual agreement</w:t>
            </w:r>
          </w:p>
        </w:tc>
      </w:tr>
    </w:tbl>
    <w:p w:rsidR="003C299D" w:rsidRDefault="003C299D">
      <w:pPr>
        <w:spacing w:before="100" w:after="100"/>
      </w:pPr>
    </w:p>
    <w:p w:rsidR="003C299D" w:rsidRDefault="00E2045C">
      <w:pPr>
        <w:pBdr>
          <w:left w:val="single" w:sz="12" w:space="8" w:color="E36B00"/>
        </w:pBdr>
        <w:spacing w:before="120" w:after="120"/>
        <w:ind w:left="360" w:right="360"/>
      </w:pPr>
      <w:r>
        <w:rPr>
          <w:b/>
          <w:bCs/>
          <w:color w:val="E36B00"/>
          <w:sz w:val="20"/>
          <w:szCs w:val="20"/>
        </w:rPr>
        <w:t xml:space="preserve">WARNING: </w:t>
      </w:r>
      <w:r>
        <w:rPr>
          <w:i/>
          <w:iCs/>
          <w:sz w:val="20"/>
          <w:szCs w:val="20"/>
        </w:rPr>
        <w:t>International remote arrangements create complex tax, social security, immigration, and employment law implications. Employees must not unilaterally relocate to another country without prior written approval from Legal, Tax, and the CPO's office. Working r</w:t>
      </w:r>
      <w:r>
        <w:rPr>
          <w:i/>
          <w:iCs/>
          <w:sz w:val="20"/>
          <w:szCs w:val="20"/>
        </w:rPr>
        <w:t>emotely from another country for even one week may trigger unexpected tax obligations.</w:t>
      </w:r>
    </w:p>
    <w:p w:rsidR="003C299D" w:rsidRDefault="00E2045C">
      <w:pPr>
        <w:pStyle w:val="Heading3"/>
      </w:pPr>
      <w:r>
        <w:t>3.8.3 Home Office &amp; Ergonomics Requirements</w:t>
      </w:r>
    </w:p>
    <w:p w:rsidR="003C299D" w:rsidRDefault="00E2045C">
      <w:pPr>
        <w:spacing w:before="80" w:after="100" w:line="276" w:lineRule="auto"/>
        <w:jc w:val="both"/>
      </w:pPr>
      <w:r>
        <w:t>Employees working remotely are responsible for maintaining a safe, ergonomically appropriate, and professionally suitable hom</w:t>
      </w:r>
      <w:r>
        <w:t xml:space="preserve">e workspace. </w:t>
      </w:r>
      <w:proofErr w:type="spellStart"/>
      <w:r>
        <w:t>NexaCorp</w:t>
      </w:r>
      <w:proofErr w:type="spellEnd"/>
      <w:r>
        <w:t xml:space="preserve"> provides:</w:t>
      </w:r>
    </w:p>
    <w:p w:rsidR="003C299D" w:rsidRDefault="00E2045C">
      <w:pPr>
        <w:pStyle w:val="ListParagraph"/>
        <w:numPr>
          <w:ilvl w:val="0"/>
          <w:numId w:val="2"/>
        </w:numPr>
        <w:spacing w:before="60" w:after="60"/>
      </w:pPr>
      <w:r>
        <w:t>A one-time Home Office Stipend of $600 for new remote/hybrid employees to purchase ergonomic equipment (chair, desk, monitor, etc.). Receipts must be submitted within 90 days.</w:t>
      </w:r>
    </w:p>
    <w:p w:rsidR="003C299D" w:rsidRDefault="00E2045C">
      <w:pPr>
        <w:pStyle w:val="ListParagraph"/>
        <w:numPr>
          <w:ilvl w:val="0"/>
          <w:numId w:val="2"/>
        </w:numPr>
        <w:spacing w:before="60" w:after="60"/>
      </w:pPr>
      <w:r>
        <w:t>Annual Equipment Refresh Allowance of $200 for p</w:t>
      </w:r>
      <w:r>
        <w:t>eripherals and consumables.</w:t>
      </w:r>
    </w:p>
    <w:p w:rsidR="003C299D" w:rsidRDefault="00E2045C">
      <w:pPr>
        <w:pStyle w:val="ListParagraph"/>
        <w:numPr>
          <w:ilvl w:val="0"/>
          <w:numId w:val="2"/>
        </w:numPr>
        <w:spacing w:before="60" w:after="60"/>
      </w:pPr>
      <w:r>
        <w:t>Internet Connectivity Stipend of $75/month for employees in Remote-Domestic or Remote-International arrangements.</w:t>
      </w:r>
    </w:p>
    <w:p w:rsidR="003C299D" w:rsidRDefault="00E2045C">
      <w:pPr>
        <w:pStyle w:val="ListParagraph"/>
        <w:numPr>
          <w:ilvl w:val="0"/>
          <w:numId w:val="2"/>
        </w:numPr>
        <w:spacing w:before="60" w:after="60"/>
      </w:pPr>
      <w:r>
        <w:t xml:space="preserve">Access to </w:t>
      </w:r>
      <w:proofErr w:type="spellStart"/>
      <w:r>
        <w:t>NexaDesk</w:t>
      </w:r>
      <w:proofErr w:type="spellEnd"/>
      <w:r>
        <w:t xml:space="preserve">™ co-working pass: 10 free days/month at any </w:t>
      </w:r>
      <w:proofErr w:type="spellStart"/>
      <w:r>
        <w:t>WeWork</w:t>
      </w:r>
      <w:proofErr w:type="spellEnd"/>
      <w:r>
        <w:t xml:space="preserve"> or partner co-working location globally for employees without a designated office.</w:t>
      </w:r>
    </w:p>
    <w:p w:rsidR="003C299D" w:rsidRDefault="00E2045C">
      <w:pPr>
        <w:spacing w:before="80" w:after="100" w:line="276" w:lineRule="auto"/>
        <w:jc w:val="both"/>
      </w:pPr>
      <w:r>
        <w:lastRenderedPageBreak/>
        <w:t>Employees must complete a Home Workstation Self-Assessment annually and attest that their workspace mee</w:t>
      </w:r>
      <w:r>
        <w:t>ts the minimum requirements set out in the Remote Work Safety Checklist (HR-RW-02).</w:t>
      </w:r>
    </w:p>
    <w:p w:rsidR="003C299D" w:rsidRDefault="00E2045C">
      <w:pPr>
        <w:pStyle w:val="Heading3"/>
      </w:pPr>
      <w:r>
        <w:t>3.8.4 Core Collaboration Hours</w:t>
      </w:r>
    </w:p>
    <w:p w:rsidR="003C299D" w:rsidRDefault="00E2045C">
      <w:pPr>
        <w:spacing w:before="80" w:after="100" w:line="276" w:lineRule="auto"/>
        <w:jc w:val="both"/>
      </w:pPr>
      <w:r>
        <w:t>Regardless of work arrangement or time zone, all employees are expected to be available for synchronous collaboration during their team's des</w:t>
      </w:r>
      <w:r>
        <w:t>ignated Core Hours, typically 10:00 AM – 3:00 PM in the primary time zone of the team's manager. Employees in significantly different time zones should work with their manager to agree on a modified availability window that supports team effectiveness with</w:t>
      </w:r>
      <w:r>
        <w:t>out causing unreasonable hardship.</w:t>
      </w:r>
    </w:p>
    <w:p w:rsidR="003C299D" w:rsidRDefault="00E2045C">
      <w:pPr>
        <w:pStyle w:val="Heading2"/>
      </w:pPr>
      <w:r>
        <w:t>3.9 Attendance, Timekeeping &amp; Conduct</w:t>
      </w:r>
    </w:p>
    <w:p w:rsidR="003C299D" w:rsidRDefault="00E2045C">
      <w:pPr>
        <w:pStyle w:val="Heading3"/>
      </w:pPr>
      <w:r>
        <w:t>3.9.1 Attendance Standards</w:t>
      </w:r>
    </w:p>
    <w:p w:rsidR="003C299D" w:rsidRDefault="00E2045C">
      <w:pPr>
        <w:spacing w:before="80" w:after="100" w:line="276" w:lineRule="auto"/>
        <w:jc w:val="both"/>
      </w:pPr>
      <w:r>
        <w:t>Reliable attendance is fundamental to team performance and client delivery. Employees are expected to report to work (in-office or remote) on schedule, meet</w:t>
      </w:r>
      <w:r>
        <w:t xml:space="preserve"> commitments to internal and external stakeholders, and communicate proactively when unable to meet expectations. Excessive unplanned absences — defined as more than 8 unplanned absences in any rolling 12-month period — will trigger a formal attendance rev</w:t>
      </w:r>
      <w:r>
        <w:t>iew with the employee's HR Business Partner.</w:t>
      </w:r>
    </w:p>
    <w:p w:rsidR="003C299D" w:rsidRDefault="00E2045C">
      <w:pPr>
        <w:pStyle w:val="Heading3"/>
      </w:pPr>
      <w:r>
        <w:t>3.9.2 Time Recording</w:t>
      </w:r>
    </w:p>
    <w:p w:rsidR="003C299D" w:rsidRDefault="00E2045C">
      <w:pPr>
        <w:spacing w:before="80" w:after="100" w:line="276" w:lineRule="auto"/>
        <w:jc w:val="both"/>
      </w:pPr>
      <w:r>
        <w:t>Non-exempt employees are required to record all hours worked accurately and completely in the HRIS time-entry system by the close of each pay period. Any time worked in addition to scheduled</w:t>
      </w:r>
      <w:r>
        <w:t xml:space="preserve"> hours, including email and messaging activity outside normal hours that constitutes compensable work under applicable law, must be recorded. Managers must review and approve time records by 12:00 PM on the Monday following the close of each bi-weekly pay </w:t>
      </w:r>
      <w:r>
        <w:t>period.</w:t>
      </w:r>
    </w:p>
    <w:p w:rsidR="003C299D" w:rsidRDefault="00E2045C">
      <w:pPr>
        <w:pBdr>
          <w:left w:val="single" w:sz="12" w:space="8" w:color="E36B00"/>
        </w:pBdr>
        <w:spacing w:before="120" w:after="120"/>
        <w:ind w:left="360" w:right="360"/>
      </w:pPr>
      <w:r>
        <w:rPr>
          <w:b/>
          <w:bCs/>
          <w:color w:val="E36B00"/>
          <w:sz w:val="20"/>
          <w:szCs w:val="20"/>
        </w:rPr>
        <w:t xml:space="preserve">WARNING: </w:t>
      </w:r>
      <w:r>
        <w:rPr>
          <w:i/>
          <w:iCs/>
          <w:sz w:val="20"/>
          <w:szCs w:val="20"/>
        </w:rPr>
        <w:t>Falsification of time records — including recording hours not actually worked, or not recording hours that were worked — is a form of fraud and will result in immediate termination and potential legal action.</w:t>
      </w:r>
    </w:p>
    <w:p w:rsidR="003C299D" w:rsidRDefault="00E2045C">
      <w:pPr>
        <w:pStyle w:val="Heading3"/>
      </w:pPr>
      <w:r>
        <w:t>3.9.3 Dress Code &amp; Professiona</w:t>
      </w:r>
      <w:r>
        <w:t>l Appearance</w:t>
      </w:r>
    </w:p>
    <w:p w:rsidR="003C299D" w:rsidRDefault="00E2045C">
      <w:pPr>
        <w:spacing w:before="80" w:after="100" w:line="276" w:lineRule="auto"/>
        <w:jc w:val="both"/>
      </w:pPr>
      <w:proofErr w:type="spellStart"/>
      <w:r>
        <w:t>NexaCorp</w:t>
      </w:r>
      <w:proofErr w:type="spellEnd"/>
      <w:r>
        <w:t xml:space="preserve"> maintains a business casual dress code in its offices, with the expectation that employees will dress more formally when meeting clients, attending industry events, or representing </w:t>
      </w:r>
      <w:proofErr w:type="spellStart"/>
      <w:r>
        <w:t>NexaCorp</w:t>
      </w:r>
      <w:proofErr w:type="spellEnd"/>
      <w:r>
        <w:t xml:space="preserve"> at external forums. 'Business casual' is def</w:t>
      </w:r>
      <w:r>
        <w:t>ined as neat, professional attire that is free from offensive graphics, slogans, or excessive informality. Jeans are permitted on Fridays ('</w:t>
      </w:r>
      <w:proofErr w:type="spellStart"/>
      <w:r>
        <w:t>NexaFriday</w:t>
      </w:r>
      <w:proofErr w:type="spellEnd"/>
      <w:r>
        <w:t>') and during designated team events. Specific client-facing roles may have elevated dress code requiremen</w:t>
      </w:r>
      <w:r>
        <w:t>ts communicated through the relevant Business Unit.</w:t>
      </w:r>
    </w:p>
    <w:p w:rsidR="003C299D" w:rsidRDefault="00E2045C">
      <w:r>
        <w:br w:type="page"/>
      </w:r>
    </w:p>
    <w:p w:rsidR="003C299D" w:rsidRDefault="00E2045C">
      <w:pPr>
        <w:shd w:val="clear" w:color="auto" w:fill="1B3A6B"/>
        <w:spacing w:before="500" w:after="300"/>
        <w:jc w:val="center"/>
      </w:pPr>
      <w:r>
        <w:rPr>
          <w:b/>
          <w:bCs/>
          <w:color w:val="FFFFFF"/>
          <w:sz w:val="32"/>
          <w:szCs w:val="32"/>
        </w:rPr>
        <w:lastRenderedPageBreak/>
        <w:t xml:space="preserve">  PART IV — ANTI-HARASSMENT, DISCRIMINATION &amp; EQUAL OPPORTUNITY  </w:t>
      </w:r>
    </w:p>
    <w:p w:rsidR="003C299D" w:rsidRDefault="003C299D">
      <w:pPr>
        <w:spacing w:before="200" w:after="200"/>
      </w:pPr>
    </w:p>
    <w:p w:rsidR="003C299D" w:rsidRDefault="00E2045C">
      <w:pPr>
        <w:pStyle w:val="Heading1"/>
        <w:pBdr>
          <w:bottom w:val="single" w:sz="8" w:space="4" w:color="2E75B6"/>
        </w:pBdr>
      </w:pPr>
      <w:r>
        <w:t>4. Anti-Harassment, Discrimination &amp; Equal Opportunity</w:t>
      </w:r>
    </w:p>
    <w:p w:rsidR="003C299D" w:rsidRDefault="00E2045C">
      <w:pPr>
        <w:pStyle w:val="Heading2"/>
      </w:pPr>
      <w:r>
        <w:t>4.1 Equal Employment Opportunity (EEO) Statement</w:t>
      </w:r>
    </w:p>
    <w:p w:rsidR="003C299D" w:rsidRDefault="00E2045C">
      <w:pPr>
        <w:spacing w:before="80" w:after="100" w:line="276" w:lineRule="auto"/>
        <w:jc w:val="both"/>
      </w:pPr>
      <w:proofErr w:type="spellStart"/>
      <w:r>
        <w:t>NexaCorp</w:t>
      </w:r>
      <w:proofErr w:type="spellEnd"/>
      <w:r>
        <w:t xml:space="preserve"> Global is firmly and unconditionally committed to providing equal employment opportunities to all individuals without regard to race, </w:t>
      </w:r>
      <w:proofErr w:type="spellStart"/>
      <w:r>
        <w:t>colour</w:t>
      </w:r>
      <w:proofErr w:type="spellEnd"/>
      <w:r>
        <w:t>, ethnicity, national origin, religion or religious creed, sex (including pregnancy, childbirth, breastfeed</w:t>
      </w:r>
      <w:r>
        <w:t>ing, and related medical conditions), gender, gender identity and expression, sexual orientation, age, physical or mental disability, medical condition, genetic information, military or veteran status, marital status, political affiliation, or any other ba</w:t>
      </w:r>
      <w:r>
        <w:t>sis protected by applicable federal, state, local, or international law.</w:t>
      </w:r>
    </w:p>
    <w:p w:rsidR="003C299D" w:rsidRDefault="00E2045C">
      <w:pPr>
        <w:spacing w:before="80" w:after="100" w:line="276" w:lineRule="auto"/>
        <w:jc w:val="both"/>
      </w:pPr>
      <w:r>
        <w:t>This commitment extends to all aspects of employment including recruitment and hiring, onboarding, compensation and benefits, performance management, training and development, promoti</w:t>
      </w:r>
      <w:r>
        <w:t xml:space="preserve">on and career progression, discipline, and separation from employment. </w:t>
      </w:r>
      <w:proofErr w:type="spellStart"/>
      <w:r>
        <w:t>NexaCorp</w:t>
      </w:r>
      <w:proofErr w:type="spellEnd"/>
      <w:r>
        <w:t xml:space="preserve"> prohibits both intentional discriminatory treatment (disparate treatment) and facially neutral practices that have a disproportionate adverse impact on protected groups without</w:t>
      </w:r>
      <w:r>
        <w:t xml:space="preserve"> justification (disparate impact).</w:t>
      </w:r>
    </w:p>
    <w:p w:rsidR="003C299D" w:rsidRDefault="00E2045C">
      <w:pPr>
        <w:pStyle w:val="Heading2"/>
      </w:pPr>
      <w:r>
        <w:t>4.2 Harassment &amp; Discrimination Defined</w:t>
      </w:r>
    </w:p>
    <w:p w:rsidR="003C299D" w:rsidRDefault="00E2045C">
      <w:pPr>
        <w:pStyle w:val="Heading3"/>
      </w:pPr>
      <w:r>
        <w:t>4.2.1 What Constitutes Harassment</w:t>
      </w:r>
    </w:p>
    <w:p w:rsidR="003C299D" w:rsidRDefault="00E2045C">
      <w:pPr>
        <w:spacing w:before="80" w:after="100" w:line="276" w:lineRule="auto"/>
        <w:jc w:val="both"/>
      </w:pPr>
      <w:r>
        <w:t xml:space="preserve">Harassment is unwelcome conduct based on a protected characteristic that is sufficiently severe or pervasive to create a work environment that a reasonable person would consider intimidating, hostile, or abusive. It encompasses a wide spectrum of </w:t>
      </w:r>
      <w:proofErr w:type="spellStart"/>
      <w:r>
        <w:t>behaviour</w:t>
      </w:r>
      <w:r>
        <w:t>s</w:t>
      </w:r>
      <w:proofErr w:type="spellEnd"/>
      <w:r>
        <w:t xml:space="preserve"> — from obvious physical conduct to subtle psychological manipulation — and may be perpetrated by any person in the workplace, including peers, managers, subordinates, clients, vendors, or contractors.</w:t>
      </w:r>
    </w:p>
    <w:p w:rsidR="003C299D" w:rsidRDefault="00E2045C">
      <w:pPr>
        <w:pStyle w:val="Heading3"/>
      </w:pPr>
      <w:r>
        <w:t>4.2.2 Sexual Harassment — Specific Definitions</w:t>
      </w:r>
    </w:p>
    <w:p w:rsidR="003C299D" w:rsidRDefault="00E2045C">
      <w:pPr>
        <w:spacing w:before="80" w:after="100" w:line="276" w:lineRule="auto"/>
        <w:jc w:val="both"/>
      </w:pPr>
      <w:r>
        <w:t>Sexual</w:t>
      </w:r>
      <w:r>
        <w:t xml:space="preserve"> harassment is a specific and particularly serious form of harassment. </w:t>
      </w:r>
      <w:proofErr w:type="spellStart"/>
      <w:r>
        <w:t>NexaCorp</w:t>
      </w:r>
      <w:proofErr w:type="spellEnd"/>
      <w:r>
        <w:t xml:space="preserve"> </w:t>
      </w:r>
      <w:proofErr w:type="spellStart"/>
      <w:r>
        <w:t>recognises</w:t>
      </w:r>
      <w:proofErr w:type="spellEnd"/>
      <w:r>
        <w:t xml:space="preserve"> and prohibits two legally </w:t>
      </w:r>
      <w:proofErr w:type="spellStart"/>
      <w:r>
        <w:t>recognised</w:t>
      </w:r>
      <w:proofErr w:type="spellEnd"/>
      <w:r>
        <w:t xml:space="preserve"> forms:</w:t>
      </w:r>
    </w:p>
    <w:p w:rsidR="003C299D" w:rsidRDefault="00E2045C">
      <w:pPr>
        <w:pStyle w:val="ListParagraph"/>
        <w:numPr>
          <w:ilvl w:val="0"/>
          <w:numId w:val="2"/>
        </w:numPr>
        <w:spacing w:before="60" w:after="60"/>
      </w:pPr>
      <w:r>
        <w:t xml:space="preserve">Quid Pro Quo Harassment: Where submission to or rejection of sexual advances, requests for sexual </w:t>
      </w:r>
      <w:proofErr w:type="spellStart"/>
      <w:r>
        <w:t>favours</w:t>
      </w:r>
      <w:proofErr w:type="spellEnd"/>
      <w:r>
        <w:t>, or other verba</w:t>
      </w:r>
      <w:r>
        <w:t>l or physical conduct of a sexual nature is made either explicitly or implicitly a term or condition of employment, or is used as the basis for employment decisions. A single severe incident is sufficient to constitute actionable harassment.</w:t>
      </w:r>
    </w:p>
    <w:p w:rsidR="003C299D" w:rsidRDefault="00E2045C">
      <w:pPr>
        <w:pStyle w:val="ListParagraph"/>
        <w:numPr>
          <w:ilvl w:val="0"/>
          <w:numId w:val="2"/>
        </w:numPr>
        <w:spacing w:before="60" w:after="60"/>
      </w:pPr>
      <w:r>
        <w:t>Hostile Work E</w:t>
      </w:r>
      <w:r>
        <w:t xml:space="preserve">nvironment Harassment: Where unwelcome conduct of a sexual nature unreasonably interferes with an individual's work performance or creates an intimidating, hostile, or offensive working environment. This form typically involves a pattern of </w:t>
      </w:r>
      <w:proofErr w:type="spellStart"/>
      <w:r>
        <w:t>behaviour</w:t>
      </w:r>
      <w:proofErr w:type="spellEnd"/>
      <w:r>
        <w:t>, thou</w:t>
      </w:r>
      <w:r>
        <w:t>gh a single egregious act may suffice.</w:t>
      </w:r>
    </w:p>
    <w:p w:rsidR="003C299D" w:rsidRDefault="00E2045C">
      <w:pPr>
        <w:pStyle w:val="Heading3"/>
      </w:pPr>
      <w:r>
        <w:t xml:space="preserve">4.2.3 Prohibited </w:t>
      </w:r>
      <w:proofErr w:type="spellStart"/>
      <w:r>
        <w:t>Behaviours</w:t>
      </w:r>
      <w:proofErr w:type="spellEnd"/>
      <w:r>
        <w:t xml:space="preserve"> — Non-Exhaustive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3C299D">
        <w:tblPrEx>
          <w:tblCellMar>
            <w:top w:w="0" w:type="dxa"/>
            <w:bottom w:w="0" w:type="dxa"/>
          </w:tblCellMar>
        </w:tblPrEx>
        <w:trPr>
          <w:tblHeader/>
        </w:trPr>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lastRenderedPageBreak/>
              <w:t>Category</w:t>
            </w:r>
          </w:p>
        </w:tc>
        <w:tc>
          <w:tcPr>
            <w:tcW w:w="72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Examples of Prohibited Conduct</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Physical</w:t>
            </w:r>
          </w:p>
        </w:tc>
        <w:tc>
          <w:tcPr>
            <w:tcW w:w="7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Unwanted touching, patting, hugging, kissing; blocking physical movement; physical intimidation or assault</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Verbal</w:t>
            </w:r>
          </w:p>
        </w:tc>
        <w:tc>
          <w:tcPr>
            <w:tcW w:w="7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Offensive jokes, slurs, epithets, or name-calling based on protected characteristics; derogatory comments; threats; sexual innuendo</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Visual/Written</w:t>
            </w:r>
          </w:p>
        </w:tc>
        <w:tc>
          <w:tcPr>
            <w:tcW w:w="7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Displaying offensive images, cartoons, or screen content; sending offensive emails, texts, or chat messages; graffiti</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Digital/Electronic</w:t>
            </w:r>
          </w:p>
        </w:tc>
        <w:tc>
          <w:tcPr>
            <w:tcW w:w="7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Harassment via corporate systems, social media, messaging apps, or email; cyberstalking; non-consensual sharing of intimate images</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Environmental</w:t>
            </w:r>
          </w:p>
        </w:tc>
        <w:tc>
          <w:tcPr>
            <w:tcW w:w="7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Excluding someone from meetings, projects, or social events based on protected characteristics; undermining wo</w:t>
            </w:r>
            <w:r>
              <w:rPr>
                <w:sz w:val="19"/>
                <w:szCs w:val="19"/>
              </w:rPr>
              <w:t>rk product; micromanagement motivated by bias</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Third-Party</w:t>
            </w:r>
          </w:p>
        </w:tc>
        <w:tc>
          <w:tcPr>
            <w:tcW w:w="7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Harassment of or by clients, vendors, or contractors occurring in connection with </w:t>
            </w:r>
            <w:proofErr w:type="spellStart"/>
            <w:r>
              <w:rPr>
                <w:sz w:val="19"/>
                <w:szCs w:val="19"/>
              </w:rPr>
              <w:t>NexaCorp</w:t>
            </w:r>
            <w:proofErr w:type="spellEnd"/>
            <w:r>
              <w:rPr>
                <w:sz w:val="19"/>
                <w:szCs w:val="19"/>
              </w:rPr>
              <w:t xml:space="preserve"> business</w:t>
            </w:r>
          </w:p>
        </w:tc>
      </w:tr>
    </w:tbl>
    <w:p w:rsidR="003C299D" w:rsidRDefault="003C299D">
      <w:pPr>
        <w:spacing w:before="100" w:after="100"/>
      </w:pPr>
    </w:p>
    <w:p w:rsidR="003C299D" w:rsidRDefault="00E2045C">
      <w:pPr>
        <w:pStyle w:val="Heading2"/>
      </w:pPr>
      <w:r>
        <w:t>4.3 Reporting &amp; Investigation Procedures</w:t>
      </w:r>
    </w:p>
    <w:p w:rsidR="003C299D" w:rsidRDefault="00E2045C">
      <w:pPr>
        <w:pStyle w:val="Heading3"/>
      </w:pPr>
      <w:r>
        <w:t>4.3.1 Reporting Options</w:t>
      </w:r>
    </w:p>
    <w:p w:rsidR="003C299D" w:rsidRDefault="00E2045C">
      <w:pPr>
        <w:spacing w:before="80" w:after="100" w:line="276" w:lineRule="auto"/>
        <w:jc w:val="both"/>
      </w:pPr>
      <w:r>
        <w:t>Any employee who experiences or witnesses conduct they believe violates this policy is encouraged — and in some cases required under applicable mandatory reporting obligations — to report it promptly. Reports may be made to any of the following:</w:t>
      </w:r>
    </w:p>
    <w:p w:rsidR="003C299D" w:rsidRDefault="00E2045C">
      <w:pPr>
        <w:pStyle w:val="ListParagraph"/>
        <w:numPr>
          <w:ilvl w:val="0"/>
          <w:numId w:val="2"/>
        </w:numPr>
        <w:spacing w:before="60" w:after="60"/>
      </w:pPr>
      <w:r>
        <w:t>The employ</w:t>
      </w:r>
      <w:r>
        <w:t>ee's direct manager (unless the manager is the subject of the complaint).</w:t>
      </w:r>
    </w:p>
    <w:p w:rsidR="003C299D" w:rsidRDefault="00E2045C">
      <w:pPr>
        <w:pStyle w:val="ListParagraph"/>
        <w:numPr>
          <w:ilvl w:val="0"/>
          <w:numId w:val="2"/>
        </w:numPr>
        <w:spacing w:before="60" w:after="60"/>
      </w:pPr>
      <w:r>
        <w:t>Any member of the HR team, including the employee's assigned HR Business Partner.</w:t>
      </w:r>
    </w:p>
    <w:p w:rsidR="003C299D" w:rsidRDefault="00E2045C">
      <w:pPr>
        <w:pStyle w:val="ListParagraph"/>
        <w:numPr>
          <w:ilvl w:val="0"/>
          <w:numId w:val="2"/>
        </w:numPr>
        <w:spacing w:before="60" w:after="60"/>
      </w:pPr>
      <w:r>
        <w:t>The Ethics Hotline (anonymous, 24/7): +1-800-NEX-ETIX or ethics.nexacorp.com.</w:t>
      </w:r>
    </w:p>
    <w:p w:rsidR="003C299D" w:rsidRDefault="00E2045C">
      <w:pPr>
        <w:pStyle w:val="ListParagraph"/>
        <w:numPr>
          <w:ilvl w:val="0"/>
          <w:numId w:val="2"/>
        </w:numPr>
        <w:spacing w:before="60" w:after="60"/>
      </w:pPr>
      <w:r>
        <w:t>The Chief People Offic</w:t>
      </w:r>
      <w:r>
        <w:t>er directly for complaints involving senior leaders.</w:t>
      </w:r>
    </w:p>
    <w:p w:rsidR="003C299D" w:rsidRDefault="00E2045C">
      <w:pPr>
        <w:pStyle w:val="ListParagraph"/>
        <w:numPr>
          <w:ilvl w:val="0"/>
          <w:numId w:val="2"/>
        </w:numPr>
        <w:spacing w:before="60" w:after="60"/>
      </w:pPr>
      <w:r>
        <w:t>External reporting to the EEOC, state fair employment agencies, or equivalent international bodies.</w:t>
      </w:r>
    </w:p>
    <w:p w:rsidR="003C299D" w:rsidRDefault="00E2045C">
      <w:pPr>
        <w:pStyle w:val="Heading3"/>
      </w:pPr>
      <w:r>
        <w:t>4.3.2 Investigation Standards</w:t>
      </w:r>
    </w:p>
    <w:p w:rsidR="003C299D" w:rsidRDefault="00E2045C">
      <w:pPr>
        <w:spacing w:before="80" w:after="100" w:line="276" w:lineRule="auto"/>
        <w:jc w:val="both"/>
      </w:pPr>
      <w:r>
        <w:t>All complaints will be investigated promptly, thoroughly, and impartially</w:t>
      </w:r>
      <w:r>
        <w:t>. The following standards apply:</w:t>
      </w:r>
    </w:p>
    <w:p w:rsidR="003C299D" w:rsidRDefault="00E2045C">
      <w:pPr>
        <w:pStyle w:val="ListParagraph"/>
        <w:numPr>
          <w:ilvl w:val="0"/>
          <w:numId w:val="3"/>
        </w:numPr>
        <w:spacing w:before="60" w:after="60"/>
      </w:pPr>
      <w:r>
        <w:t>A qualified HR investigator or external investigator (for senior-level complaints) will be assigned within 3 business days of receipt of the complaint.</w:t>
      </w:r>
    </w:p>
    <w:p w:rsidR="003C299D" w:rsidRDefault="00E2045C">
      <w:pPr>
        <w:pStyle w:val="ListParagraph"/>
        <w:numPr>
          <w:ilvl w:val="0"/>
          <w:numId w:val="3"/>
        </w:numPr>
        <w:spacing w:before="60" w:after="60"/>
      </w:pPr>
      <w:r>
        <w:t>The investigation will include separate interviews with the complainant</w:t>
      </w:r>
      <w:r>
        <w:t>, the respondent, and all material witnesses. Notes will be taken and retained securely.</w:t>
      </w:r>
    </w:p>
    <w:p w:rsidR="003C299D" w:rsidRDefault="00E2045C">
      <w:pPr>
        <w:pStyle w:val="ListParagraph"/>
        <w:numPr>
          <w:ilvl w:val="0"/>
          <w:numId w:val="3"/>
        </w:numPr>
        <w:spacing w:before="60" w:after="60"/>
      </w:pPr>
      <w:r>
        <w:t>Both parties will have the opportunity to present their account and any supporting evidence (documents, messages, emails, witness names).</w:t>
      </w:r>
    </w:p>
    <w:p w:rsidR="003C299D" w:rsidRDefault="00E2045C">
      <w:pPr>
        <w:pStyle w:val="ListParagraph"/>
        <w:numPr>
          <w:ilvl w:val="0"/>
          <w:numId w:val="3"/>
        </w:numPr>
        <w:spacing w:before="60" w:after="60"/>
      </w:pPr>
      <w:r>
        <w:t>Interim measures (e.g., tempo</w:t>
      </w:r>
      <w:r>
        <w:t>rary schedule changes, reporting structure modifications) may be put in place during the investigation to protect the complainant without prejudicing the outcome.</w:t>
      </w:r>
    </w:p>
    <w:p w:rsidR="003C299D" w:rsidRDefault="00E2045C">
      <w:pPr>
        <w:pStyle w:val="ListParagraph"/>
        <w:numPr>
          <w:ilvl w:val="0"/>
          <w:numId w:val="3"/>
        </w:numPr>
        <w:spacing w:before="60" w:after="60"/>
      </w:pPr>
      <w:r>
        <w:t>The investigation will be completed within 45 business days where possible. Complex matters m</w:t>
      </w:r>
      <w:r>
        <w:t>ay require additional time; parties will be kept informed of any extensions.</w:t>
      </w:r>
    </w:p>
    <w:p w:rsidR="003C299D" w:rsidRDefault="00E2045C">
      <w:pPr>
        <w:pStyle w:val="ListParagraph"/>
        <w:numPr>
          <w:ilvl w:val="0"/>
          <w:numId w:val="3"/>
        </w:numPr>
        <w:spacing w:before="60" w:after="60"/>
      </w:pPr>
      <w:r>
        <w:lastRenderedPageBreak/>
        <w:t>A written Investigation Summary will be prepared and retained in a confidential file. Findings will be communicated to both parties to the extent permissible by law and consistent</w:t>
      </w:r>
      <w:r>
        <w:t xml:space="preserve"> with confidentiality obligations.</w:t>
      </w:r>
    </w:p>
    <w:p w:rsidR="003C299D" w:rsidRDefault="00E2045C">
      <w:pPr>
        <w:pBdr>
          <w:left w:val="single" w:sz="12" w:space="8" w:color="2E75B6"/>
        </w:pBdr>
        <w:spacing w:before="120" w:after="120"/>
        <w:ind w:left="360" w:right="360"/>
      </w:pPr>
      <w:r>
        <w:rPr>
          <w:b/>
          <w:bCs/>
          <w:color w:val="2E75B6"/>
          <w:sz w:val="20"/>
          <w:szCs w:val="20"/>
        </w:rPr>
        <w:t xml:space="preserve">NOTE: </w:t>
      </w:r>
      <w:r>
        <w:rPr>
          <w:i/>
          <w:iCs/>
          <w:sz w:val="20"/>
          <w:szCs w:val="20"/>
        </w:rPr>
        <w:t>Confidentiality of the investigation process will be maintained to the greatest extent possible. Information will be shared only on a strict need-to-know basis. Employees involved in an investigation who breach conf</w:t>
      </w:r>
      <w:r>
        <w:rPr>
          <w:i/>
          <w:iCs/>
          <w:sz w:val="20"/>
          <w:szCs w:val="20"/>
        </w:rPr>
        <w:t>identiality obligations may face separate disciplinary action.</w:t>
      </w:r>
    </w:p>
    <w:p w:rsidR="003C299D" w:rsidRDefault="00E2045C">
      <w:pPr>
        <w:pStyle w:val="Heading2"/>
      </w:pPr>
      <w:r>
        <w:t>4.4 Corrective Actions &amp; Consequences</w:t>
      </w:r>
    </w:p>
    <w:p w:rsidR="003C299D" w:rsidRDefault="00E2045C">
      <w:pPr>
        <w:pStyle w:val="Heading3"/>
      </w:pPr>
      <w:r>
        <w:t>4.4.1 Range of Actions</w:t>
      </w:r>
    </w:p>
    <w:p w:rsidR="003C299D" w:rsidRDefault="00E2045C">
      <w:pPr>
        <w:spacing w:before="80" w:after="100" w:line="276" w:lineRule="auto"/>
        <w:jc w:val="both"/>
      </w:pPr>
      <w:r>
        <w:t xml:space="preserve">Where an investigation substantiates a violation of this policy, </w:t>
      </w:r>
      <w:proofErr w:type="spellStart"/>
      <w:r>
        <w:t>NexaCorp</w:t>
      </w:r>
      <w:proofErr w:type="spellEnd"/>
      <w:r>
        <w:t xml:space="preserve"> will take corrective action that is proportionate to the s</w:t>
      </w:r>
      <w:r>
        <w:t>everity, frequency, and circumstances of the violation. Available actions include but are not limited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40"/>
        <w:gridCol w:w="4320"/>
      </w:tblGrid>
      <w:tr w:rsidR="003C299D">
        <w:tblPrEx>
          <w:tblCellMar>
            <w:top w:w="0" w:type="dxa"/>
            <w:bottom w:w="0" w:type="dxa"/>
          </w:tblCellMar>
        </w:tblPrEx>
        <w:trPr>
          <w:tblHeader/>
        </w:trPr>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Severity Level</w:t>
            </w:r>
          </w:p>
        </w:tc>
        <w:tc>
          <w:tcPr>
            <w:tcW w:w="32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Examples of Conduct</w:t>
            </w:r>
          </w:p>
        </w:tc>
        <w:tc>
          <w:tcPr>
            <w:tcW w:w="43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Range of Consequences</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Level 1 — Minor</w:t>
            </w:r>
          </w:p>
        </w:tc>
        <w:tc>
          <w:tcPr>
            <w:tcW w:w="32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Insensitive comment; isolated unprofessional </w:t>
            </w:r>
            <w:proofErr w:type="spellStart"/>
            <w:r>
              <w:rPr>
                <w:sz w:val="19"/>
                <w:szCs w:val="19"/>
              </w:rPr>
              <w:t>behaviour</w:t>
            </w:r>
            <w:proofErr w:type="spellEnd"/>
            <w:r>
              <w:rPr>
                <w:sz w:val="19"/>
                <w:szCs w:val="19"/>
              </w:rPr>
              <w:t>; first offence with mitigating factors</w:t>
            </w:r>
          </w:p>
        </w:tc>
        <w:tc>
          <w:tcPr>
            <w:tcW w:w="43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Written warning; mandatory re-training; management coaching; Letter placed in file</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Level 2 — Significant</w:t>
            </w:r>
          </w:p>
        </w:tc>
        <w:tc>
          <w:tcPr>
            <w:tcW w:w="32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Pattern of offensive comments; creating exclusionary dynamic; retaliatory </w:t>
            </w:r>
            <w:proofErr w:type="spellStart"/>
            <w:r>
              <w:rPr>
                <w:sz w:val="19"/>
                <w:szCs w:val="19"/>
              </w:rPr>
              <w:t>behaviour</w:t>
            </w:r>
            <w:proofErr w:type="spellEnd"/>
          </w:p>
        </w:tc>
        <w:tc>
          <w:tcPr>
            <w:tcW w:w="43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Final written warning; PIP; demotion; loss of STI bonus; extended monitoring</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Level 3 — Severe</w:t>
            </w:r>
          </w:p>
        </w:tc>
        <w:tc>
          <w:tcPr>
            <w:tcW w:w="32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Quid pro quo harassment; physical harassment; sustained hostile environment; retaliation against complainant</w:t>
            </w:r>
          </w:p>
        </w:tc>
        <w:tc>
          <w:tcPr>
            <w:tcW w:w="43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Immediate suspension pending investigation; termination of employment; referral to law enforcement where applicable</w:t>
            </w:r>
          </w:p>
        </w:tc>
      </w:tr>
    </w:tbl>
    <w:p w:rsidR="003C299D" w:rsidRDefault="003C299D">
      <w:pPr>
        <w:spacing w:before="100" w:after="100"/>
      </w:pPr>
    </w:p>
    <w:p w:rsidR="003C299D" w:rsidRDefault="00E2045C">
      <w:pPr>
        <w:pStyle w:val="Heading3"/>
      </w:pPr>
      <w:r>
        <w:t>4.4.2 Manager Accountability</w:t>
      </w:r>
    </w:p>
    <w:p w:rsidR="003C299D" w:rsidRDefault="00E2045C">
      <w:pPr>
        <w:spacing w:before="80" w:after="100" w:line="276" w:lineRule="auto"/>
        <w:jc w:val="both"/>
      </w:pPr>
      <w:r>
        <w:t>Managers and supervisors have an affirmative obligation to address harassment and discrimination that occurs within their team, even where no formal complaint has been made. A manager who witnesses harassing conduct and fails to take immediate corrective a</w:t>
      </w:r>
      <w:r>
        <w:t xml:space="preserve">ction will be held accountable to the same standard as if they personally engaged in the conduct. Turning a blind eye is not a </w:t>
      </w:r>
      <w:proofErr w:type="spellStart"/>
      <w:r>
        <w:t>defence</w:t>
      </w:r>
      <w:proofErr w:type="spellEnd"/>
      <w:r>
        <w:t>.</w:t>
      </w:r>
    </w:p>
    <w:p w:rsidR="003C299D" w:rsidRDefault="00E2045C">
      <w:r>
        <w:br w:type="page"/>
      </w:r>
    </w:p>
    <w:p w:rsidR="003C299D" w:rsidRDefault="00E2045C">
      <w:pPr>
        <w:shd w:val="clear" w:color="auto" w:fill="1B3A6B"/>
        <w:spacing w:before="500" w:after="300"/>
        <w:jc w:val="center"/>
      </w:pPr>
      <w:r>
        <w:rPr>
          <w:b/>
          <w:bCs/>
          <w:color w:val="FFFFFF"/>
          <w:sz w:val="32"/>
          <w:szCs w:val="32"/>
        </w:rPr>
        <w:lastRenderedPageBreak/>
        <w:t xml:space="preserve">  PART V — IT, DATA &amp; SECURITY POLICIES  </w:t>
      </w:r>
    </w:p>
    <w:p w:rsidR="003C299D" w:rsidRDefault="003C299D">
      <w:pPr>
        <w:spacing w:before="200" w:after="200"/>
      </w:pPr>
    </w:p>
    <w:p w:rsidR="003C299D" w:rsidRDefault="00E2045C">
      <w:pPr>
        <w:pStyle w:val="Heading1"/>
        <w:pBdr>
          <w:bottom w:val="single" w:sz="8" w:space="4" w:color="2E75B6"/>
        </w:pBdr>
      </w:pPr>
      <w:r>
        <w:t>5. IT, Data &amp; Security Policies</w:t>
      </w:r>
    </w:p>
    <w:p w:rsidR="003C299D" w:rsidRDefault="00E2045C">
      <w:pPr>
        <w:spacing w:before="80" w:after="100" w:line="276" w:lineRule="auto"/>
        <w:jc w:val="both"/>
      </w:pPr>
      <w:proofErr w:type="spellStart"/>
      <w:r>
        <w:t>NexaCorp's</w:t>
      </w:r>
      <w:proofErr w:type="spellEnd"/>
      <w:r>
        <w:t xml:space="preserve"> technology assets, data, and inf</w:t>
      </w:r>
      <w:r>
        <w:t xml:space="preserve">ormation systems are critical business assets that must be protected from misuse, </w:t>
      </w:r>
      <w:proofErr w:type="spellStart"/>
      <w:r>
        <w:t>unauthorised</w:t>
      </w:r>
      <w:proofErr w:type="spellEnd"/>
      <w:r>
        <w:t xml:space="preserve"> access, and damage. Every employee who uses </w:t>
      </w:r>
      <w:proofErr w:type="spellStart"/>
      <w:r>
        <w:t>NexaCorp</w:t>
      </w:r>
      <w:proofErr w:type="spellEnd"/>
      <w:r>
        <w:t xml:space="preserve"> systems has a personal responsibility to use them appropriately, securely, and in compliance with this Part </w:t>
      </w:r>
      <w:r>
        <w:t>and all related security standards.</w:t>
      </w:r>
    </w:p>
    <w:p w:rsidR="003C299D" w:rsidRDefault="00E2045C">
      <w:pPr>
        <w:pStyle w:val="Heading2"/>
      </w:pPr>
      <w:r>
        <w:t>5.1 Acceptable Use of Technology</w:t>
      </w:r>
    </w:p>
    <w:p w:rsidR="003C299D" w:rsidRDefault="00E2045C">
      <w:pPr>
        <w:pStyle w:val="Heading3"/>
      </w:pPr>
      <w:r>
        <w:t>5.1.1 Covered Systems</w:t>
      </w:r>
    </w:p>
    <w:p w:rsidR="003C299D" w:rsidRDefault="00E2045C">
      <w:pPr>
        <w:spacing w:before="80" w:after="100" w:line="276" w:lineRule="auto"/>
        <w:jc w:val="both"/>
      </w:pPr>
      <w:r>
        <w:t xml:space="preserve">This policy applies to all </w:t>
      </w:r>
      <w:proofErr w:type="spellStart"/>
      <w:r>
        <w:t>NexaCorp</w:t>
      </w:r>
      <w:proofErr w:type="spellEnd"/>
      <w:r>
        <w:t>-owned, leased, or licensed technology assets (collectively 'Systems'), including but not limited to: desktop and laptop computers; mobile devices (smartphones and tablets, whether company-issued or BYOD); servers; networ</w:t>
      </w:r>
      <w:r>
        <w:t xml:space="preserve">k infrastructure; cloud platforms; collaboration tools (Slack, Microsoft 365, Zoom, etc.); development environments; and any other system accessed using </w:t>
      </w:r>
      <w:proofErr w:type="spellStart"/>
      <w:r>
        <w:t>NexaCorp</w:t>
      </w:r>
      <w:proofErr w:type="spellEnd"/>
      <w:r>
        <w:t xml:space="preserve"> credentials.</w:t>
      </w:r>
    </w:p>
    <w:p w:rsidR="003C299D" w:rsidRDefault="00E2045C">
      <w:pPr>
        <w:pStyle w:val="Heading3"/>
      </w:pPr>
      <w:r>
        <w:t>5.1.2 Permitted Uses</w:t>
      </w:r>
    </w:p>
    <w:p w:rsidR="003C299D" w:rsidRDefault="00E2045C">
      <w:pPr>
        <w:spacing w:before="80" w:after="100" w:line="276" w:lineRule="auto"/>
        <w:jc w:val="both"/>
      </w:pPr>
      <w:r>
        <w:t>Systems may be used for the following purposes:</w:t>
      </w:r>
    </w:p>
    <w:p w:rsidR="003C299D" w:rsidRDefault="00E2045C">
      <w:pPr>
        <w:pStyle w:val="ListParagraph"/>
        <w:numPr>
          <w:ilvl w:val="0"/>
          <w:numId w:val="2"/>
        </w:numPr>
        <w:spacing w:before="60" w:after="60"/>
      </w:pPr>
      <w:r>
        <w:t xml:space="preserve">Conducting </w:t>
      </w:r>
      <w:proofErr w:type="spellStart"/>
      <w:r>
        <w:t>a</w:t>
      </w:r>
      <w:r>
        <w:t>uthorised</w:t>
      </w:r>
      <w:proofErr w:type="spellEnd"/>
      <w:r>
        <w:t xml:space="preserve"> </w:t>
      </w:r>
      <w:proofErr w:type="spellStart"/>
      <w:r>
        <w:t>NexaCorp</w:t>
      </w:r>
      <w:proofErr w:type="spellEnd"/>
      <w:r>
        <w:t xml:space="preserve"> business activities consistent with the employee's role and responsibilities.</w:t>
      </w:r>
    </w:p>
    <w:p w:rsidR="003C299D" w:rsidRDefault="00E2045C">
      <w:pPr>
        <w:pStyle w:val="ListParagraph"/>
        <w:numPr>
          <w:ilvl w:val="0"/>
          <w:numId w:val="2"/>
        </w:numPr>
        <w:spacing w:before="60" w:after="60"/>
      </w:pPr>
      <w:r>
        <w:t>Communicating with clients, partners, vendors, and colleagues in a professional manner.</w:t>
      </w:r>
    </w:p>
    <w:p w:rsidR="003C299D" w:rsidRDefault="00E2045C">
      <w:pPr>
        <w:pStyle w:val="ListParagraph"/>
        <w:numPr>
          <w:ilvl w:val="0"/>
          <w:numId w:val="2"/>
        </w:numPr>
        <w:spacing w:before="60" w:after="60"/>
      </w:pPr>
      <w:r>
        <w:t xml:space="preserve">Accessing </w:t>
      </w:r>
      <w:proofErr w:type="spellStart"/>
      <w:r>
        <w:t>NexaAcademy</w:t>
      </w:r>
      <w:proofErr w:type="spellEnd"/>
      <w:r>
        <w:t>™ and other approved learning resources.</w:t>
      </w:r>
    </w:p>
    <w:p w:rsidR="003C299D" w:rsidRDefault="00E2045C">
      <w:pPr>
        <w:pStyle w:val="ListParagraph"/>
        <w:numPr>
          <w:ilvl w:val="0"/>
          <w:numId w:val="2"/>
        </w:numPr>
        <w:spacing w:before="60" w:after="60"/>
      </w:pPr>
      <w:r>
        <w:t>Limited p</w:t>
      </w:r>
      <w:r>
        <w:t>ersonal use that does not interfere with work duties, consume significant bandwidth, or create legal risk (e.g., checking personal email briefly; visiting news sites). This privilege may be revoked.</w:t>
      </w:r>
    </w:p>
    <w:p w:rsidR="003C299D" w:rsidRDefault="00E2045C">
      <w:pPr>
        <w:pStyle w:val="Heading3"/>
      </w:pPr>
      <w:r>
        <w:t>5.1.3 Prohibited Uses</w:t>
      </w:r>
    </w:p>
    <w:p w:rsidR="003C299D" w:rsidRDefault="00E2045C">
      <w:pPr>
        <w:spacing w:before="80" w:after="100" w:line="276" w:lineRule="auto"/>
        <w:jc w:val="both"/>
      </w:pPr>
      <w:r>
        <w:t xml:space="preserve">The following uses of </w:t>
      </w:r>
      <w:proofErr w:type="spellStart"/>
      <w:r>
        <w:t>NexaCorp</w:t>
      </w:r>
      <w:proofErr w:type="spellEnd"/>
      <w:r>
        <w:t xml:space="preserve"> Syst</w:t>
      </w:r>
      <w:r>
        <w:t>ems are strictly prohibited:</w:t>
      </w:r>
    </w:p>
    <w:p w:rsidR="003C299D" w:rsidRDefault="00E2045C">
      <w:pPr>
        <w:pStyle w:val="ListParagraph"/>
        <w:numPr>
          <w:ilvl w:val="0"/>
          <w:numId w:val="2"/>
        </w:numPr>
        <w:spacing w:before="60" w:after="60"/>
      </w:pPr>
      <w:r>
        <w:t>Accessing, creating, storing, transmitting, or displaying content that is pornographic, violent, discriminatory, threatening, or illegal.</w:t>
      </w:r>
    </w:p>
    <w:p w:rsidR="003C299D" w:rsidRDefault="00E2045C">
      <w:pPr>
        <w:pStyle w:val="ListParagraph"/>
        <w:numPr>
          <w:ilvl w:val="0"/>
          <w:numId w:val="2"/>
        </w:numPr>
        <w:spacing w:before="60" w:after="60"/>
      </w:pPr>
      <w:r>
        <w:t xml:space="preserve">Engaging in cryptocurrency mining using </w:t>
      </w:r>
      <w:proofErr w:type="spellStart"/>
      <w:r>
        <w:t>NexaCorp</w:t>
      </w:r>
      <w:proofErr w:type="spellEnd"/>
      <w:r>
        <w:t xml:space="preserve"> computing resources.</w:t>
      </w:r>
    </w:p>
    <w:p w:rsidR="003C299D" w:rsidRDefault="00E2045C">
      <w:pPr>
        <w:pStyle w:val="ListParagraph"/>
        <w:numPr>
          <w:ilvl w:val="0"/>
          <w:numId w:val="2"/>
        </w:numPr>
        <w:spacing w:before="60" w:after="60"/>
      </w:pPr>
      <w:r>
        <w:t xml:space="preserve">Installing </w:t>
      </w:r>
      <w:proofErr w:type="spellStart"/>
      <w:r>
        <w:t>unauthorised</w:t>
      </w:r>
      <w:proofErr w:type="spellEnd"/>
      <w:r>
        <w:t xml:space="preserve"> software, browser extensions, or plugins without IT approval.</w:t>
      </w:r>
    </w:p>
    <w:p w:rsidR="003C299D" w:rsidRDefault="00E2045C">
      <w:pPr>
        <w:pStyle w:val="ListParagraph"/>
        <w:numPr>
          <w:ilvl w:val="0"/>
          <w:numId w:val="2"/>
        </w:numPr>
        <w:spacing w:before="60" w:after="60"/>
      </w:pPr>
      <w:r>
        <w:t xml:space="preserve">Using </w:t>
      </w:r>
      <w:proofErr w:type="spellStart"/>
      <w:r>
        <w:t>NexaCorp</w:t>
      </w:r>
      <w:proofErr w:type="spellEnd"/>
      <w:r>
        <w:t xml:space="preserve"> systems to operate a personal business or generate personal income unrelated to </w:t>
      </w:r>
      <w:proofErr w:type="spellStart"/>
      <w:r>
        <w:t>NexaCorp</w:t>
      </w:r>
      <w:proofErr w:type="spellEnd"/>
      <w:r>
        <w:t xml:space="preserve"> employment.</w:t>
      </w:r>
    </w:p>
    <w:p w:rsidR="003C299D" w:rsidRDefault="00E2045C">
      <w:pPr>
        <w:pStyle w:val="ListParagraph"/>
        <w:numPr>
          <w:ilvl w:val="0"/>
          <w:numId w:val="2"/>
        </w:numPr>
        <w:spacing w:before="60" w:after="60"/>
      </w:pPr>
      <w:r>
        <w:t>Attempting to access systems, accounts, or data for wh</w:t>
      </w:r>
      <w:r>
        <w:t xml:space="preserve">ich you have not been specifically </w:t>
      </w:r>
      <w:proofErr w:type="spellStart"/>
      <w:r>
        <w:t>authorised</w:t>
      </w:r>
      <w:proofErr w:type="spellEnd"/>
      <w:r>
        <w:t>.</w:t>
      </w:r>
    </w:p>
    <w:p w:rsidR="003C299D" w:rsidRDefault="00E2045C">
      <w:pPr>
        <w:pStyle w:val="ListParagraph"/>
        <w:numPr>
          <w:ilvl w:val="0"/>
          <w:numId w:val="2"/>
        </w:numPr>
        <w:spacing w:before="60" w:after="60"/>
      </w:pPr>
      <w:r>
        <w:t>Sharing credentials (passwords, MFA codes, security tokens) with any person, including colleagues and family members.</w:t>
      </w:r>
    </w:p>
    <w:p w:rsidR="003C299D" w:rsidRDefault="00E2045C">
      <w:pPr>
        <w:pStyle w:val="ListParagraph"/>
        <w:numPr>
          <w:ilvl w:val="0"/>
          <w:numId w:val="2"/>
        </w:numPr>
        <w:spacing w:before="60" w:after="60"/>
      </w:pPr>
      <w:r>
        <w:t>Circumventing data loss prevention (DLP) controls, VPN requirements, or endpoint security s</w:t>
      </w:r>
      <w:r>
        <w:t>oftware.</w:t>
      </w:r>
    </w:p>
    <w:p w:rsidR="003C299D" w:rsidRDefault="00E2045C">
      <w:pPr>
        <w:pStyle w:val="ListParagraph"/>
        <w:numPr>
          <w:ilvl w:val="0"/>
          <w:numId w:val="2"/>
        </w:numPr>
        <w:spacing w:before="60" w:after="60"/>
      </w:pPr>
      <w:r>
        <w:lastRenderedPageBreak/>
        <w:t xml:space="preserve">Connecting personal or unapproved storage devices (USB drives, external hard drives) to </w:t>
      </w:r>
      <w:proofErr w:type="spellStart"/>
      <w:r>
        <w:t>NexaCorp</w:t>
      </w:r>
      <w:proofErr w:type="spellEnd"/>
      <w:r>
        <w:t xml:space="preserve"> systems without express IT approval.</w:t>
      </w:r>
    </w:p>
    <w:p w:rsidR="003C299D" w:rsidRDefault="00E2045C">
      <w:pPr>
        <w:pStyle w:val="ListParagraph"/>
        <w:numPr>
          <w:ilvl w:val="0"/>
          <w:numId w:val="2"/>
        </w:numPr>
        <w:spacing w:before="60" w:after="60"/>
      </w:pPr>
      <w:r>
        <w:t xml:space="preserve">Using personal cloud storage (Google Drive personal, Dropbox personal, iCloud) to store </w:t>
      </w:r>
      <w:proofErr w:type="spellStart"/>
      <w:r>
        <w:t>NexaCorp</w:t>
      </w:r>
      <w:proofErr w:type="spellEnd"/>
      <w:r>
        <w:t xml:space="preserve"> confidential dat</w:t>
      </w:r>
      <w:r>
        <w:t>a.</w:t>
      </w:r>
    </w:p>
    <w:p w:rsidR="003C299D" w:rsidRDefault="00E2045C">
      <w:pPr>
        <w:pStyle w:val="Heading3"/>
      </w:pPr>
      <w:r>
        <w:t>5.1.4 Monitoring &amp; Privacy Notice</w:t>
      </w:r>
    </w:p>
    <w:p w:rsidR="003C299D" w:rsidRDefault="00E2045C">
      <w:pPr>
        <w:spacing w:before="80" w:after="100" w:line="276" w:lineRule="auto"/>
        <w:jc w:val="both"/>
      </w:pPr>
      <w:r>
        <w:t xml:space="preserve">Employees should have no expectation of privacy when using </w:t>
      </w:r>
      <w:proofErr w:type="spellStart"/>
      <w:r>
        <w:t>NexaCorp</w:t>
      </w:r>
      <w:proofErr w:type="spellEnd"/>
      <w:r>
        <w:t xml:space="preserve"> Systems. </w:t>
      </w:r>
      <w:proofErr w:type="spellStart"/>
      <w:r>
        <w:t>NexaCorp</w:t>
      </w:r>
      <w:proofErr w:type="spellEnd"/>
      <w:r>
        <w:t xml:space="preserve"> reserves the right to monitor, access, inspect, and review any content, communications, or activities conducted on its Systems, inclu</w:t>
      </w:r>
      <w:r>
        <w:t>ding emails, chat messages, browser history, files, and application usage logs. Such monitoring may be conducted without prior notice and may be used for disciplinary purposes. In jurisdictions where prior notice or employee consent is required by law (e.g</w:t>
      </w:r>
      <w:r>
        <w:t>., Germany, France, Netherlands), country-specific addenda will specify the applicable monitoring practices and consent mechanisms.</w:t>
      </w:r>
    </w:p>
    <w:p w:rsidR="003C299D" w:rsidRDefault="00E2045C">
      <w:pPr>
        <w:pStyle w:val="Heading2"/>
      </w:pPr>
      <w:r>
        <w:t>5.2 Information Classification &amp; Handling</w:t>
      </w:r>
    </w:p>
    <w:p w:rsidR="003C299D" w:rsidRDefault="00E2045C">
      <w:pPr>
        <w:pStyle w:val="Heading3"/>
      </w:pPr>
      <w:r>
        <w:t>5.2.1 Classification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1"/>
        <w:gridCol w:w="1244"/>
        <w:gridCol w:w="2848"/>
        <w:gridCol w:w="3727"/>
      </w:tblGrid>
      <w:tr w:rsidR="003C299D">
        <w:tblPrEx>
          <w:tblCellMar>
            <w:top w:w="0" w:type="dxa"/>
            <w:bottom w:w="0" w:type="dxa"/>
          </w:tblCellMar>
        </w:tblPrEx>
        <w:trPr>
          <w:tblHeader/>
        </w:trPr>
        <w:tc>
          <w:tcPr>
            <w:tcW w:w="7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Classification</w:t>
            </w:r>
          </w:p>
        </w:tc>
        <w:tc>
          <w:tcPr>
            <w:tcW w:w="10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Label</w:t>
            </w:r>
          </w:p>
        </w:tc>
        <w:tc>
          <w:tcPr>
            <w:tcW w:w="32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Examples</w:t>
            </w:r>
          </w:p>
        </w:tc>
        <w:tc>
          <w:tcPr>
            <w:tcW w:w="43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Handling Requirements</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Tier 1</w:t>
            </w:r>
          </w:p>
        </w:tc>
        <w:tc>
          <w:tcPr>
            <w:tcW w:w="10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Public</w:t>
            </w:r>
          </w:p>
        </w:tc>
        <w:tc>
          <w:tcPr>
            <w:tcW w:w="32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Marketing materials, press releases, published job postings, product datasheets</w:t>
            </w:r>
          </w:p>
        </w:tc>
        <w:tc>
          <w:tcPr>
            <w:tcW w:w="43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No restrictions; may be freely shared externally</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Tier 2</w:t>
            </w:r>
          </w:p>
        </w:tc>
        <w:tc>
          <w:tcPr>
            <w:tcW w:w="10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Internal</w:t>
            </w:r>
          </w:p>
        </w:tc>
        <w:tc>
          <w:tcPr>
            <w:tcW w:w="32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Internal policies, org charts, project plans, internal memos</w:t>
            </w:r>
          </w:p>
        </w:tc>
        <w:tc>
          <w:tcPr>
            <w:tcW w:w="43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Do not share externally without approval; </w:t>
            </w:r>
            <w:proofErr w:type="spellStart"/>
            <w:r>
              <w:rPr>
                <w:sz w:val="19"/>
                <w:szCs w:val="19"/>
              </w:rPr>
              <w:t>NexaCorp</w:t>
            </w:r>
            <w:proofErr w:type="spellEnd"/>
            <w:r>
              <w:rPr>
                <w:sz w:val="19"/>
                <w:szCs w:val="19"/>
              </w:rPr>
              <w:t xml:space="preserve"> email only</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Tier 3</w:t>
            </w:r>
          </w:p>
        </w:tc>
        <w:tc>
          <w:tcPr>
            <w:tcW w:w="10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Confidential</w:t>
            </w:r>
          </w:p>
        </w:tc>
        <w:tc>
          <w:tcPr>
            <w:tcW w:w="32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Client contracts, financial projections, employee compensation data, M&amp;A information</w:t>
            </w:r>
          </w:p>
        </w:tc>
        <w:tc>
          <w:tcPr>
            <w:tcW w:w="43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Encrypt in transit; restrict to need-to-know; no personal devices</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Tier 4</w:t>
            </w:r>
          </w:p>
        </w:tc>
        <w:tc>
          <w:tcPr>
            <w:tcW w:w="10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Restricted</w:t>
            </w:r>
          </w:p>
        </w:tc>
        <w:tc>
          <w:tcPr>
            <w:tcW w:w="32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Source code, encryption keys, MNPI, personal data (PII/PHI), regulated data</w:t>
            </w:r>
          </w:p>
        </w:tc>
        <w:tc>
          <w:tcPr>
            <w:tcW w:w="43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Encrypt at rest and in transit; DLP controls; access logged; no printing</w:t>
            </w:r>
          </w:p>
        </w:tc>
      </w:tr>
    </w:tbl>
    <w:p w:rsidR="003C299D" w:rsidRDefault="003C299D">
      <w:pPr>
        <w:spacing w:before="100" w:after="100"/>
      </w:pPr>
    </w:p>
    <w:p w:rsidR="003C299D" w:rsidRDefault="00E2045C">
      <w:pPr>
        <w:pStyle w:val="Heading3"/>
      </w:pPr>
      <w:r>
        <w:t>5.2.2 Data Retention &amp; Disposal</w:t>
      </w:r>
    </w:p>
    <w:p w:rsidR="003C299D" w:rsidRDefault="00E2045C">
      <w:pPr>
        <w:spacing w:before="80" w:after="100" w:line="276" w:lineRule="auto"/>
        <w:jc w:val="both"/>
      </w:pPr>
      <w:r>
        <w:t xml:space="preserve">All data created, collected, or processed in the course of </w:t>
      </w:r>
      <w:proofErr w:type="spellStart"/>
      <w:r>
        <w:t>NexaCorp</w:t>
      </w:r>
      <w:proofErr w:type="spellEnd"/>
      <w:r>
        <w:t xml:space="preserve"> business is subject to the </w:t>
      </w:r>
      <w:proofErr w:type="spellStart"/>
      <w:r>
        <w:t>NexaCorp</w:t>
      </w:r>
      <w:proofErr w:type="spellEnd"/>
      <w:r>
        <w:t xml:space="preserve"> Data Retention Schedule (DRS), maintained by the Data Governance Council. Employees must not delete or destroy data that may be subject to a litigation </w:t>
      </w:r>
      <w:r>
        <w:t>hold (Legal Hold Notice issued by the CLO's office) or regulatory investigation, regardless of the DRS schedule. When data reaches the end of its retention period, it must be disposed of using approved methods:</w:t>
      </w:r>
    </w:p>
    <w:p w:rsidR="003C299D" w:rsidRDefault="00E2045C">
      <w:pPr>
        <w:pStyle w:val="ListParagraph"/>
        <w:numPr>
          <w:ilvl w:val="0"/>
          <w:numId w:val="2"/>
        </w:numPr>
        <w:spacing w:before="60" w:after="60"/>
      </w:pPr>
      <w:r>
        <w:t>Electronic Data: Cryptographic erasure or ver</w:t>
      </w:r>
      <w:r>
        <w:t>ified overwrite using NIST 800-88-compliant tools. Deletion from trash/recycle bin alone is insufficient.</w:t>
      </w:r>
    </w:p>
    <w:p w:rsidR="003C299D" w:rsidRDefault="00E2045C">
      <w:pPr>
        <w:pStyle w:val="ListParagraph"/>
        <w:numPr>
          <w:ilvl w:val="0"/>
          <w:numId w:val="2"/>
        </w:numPr>
        <w:spacing w:before="60" w:after="60"/>
      </w:pPr>
      <w:r>
        <w:t xml:space="preserve">Physical Documents (Confidential or above): Cross-cut shredding using office-provided shredders or contracted secure document destruction vendors. Do </w:t>
      </w:r>
      <w:r>
        <w:t>not dispose of confidential documents in regular waste bins.</w:t>
      </w:r>
    </w:p>
    <w:p w:rsidR="003C299D" w:rsidRDefault="00E2045C">
      <w:pPr>
        <w:pStyle w:val="ListParagraph"/>
        <w:numPr>
          <w:ilvl w:val="0"/>
          <w:numId w:val="2"/>
        </w:numPr>
        <w:spacing w:before="60" w:after="60"/>
      </w:pPr>
      <w:r>
        <w:t xml:space="preserve">Hardware Containing Data: IT Asset Management team must be notified for all equipment disposals. </w:t>
      </w:r>
      <w:proofErr w:type="spellStart"/>
      <w:r>
        <w:t>Unauthorised</w:t>
      </w:r>
      <w:proofErr w:type="spellEnd"/>
      <w:r>
        <w:t xml:space="preserve"> disposal of </w:t>
      </w:r>
      <w:proofErr w:type="spellStart"/>
      <w:r>
        <w:t>NexaCorp</w:t>
      </w:r>
      <w:proofErr w:type="spellEnd"/>
      <w:r>
        <w:t xml:space="preserve"> hardware is prohibited.</w:t>
      </w:r>
    </w:p>
    <w:p w:rsidR="003C299D" w:rsidRDefault="00E2045C">
      <w:pPr>
        <w:pStyle w:val="Heading2"/>
      </w:pPr>
      <w:r>
        <w:lastRenderedPageBreak/>
        <w:t>5.3 Cybersecurity Incident Response</w:t>
      </w:r>
    </w:p>
    <w:p w:rsidR="003C299D" w:rsidRDefault="00E2045C">
      <w:pPr>
        <w:pStyle w:val="Heading3"/>
      </w:pPr>
      <w:r>
        <w:t>5.3.</w:t>
      </w:r>
      <w:r>
        <w:t>1 What Constitutes a Security Incident</w:t>
      </w:r>
    </w:p>
    <w:p w:rsidR="003C299D" w:rsidRDefault="00E2045C">
      <w:pPr>
        <w:spacing w:before="80" w:after="100" w:line="276" w:lineRule="auto"/>
        <w:jc w:val="both"/>
      </w:pPr>
      <w:r>
        <w:t xml:space="preserve">A security incident is any event that actually or potentially compromises the confidentiality, integrity, or availability of </w:t>
      </w:r>
      <w:proofErr w:type="spellStart"/>
      <w:r>
        <w:t>NexaCorp</w:t>
      </w:r>
      <w:proofErr w:type="spellEnd"/>
      <w:r>
        <w:t xml:space="preserve"> information assets or systems. Employees must report the following to the Security </w:t>
      </w:r>
      <w:r>
        <w:t>Operations Centre (SOC) immediately via security@nexacorp.com or the 24/7 Incident Hotline (+1-415-700-9911):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4702"/>
        <w:gridCol w:w="1836"/>
      </w:tblGrid>
      <w:tr w:rsidR="003C299D">
        <w:tblPrEx>
          <w:tblCellMar>
            <w:top w:w="0" w:type="dxa"/>
            <w:bottom w:w="0" w:type="dxa"/>
          </w:tblCellMar>
        </w:tblPrEx>
        <w:trPr>
          <w:tblHeader/>
        </w:trPr>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Incident Type</w:t>
            </w:r>
          </w:p>
        </w:tc>
        <w:tc>
          <w:tcPr>
            <w:tcW w:w="42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Examples</w:t>
            </w:r>
          </w:p>
        </w:tc>
        <w:tc>
          <w:tcPr>
            <w:tcW w:w="16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Urgency</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Phishing &amp; Social Engineering</w:t>
            </w:r>
          </w:p>
        </w:tc>
        <w:tc>
          <w:tcPr>
            <w:tcW w:w="4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Suspicious email with link/attachment clicked; voice phishing (vishing); fake IT support call</w:t>
            </w:r>
          </w:p>
        </w:tc>
        <w:tc>
          <w:tcPr>
            <w:tcW w:w="16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Same day</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Malware / Ransomware</w:t>
            </w:r>
          </w:p>
        </w:tc>
        <w:tc>
          <w:tcPr>
            <w:tcW w:w="4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Unusual system </w:t>
            </w:r>
            <w:proofErr w:type="spellStart"/>
            <w:r>
              <w:rPr>
                <w:sz w:val="19"/>
                <w:szCs w:val="19"/>
              </w:rPr>
              <w:t>behaviour</w:t>
            </w:r>
            <w:proofErr w:type="spellEnd"/>
            <w:r>
              <w:rPr>
                <w:sz w:val="19"/>
                <w:szCs w:val="19"/>
              </w:rPr>
              <w:t>; files encrypted; ransom note; antivirus alert</w:t>
            </w:r>
          </w:p>
        </w:tc>
        <w:tc>
          <w:tcPr>
            <w:tcW w:w="16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Immediate — disconnect from network</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Credential Compromise</w:t>
            </w:r>
          </w:p>
        </w:tc>
        <w:tc>
          <w:tcPr>
            <w:tcW w:w="4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Unexpected MFA prompt; password reset not initiated by you; account locked</w:t>
            </w:r>
          </w:p>
        </w:tc>
        <w:tc>
          <w:tcPr>
            <w:tcW w:w="16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Immediate</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proofErr w:type="spellStart"/>
            <w:r>
              <w:rPr>
                <w:sz w:val="19"/>
                <w:szCs w:val="19"/>
              </w:rPr>
              <w:t>Unauthorised</w:t>
            </w:r>
            <w:proofErr w:type="spellEnd"/>
            <w:r>
              <w:rPr>
                <w:sz w:val="19"/>
                <w:szCs w:val="19"/>
              </w:rPr>
              <w:t xml:space="preserve"> Access</w:t>
            </w:r>
          </w:p>
        </w:tc>
        <w:tc>
          <w:tcPr>
            <w:tcW w:w="4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proofErr w:type="spellStart"/>
            <w:r>
              <w:rPr>
                <w:sz w:val="19"/>
                <w:szCs w:val="19"/>
              </w:rPr>
              <w:t>Unrecognised</w:t>
            </w:r>
            <w:proofErr w:type="spellEnd"/>
            <w:r>
              <w:rPr>
                <w:sz w:val="19"/>
                <w:szCs w:val="19"/>
              </w:rPr>
              <w:t xml:space="preserve"> logins in system; access to files not in your role scope</w:t>
            </w:r>
          </w:p>
        </w:tc>
        <w:tc>
          <w:tcPr>
            <w:tcW w:w="16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Within 4 hours</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Data Loss / Exfiltration</w:t>
            </w:r>
          </w:p>
        </w:tc>
        <w:tc>
          <w:tcPr>
            <w:tcW w:w="4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Missing data; evidence of bulk data transfer; accidental external sharing of restricted data</w:t>
            </w:r>
          </w:p>
        </w:tc>
        <w:tc>
          <w:tcPr>
            <w:tcW w:w="16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Within 1 hour</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Physical Security Breach</w:t>
            </w:r>
          </w:p>
        </w:tc>
        <w:tc>
          <w:tcPr>
            <w:tcW w:w="4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Tailgating into secure area; lost/stolen device; unattended open workstation</w:t>
            </w:r>
          </w:p>
        </w:tc>
        <w:tc>
          <w:tcPr>
            <w:tcW w:w="16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Within 2 hours</w:t>
            </w:r>
          </w:p>
        </w:tc>
      </w:tr>
    </w:tbl>
    <w:p w:rsidR="003C299D" w:rsidRDefault="003C299D">
      <w:pPr>
        <w:spacing w:before="100" w:after="100"/>
      </w:pPr>
    </w:p>
    <w:p w:rsidR="003C299D" w:rsidRDefault="00E2045C">
      <w:pPr>
        <w:pStyle w:val="Heading3"/>
      </w:pPr>
      <w:r>
        <w:t>5.3.2 Incident Response Process</w:t>
      </w:r>
    </w:p>
    <w:p w:rsidR="003C299D" w:rsidRDefault="00E2045C">
      <w:pPr>
        <w:spacing w:before="80" w:after="100" w:line="276" w:lineRule="auto"/>
        <w:jc w:val="both"/>
      </w:pPr>
      <w:r>
        <w:t xml:space="preserve">Upon receipt of an incident report, the Security Operations Centre follows </w:t>
      </w:r>
      <w:proofErr w:type="spellStart"/>
      <w:r>
        <w:t>NexaCorp's</w:t>
      </w:r>
      <w:proofErr w:type="spellEnd"/>
      <w:r>
        <w:t xml:space="preserve"> NIST CSF-aligned Incident Response Plan (IRP-001):</w:t>
      </w:r>
    </w:p>
    <w:p w:rsidR="003C299D" w:rsidRDefault="00E2045C">
      <w:pPr>
        <w:pStyle w:val="ListParagraph"/>
        <w:numPr>
          <w:ilvl w:val="0"/>
          <w:numId w:val="3"/>
        </w:numPr>
        <w:spacing w:before="60" w:after="60"/>
      </w:pPr>
      <w:r>
        <w:t xml:space="preserve">Identification: Validate the incident, assess initial scope, and assign severity level </w:t>
      </w:r>
      <w:r>
        <w:t>(P1–P4).</w:t>
      </w:r>
    </w:p>
    <w:p w:rsidR="003C299D" w:rsidRDefault="00E2045C">
      <w:pPr>
        <w:pStyle w:val="ListParagraph"/>
        <w:numPr>
          <w:ilvl w:val="0"/>
          <w:numId w:val="3"/>
        </w:numPr>
        <w:spacing w:before="60" w:after="60"/>
      </w:pPr>
      <w:r>
        <w:t>Containment: Isolate affected systems, revoke compromised credentials, and preserve evidence.</w:t>
      </w:r>
    </w:p>
    <w:p w:rsidR="003C299D" w:rsidRDefault="00E2045C">
      <w:pPr>
        <w:pStyle w:val="ListParagraph"/>
        <w:numPr>
          <w:ilvl w:val="0"/>
          <w:numId w:val="3"/>
        </w:numPr>
        <w:spacing w:before="60" w:after="60"/>
      </w:pPr>
      <w:r>
        <w:t>Eradication: Remove malicious code, close exploited vulnerabilities, and remediate root cause.</w:t>
      </w:r>
    </w:p>
    <w:p w:rsidR="003C299D" w:rsidRDefault="00E2045C">
      <w:pPr>
        <w:pStyle w:val="ListParagraph"/>
        <w:numPr>
          <w:ilvl w:val="0"/>
          <w:numId w:val="3"/>
        </w:numPr>
        <w:spacing w:before="60" w:after="60"/>
      </w:pPr>
      <w:r>
        <w:t>Recovery: Restore systems from clean backups, verify integ</w:t>
      </w:r>
      <w:r>
        <w:t>rity, and gradually return to normal operations.</w:t>
      </w:r>
    </w:p>
    <w:p w:rsidR="003C299D" w:rsidRDefault="00E2045C">
      <w:pPr>
        <w:pStyle w:val="ListParagraph"/>
        <w:numPr>
          <w:ilvl w:val="0"/>
          <w:numId w:val="3"/>
        </w:numPr>
        <w:spacing w:before="60" w:after="60"/>
      </w:pPr>
      <w:r>
        <w:t>Post-Incident Review: Conduct blameless post-mortem within 10 business days of containment; update IRP accordingly.</w:t>
      </w:r>
    </w:p>
    <w:p w:rsidR="003C299D" w:rsidRDefault="00E2045C">
      <w:pPr>
        <w:pStyle w:val="ListParagraph"/>
        <w:numPr>
          <w:ilvl w:val="0"/>
          <w:numId w:val="3"/>
        </w:numPr>
        <w:spacing w:before="60" w:after="60"/>
      </w:pPr>
      <w:r>
        <w:t>Regulatory Notification: In cases involving personal data breaches, the Legal and Privacy t</w:t>
      </w:r>
      <w:r>
        <w:t>eams will determine notification obligations within 72 hours (GDPR) or applicable local law timelines.</w:t>
      </w:r>
    </w:p>
    <w:p w:rsidR="003C299D" w:rsidRDefault="00E2045C">
      <w:pPr>
        <w:pStyle w:val="Heading2"/>
      </w:pPr>
      <w:r>
        <w:t>5.4 Data Privacy (GDPR, CCPA &amp; Global)</w:t>
      </w:r>
    </w:p>
    <w:p w:rsidR="003C299D" w:rsidRDefault="00E2045C">
      <w:pPr>
        <w:pStyle w:val="Heading3"/>
      </w:pPr>
      <w:r>
        <w:t>5.4.1 Privacy Principles</w:t>
      </w:r>
    </w:p>
    <w:p w:rsidR="003C299D" w:rsidRDefault="00E2045C">
      <w:pPr>
        <w:spacing w:before="80" w:after="100" w:line="276" w:lineRule="auto"/>
        <w:jc w:val="both"/>
      </w:pPr>
      <w:proofErr w:type="spellStart"/>
      <w:r>
        <w:t>NexaCorp</w:t>
      </w:r>
      <w:proofErr w:type="spellEnd"/>
      <w:r>
        <w:t xml:space="preserve"> is committed to processing personal data responsibly, lawfully, and with respect for individuals' privacy rights. These principles are embedded across all </w:t>
      </w:r>
      <w:proofErr w:type="spellStart"/>
      <w:r>
        <w:t>NexaCorp</w:t>
      </w:r>
      <w:proofErr w:type="spellEnd"/>
      <w:r>
        <w:t xml:space="preserve"> systems, processes, </w:t>
      </w:r>
      <w:r>
        <w:lastRenderedPageBreak/>
        <w:t>and products and are reinforced by the company's global privacy</w:t>
      </w:r>
      <w:r>
        <w:t xml:space="preserve"> </w:t>
      </w:r>
      <w:proofErr w:type="spellStart"/>
      <w:r>
        <w:t>programme</w:t>
      </w:r>
      <w:proofErr w:type="spellEnd"/>
      <w:r>
        <w:t xml:space="preserve">, led by the Chief Privacy Officer (a role within the CISO's </w:t>
      </w:r>
      <w:proofErr w:type="spellStart"/>
      <w:r>
        <w:t>organisation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3C299D">
        <w:tblPrEx>
          <w:tblCellMar>
            <w:top w:w="0" w:type="dxa"/>
            <w:bottom w:w="0" w:type="dxa"/>
          </w:tblCellMar>
        </w:tblPrEx>
        <w:trPr>
          <w:tblHeader/>
        </w:trPr>
        <w:tc>
          <w:tcPr>
            <w:tcW w:w="28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Privacy Principle</w:t>
            </w:r>
          </w:p>
        </w:tc>
        <w:tc>
          <w:tcPr>
            <w:tcW w:w="64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What It Means for Employees</w:t>
            </w:r>
          </w:p>
        </w:tc>
      </w:tr>
      <w:tr w:rsidR="003C299D">
        <w:tblPrEx>
          <w:tblCellMar>
            <w:top w:w="0" w:type="dxa"/>
            <w:bottom w:w="0" w:type="dxa"/>
          </w:tblCellMar>
        </w:tblPrEx>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Lawfulness, Fairness &amp; Transparency</w:t>
            </w:r>
          </w:p>
        </w:tc>
        <w:tc>
          <w:tcPr>
            <w:tcW w:w="64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Personal data must be collected on a legitimate legal basis. Employees must not collect</w:t>
            </w:r>
            <w:r>
              <w:rPr>
                <w:sz w:val="19"/>
                <w:szCs w:val="19"/>
              </w:rPr>
              <w:t xml:space="preserve"> data covertly or deceptively.</w:t>
            </w:r>
          </w:p>
        </w:tc>
      </w:tr>
      <w:tr w:rsidR="003C299D">
        <w:tblPrEx>
          <w:tblCellMar>
            <w:top w:w="0" w:type="dxa"/>
            <w:bottom w:w="0" w:type="dxa"/>
          </w:tblCellMar>
        </w:tblPrEx>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Purpose Limitation</w:t>
            </w:r>
          </w:p>
        </w:tc>
        <w:tc>
          <w:tcPr>
            <w:tcW w:w="64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Data collected for one purpose may not be repurposed for an incompatible use without additional legal basis or consent.</w:t>
            </w:r>
          </w:p>
        </w:tc>
      </w:tr>
      <w:tr w:rsidR="003C299D">
        <w:tblPrEx>
          <w:tblCellMar>
            <w:top w:w="0" w:type="dxa"/>
            <w:bottom w:w="0" w:type="dxa"/>
          </w:tblCellMar>
        </w:tblPrEx>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Data </w:t>
            </w:r>
            <w:proofErr w:type="spellStart"/>
            <w:r>
              <w:rPr>
                <w:sz w:val="19"/>
                <w:szCs w:val="19"/>
              </w:rPr>
              <w:t>Minimisation</w:t>
            </w:r>
            <w:proofErr w:type="spellEnd"/>
          </w:p>
        </w:tc>
        <w:tc>
          <w:tcPr>
            <w:tcW w:w="64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Collect only the data you actually need. Request only the minimum scope of access to client or employee data.</w:t>
            </w:r>
          </w:p>
        </w:tc>
      </w:tr>
      <w:tr w:rsidR="003C299D">
        <w:tblPrEx>
          <w:tblCellMar>
            <w:top w:w="0" w:type="dxa"/>
            <w:bottom w:w="0" w:type="dxa"/>
          </w:tblCellMar>
        </w:tblPrEx>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Accuracy</w:t>
            </w:r>
          </w:p>
        </w:tc>
        <w:tc>
          <w:tcPr>
            <w:tcW w:w="64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Keep personal data accurate and up to date. Correct inaccuracies promptly when discovered.</w:t>
            </w:r>
          </w:p>
        </w:tc>
      </w:tr>
      <w:tr w:rsidR="003C299D">
        <w:tblPrEx>
          <w:tblCellMar>
            <w:top w:w="0" w:type="dxa"/>
            <w:bottom w:w="0" w:type="dxa"/>
          </w:tblCellMar>
        </w:tblPrEx>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Storage Limitation</w:t>
            </w:r>
          </w:p>
        </w:tc>
        <w:tc>
          <w:tcPr>
            <w:tcW w:w="64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Do not retain personal data longer than necessary. Follow the Data Retention Schedule (DRS).</w:t>
            </w:r>
          </w:p>
        </w:tc>
      </w:tr>
      <w:tr w:rsidR="003C299D">
        <w:tblPrEx>
          <w:tblCellMar>
            <w:top w:w="0" w:type="dxa"/>
            <w:bottom w:w="0" w:type="dxa"/>
          </w:tblCellMar>
        </w:tblPrEx>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Security</w:t>
            </w:r>
          </w:p>
        </w:tc>
        <w:tc>
          <w:tcPr>
            <w:tcW w:w="64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Apply appropriate technical and </w:t>
            </w:r>
            <w:proofErr w:type="spellStart"/>
            <w:r>
              <w:rPr>
                <w:sz w:val="19"/>
                <w:szCs w:val="19"/>
              </w:rPr>
              <w:t>organisational</w:t>
            </w:r>
            <w:proofErr w:type="spellEnd"/>
            <w:r>
              <w:rPr>
                <w:sz w:val="19"/>
                <w:szCs w:val="19"/>
              </w:rPr>
              <w:t xml:space="preserve"> measures to protect personal data from </w:t>
            </w:r>
            <w:proofErr w:type="spellStart"/>
            <w:r>
              <w:rPr>
                <w:sz w:val="19"/>
                <w:szCs w:val="19"/>
              </w:rPr>
              <w:t>unauthorised</w:t>
            </w:r>
            <w:proofErr w:type="spellEnd"/>
            <w:r>
              <w:rPr>
                <w:sz w:val="19"/>
                <w:szCs w:val="19"/>
              </w:rPr>
              <w:t xml:space="preserve"> access, loss, or destruction.</w:t>
            </w:r>
          </w:p>
        </w:tc>
      </w:tr>
      <w:tr w:rsidR="003C299D">
        <w:tblPrEx>
          <w:tblCellMar>
            <w:top w:w="0" w:type="dxa"/>
            <w:bottom w:w="0" w:type="dxa"/>
          </w:tblCellMar>
        </w:tblPrEx>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Accountability</w:t>
            </w:r>
          </w:p>
        </w:tc>
        <w:tc>
          <w:tcPr>
            <w:tcW w:w="64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Document privacy decisions and be prepared to demonstrate compliance. Privacy Impact Assessments (PIAs) are mandatory for high-risk processing activities.</w:t>
            </w:r>
          </w:p>
        </w:tc>
      </w:tr>
    </w:tbl>
    <w:p w:rsidR="003C299D" w:rsidRDefault="003C299D">
      <w:pPr>
        <w:spacing w:before="100" w:after="100"/>
      </w:pPr>
    </w:p>
    <w:p w:rsidR="003C299D" w:rsidRDefault="00E2045C">
      <w:pPr>
        <w:pBdr>
          <w:left w:val="single" w:sz="12" w:space="8" w:color="C00000"/>
        </w:pBdr>
        <w:spacing w:before="120" w:after="120"/>
        <w:ind w:left="360" w:right="360"/>
      </w:pPr>
      <w:r>
        <w:rPr>
          <w:b/>
          <w:bCs/>
          <w:color w:val="C00000"/>
          <w:sz w:val="20"/>
          <w:szCs w:val="20"/>
        </w:rPr>
        <w:t xml:space="preserve">IMPORTANT: </w:t>
      </w:r>
      <w:r>
        <w:rPr>
          <w:i/>
          <w:iCs/>
          <w:sz w:val="20"/>
          <w:szCs w:val="20"/>
        </w:rPr>
        <w:t>Any new product feature, internal tool, or business process that involves the collection or processing of personal data requires a Privacy Impact Assessment (PIA) before launch. Submit a PIA request to privacy@nexacorp.com at least 30 days before the plann</w:t>
      </w:r>
      <w:r>
        <w:rPr>
          <w:i/>
          <w:iCs/>
          <w:sz w:val="20"/>
          <w:szCs w:val="20"/>
        </w:rPr>
        <w:t>ed launch date.</w:t>
      </w:r>
    </w:p>
    <w:p w:rsidR="003C299D" w:rsidRDefault="00E2045C">
      <w:r>
        <w:br w:type="page"/>
      </w:r>
    </w:p>
    <w:p w:rsidR="003C299D" w:rsidRDefault="00E2045C">
      <w:pPr>
        <w:shd w:val="clear" w:color="auto" w:fill="1B3A6B"/>
        <w:spacing w:before="500" w:after="300"/>
        <w:jc w:val="center"/>
      </w:pPr>
      <w:r>
        <w:rPr>
          <w:b/>
          <w:bCs/>
          <w:color w:val="FFFFFF"/>
          <w:sz w:val="32"/>
          <w:szCs w:val="32"/>
        </w:rPr>
        <w:lastRenderedPageBreak/>
        <w:t xml:space="preserve">  PART VI — WORKPLACE HEALTH &amp; SAFETY  </w:t>
      </w:r>
    </w:p>
    <w:p w:rsidR="003C299D" w:rsidRDefault="003C299D">
      <w:pPr>
        <w:spacing w:before="200" w:after="200"/>
      </w:pPr>
    </w:p>
    <w:p w:rsidR="003C299D" w:rsidRDefault="00E2045C">
      <w:pPr>
        <w:pStyle w:val="Heading1"/>
        <w:pBdr>
          <w:bottom w:val="single" w:sz="8" w:space="4" w:color="2E75B6"/>
        </w:pBdr>
      </w:pPr>
      <w:r>
        <w:t>6. Workplace Health &amp; Safety</w:t>
      </w:r>
    </w:p>
    <w:p w:rsidR="003C299D" w:rsidRDefault="00E2045C">
      <w:pPr>
        <w:spacing w:before="80" w:after="100" w:line="276" w:lineRule="auto"/>
        <w:jc w:val="both"/>
      </w:pPr>
      <w:proofErr w:type="spellStart"/>
      <w:r>
        <w:t>NexaCorp</w:t>
      </w:r>
      <w:proofErr w:type="spellEnd"/>
      <w:r>
        <w:t xml:space="preserve"> is committed to providing a safe and healthy work environment for all employees, contractors, visitors, and any other person on its premises. This commitment i</w:t>
      </w:r>
      <w:r>
        <w:t>s grounded in our legal obligations under applicable occupational health and safety law (including OSHA in the United States, the UK Health and Safety at Work Act 1974, and equivalent legislation globally) and in our Core Value of Sustainable Impact.</w:t>
      </w:r>
    </w:p>
    <w:p w:rsidR="003C299D" w:rsidRDefault="00E2045C">
      <w:pPr>
        <w:pStyle w:val="Heading2"/>
      </w:pPr>
      <w:r>
        <w:t>6.1 Safety Obligations &amp; Responsibilities</w:t>
      </w:r>
    </w:p>
    <w:p w:rsidR="003C299D" w:rsidRDefault="00E2045C">
      <w:pPr>
        <w:pStyle w:val="Heading3"/>
      </w:pPr>
      <w:r>
        <w:t>6.1.1 Employee Responsibilities</w:t>
      </w:r>
    </w:p>
    <w:p w:rsidR="003C299D" w:rsidRDefault="00E2045C">
      <w:pPr>
        <w:pStyle w:val="ListParagraph"/>
        <w:numPr>
          <w:ilvl w:val="0"/>
          <w:numId w:val="2"/>
        </w:numPr>
        <w:spacing w:before="60" w:after="60"/>
      </w:pPr>
      <w:r>
        <w:t xml:space="preserve">Comply with all </w:t>
      </w:r>
      <w:proofErr w:type="spellStart"/>
      <w:r>
        <w:t>NexaCorp</w:t>
      </w:r>
      <w:proofErr w:type="spellEnd"/>
      <w:r>
        <w:t xml:space="preserve"> safety rules, procedures, and instructions.</w:t>
      </w:r>
    </w:p>
    <w:p w:rsidR="003C299D" w:rsidRDefault="00E2045C">
      <w:pPr>
        <w:pStyle w:val="ListParagraph"/>
        <w:numPr>
          <w:ilvl w:val="0"/>
          <w:numId w:val="2"/>
        </w:numPr>
        <w:spacing w:before="60" w:after="60"/>
      </w:pPr>
      <w:r>
        <w:t>Use personal protective equipment (PPE) where required or provided.</w:t>
      </w:r>
    </w:p>
    <w:p w:rsidR="003C299D" w:rsidRDefault="00E2045C">
      <w:pPr>
        <w:pStyle w:val="ListParagraph"/>
        <w:numPr>
          <w:ilvl w:val="0"/>
          <w:numId w:val="2"/>
        </w:numPr>
        <w:spacing w:before="60" w:after="60"/>
      </w:pPr>
      <w:r>
        <w:t>Report unsafe conditions, hazards, near-misse</w:t>
      </w:r>
      <w:r>
        <w:t>s, and injuries to their manager and the Facilities team immediately.</w:t>
      </w:r>
    </w:p>
    <w:p w:rsidR="003C299D" w:rsidRDefault="00E2045C">
      <w:pPr>
        <w:pStyle w:val="ListParagraph"/>
        <w:numPr>
          <w:ilvl w:val="0"/>
          <w:numId w:val="2"/>
        </w:numPr>
        <w:spacing w:before="60" w:after="60"/>
      </w:pPr>
      <w:r>
        <w:t>Participate in mandatory safety training and emergency drills.</w:t>
      </w:r>
    </w:p>
    <w:p w:rsidR="003C299D" w:rsidRDefault="00E2045C">
      <w:pPr>
        <w:pStyle w:val="ListParagraph"/>
        <w:numPr>
          <w:ilvl w:val="0"/>
          <w:numId w:val="2"/>
        </w:numPr>
        <w:spacing w:before="60" w:after="60"/>
      </w:pPr>
      <w:r>
        <w:t>Not undertake work they believe to be unsafe without first consulting their manager or the Facilities team.</w:t>
      </w:r>
    </w:p>
    <w:p w:rsidR="003C299D" w:rsidRDefault="00E2045C">
      <w:pPr>
        <w:pStyle w:val="ListParagraph"/>
        <w:numPr>
          <w:ilvl w:val="0"/>
          <w:numId w:val="2"/>
        </w:numPr>
        <w:spacing w:before="60" w:after="60"/>
      </w:pPr>
      <w:r>
        <w:t xml:space="preserve">Maintain their </w:t>
      </w:r>
      <w:r>
        <w:t>workspace in an orderly and hazard-free condition.</w:t>
      </w:r>
    </w:p>
    <w:p w:rsidR="003C299D" w:rsidRDefault="00E2045C">
      <w:pPr>
        <w:pStyle w:val="Heading3"/>
      </w:pPr>
      <w:r>
        <w:t>6.1.2 Manager Responsibilities</w:t>
      </w:r>
    </w:p>
    <w:p w:rsidR="003C299D" w:rsidRDefault="00E2045C">
      <w:pPr>
        <w:pStyle w:val="ListParagraph"/>
        <w:numPr>
          <w:ilvl w:val="0"/>
          <w:numId w:val="2"/>
        </w:numPr>
        <w:spacing w:before="60" w:after="60"/>
      </w:pPr>
      <w:r>
        <w:t>Conduct safety inductions for new team members within the first week of employment.</w:t>
      </w:r>
    </w:p>
    <w:p w:rsidR="003C299D" w:rsidRDefault="00E2045C">
      <w:pPr>
        <w:pStyle w:val="ListParagraph"/>
        <w:numPr>
          <w:ilvl w:val="0"/>
          <w:numId w:val="2"/>
        </w:numPr>
        <w:spacing w:before="60" w:after="60"/>
      </w:pPr>
      <w:r>
        <w:t>Ensure safety rules are communicated, understood, and enforced within their team.</w:t>
      </w:r>
    </w:p>
    <w:p w:rsidR="003C299D" w:rsidRDefault="00E2045C">
      <w:pPr>
        <w:pStyle w:val="ListParagraph"/>
        <w:numPr>
          <w:ilvl w:val="0"/>
          <w:numId w:val="2"/>
        </w:numPr>
        <w:spacing w:before="60" w:after="60"/>
      </w:pPr>
      <w:r>
        <w:t>Investig</w:t>
      </w:r>
      <w:r>
        <w:t>ate and document all injuries and near-misses using the Incident Report Form (FAC-INC-01) within 24 hours.</w:t>
      </w:r>
    </w:p>
    <w:p w:rsidR="003C299D" w:rsidRDefault="00E2045C">
      <w:pPr>
        <w:pStyle w:val="ListParagraph"/>
        <w:numPr>
          <w:ilvl w:val="0"/>
          <w:numId w:val="2"/>
        </w:numPr>
        <w:spacing w:before="60" w:after="60"/>
      </w:pPr>
      <w:r>
        <w:t>Conduct team safety audits quarterly and address identified hazards within 15 business days or escalate to Facilities with documented justification.</w:t>
      </w:r>
    </w:p>
    <w:p w:rsidR="003C299D" w:rsidRDefault="00E2045C">
      <w:pPr>
        <w:pStyle w:val="ListParagraph"/>
        <w:numPr>
          <w:ilvl w:val="0"/>
          <w:numId w:val="2"/>
        </w:numPr>
        <w:spacing w:before="60" w:after="60"/>
      </w:pPr>
      <w:r>
        <w:t>Never pressure employees to continue work that they have identified as unsafe.</w:t>
      </w:r>
    </w:p>
    <w:p w:rsidR="003C299D" w:rsidRDefault="00E2045C">
      <w:pPr>
        <w:pStyle w:val="Heading3"/>
      </w:pPr>
      <w:r>
        <w:t>6.1.3 Facilities &amp; EHS Team Responsibilities</w:t>
      </w:r>
    </w:p>
    <w:p w:rsidR="003C299D" w:rsidRDefault="00E2045C">
      <w:pPr>
        <w:spacing w:before="80" w:after="100" w:line="276" w:lineRule="auto"/>
        <w:jc w:val="both"/>
      </w:pPr>
      <w:r>
        <w:t>The Environmental, Health &amp; Safety (EHS) function within the Global Real Estate &amp; Facilities team is responsible for: developing and</w:t>
      </w:r>
      <w:r>
        <w:t xml:space="preserve"> maintaining </w:t>
      </w:r>
      <w:proofErr w:type="spellStart"/>
      <w:r>
        <w:t>NexaCorp's</w:t>
      </w:r>
      <w:proofErr w:type="spellEnd"/>
      <w:r>
        <w:t xml:space="preserve"> Global Safety </w:t>
      </w:r>
      <w:proofErr w:type="spellStart"/>
      <w:r>
        <w:t>Programme</w:t>
      </w:r>
      <w:proofErr w:type="spellEnd"/>
      <w:r>
        <w:t>; ensuring regulatory compliance; managing emergency response planning; conducting annual safety audits; reporting safety performance to executive leadership; and coordinating with external bodies (OSHA inspec</w:t>
      </w:r>
      <w:r>
        <w:t>tors, fire marshals, etc.).</w:t>
      </w:r>
    </w:p>
    <w:p w:rsidR="003C299D" w:rsidRDefault="00E2045C">
      <w:pPr>
        <w:pStyle w:val="Heading2"/>
      </w:pPr>
      <w:r>
        <w:t>6.2 Incident Reporting &amp; Investigation</w:t>
      </w:r>
    </w:p>
    <w:p w:rsidR="003C299D" w:rsidRDefault="00E2045C">
      <w:pPr>
        <w:pStyle w:val="Heading3"/>
      </w:pPr>
      <w:r>
        <w:t>6.2.1 Reporting Timelines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1937"/>
        <w:gridCol w:w="1937"/>
        <w:gridCol w:w="2945"/>
      </w:tblGrid>
      <w:tr w:rsidR="003C299D">
        <w:tblPrEx>
          <w:tblCellMar>
            <w:top w:w="0" w:type="dxa"/>
            <w:bottom w:w="0" w:type="dxa"/>
          </w:tblCellMar>
        </w:tblPrEx>
        <w:trPr>
          <w:tblHeader/>
        </w:trPr>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lastRenderedPageBreak/>
              <w:t>Incident Type</w:t>
            </w:r>
          </w:p>
        </w:tc>
        <w:tc>
          <w:tcPr>
            <w:tcW w:w="19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Initial Report Deadline</w:t>
            </w:r>
          </w:p>
        </w:tc>
        <w:tc>
          <w:tcPr>
            <w:tcW w:w="19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Formal Report Deadline</w:t>
            </w:r>
          </w:p>
        </w:tc>
        <w:tc>
          <w:tcPr>
            <w:tcW w:w="29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Regulatory Notification?</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Work-related fatality</w:t>
            </w:r>
          </w:p>
        </w:tc>
        <w:tc>
          <w:tcPr>
            <w:tcW w:w="1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Immediately (call emergency services first)</w:t>
            </w:r>
          </w:p>
        </w:tc>
        <w:tc>
          <w:tcPr>
            <w:tcW w:w="1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24 hours</w:t>
            </w:r>
          </w:p>
        </w:tc>
        <w:tc>
          <w:tcPr>
            <w:tcW w:w="2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OSHA: within 8 hours</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proofErr w:type="spellStart"/>
            <w:r>
              <w:rPr>
                <w:sz w:val="19"/>
                <w:szCs w:val="19"/>
              </w:rPr>
              <w:t>Hospitalisable</w:t>
            </w:r>
            <w:proofErr w:type="spellEnd"/>
            <w:r>
              <w:rPr>
                <w:sz w:val="19"/>
                <w:szCs w:val="19"/>
              </w:rPr>
              <w:t xml:space="preserve"> injury / amputation / eye loss</w:t>
            </w:r>
          </w:p>
        </w:tc>
        <w:tc>
          <w:tcPr>
            <w:tcW w:w="1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Immediately</w:t>
            </w:r>
          </w:p>
        </w:tc>
        <w:tc>
          <w:tcPr>
            <w:tcW w:w="1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24 hours</w:t>
            </w:r>
          </w:p>
        </w:tc>
        <w:tc>
          <w:tcPr>
            <w:tcW w:w="2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OSHA: within 24 hours</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Recordable injury (first aid, lost time)</w:t>
            </w:r>
          </w:p>
        </w:tc>
        <w:tc>
          <w:tcPr>
            <w:tcW w:w="1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Same day</w:t>
            </w:r>
          </w:p>
        </w:tc>
        <w:tc>
          <w:tcPr>
            <w:tcW w:w="1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72 hours</w:t>
            </w:r>
          </w:p>
        </w:tc>
        <w:tc>
          <w:tcPr>
            <w:tcW w:w="2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OSHA 300 Log update</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Near-miss (no injury)</w:t>
            </w:r>
          </w:p>
        </w:tc>
        <w:tc>
          <w:tcPr>
            <w:tcW w:w="1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Same day</w:t>
            </w:r>
          </w:p>
        </w:tc>
        <w:tc>
          <w:tcPr>
            <w:tcW w:w="1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5 business days</w:t>
            </w:r>
          </w:p>
        </w:tc>
        <w:tc>
          <w:tcPr>
            <w:tcW w:w="2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No — internal only</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Property damage</w:t>
            </w:r>
          </w:p>
        </w:tc>
        <w:tc>
          <w:tcPr>
            <w:tcW w:w="1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Same day</w:t>
            </w:r>
          </w:p>
        </w:tc>
        <w:tc>
          <w:tcPr>
            <w:tcW w:w="1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5 business days</w:t>
            </w:r>
          </w:p>
        </w:tc>
        <w:tc>
          <w:tcPr>
            <w:tcW w:w="2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No — insurance notification per threshold</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Environmental incident</w:t>
            </w:r>
          </w:p>
        </w:tc>
        <w:tc>
          <w:tcPr>
            <w:tcW w:w="1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Immediately if spill/release</w:t>
            </w:r>
          </w:p>
        </w:tc>
        <w:tc>
          <w:tcPr>
            <w:tcW w:w="1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24 hours</w:t>
            </w:r>
          </w:p>
        </w:tc>
        <w:tc>
          <w:tcPr>
            <w:tcW w:w="2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Per Environmental Compliance Plan</w:t>
            </w:r>
          </w:p>
        </w:tc>
      </w:tr>
    </w:tbl>
    <w:p w:rsidR="003C299D" w:rsidRDefault="003C299D">
      <w:pPr>
        <w:spacing w:before="100" w:after="100"/>
      </w:pPr>
    </w:p>
    <w:p w:rsidR="003C299D" w:rsidRDefault="00E2045C">
      <w:pPr>
        <w:pStyle w:val="Heading2"/>
      </w:pPr>
      <w:r>
        <w:t>6.3 Substance Abuse &amp; Drug-Free Workplace</w:t>
      </w:r>
    </w:p>
    <w:p w:rsidR="003C299D" w:rsidRDefault="00E2045C">
      <w:pPr>
        <w:pStyle w:val="Heading3"/>
      </w:pPr>
      <w:r>
        <w:t>6.3.1 Policy Statement</w:t>
      </w:r>
    </w:p>
    <w:p w:rsidR="003C299D" w:rsidRDefault="00E2045C">
      <w:pPr>
        <w:spacing w:before="80" w:after="100" w:line="276" w:lineRule="auto"/>
        <w:jc w:val="both"/>
      </w:pPr>
      <w:proofErr w:type="spellStart"/>
      <w:r>
        <w:t>NexaCorp</w:t>
      </w:r>
      <w:proofErr w:type="spellEnd"/>
      <w:r>
        <w:t xml:space="preserve"> maintains a drug-free workplace. The manufacture, distribution, dispensation, possession, or use of illegal drugs or alcohol on </w:t>
      </w:r>
      <w:proofErr w:type="spellStart"/>
      <w:r>
        <w:t>NexaCorp</w:t>
      </w:r>
      <w:proofErr w:type="spellEnd"/>
      <w:r>
        <w:t xml:space="preserve"> premises, in </w:t>
      </w:r>
      <w:proofErr w:type="spellStart"/>
      <w:r>
        <w:t>NexaCorp</w:t>
      </w:r>
      <w:proofErr w:type="spellEnd"/>
      <w:r>
        <w:t xml:space="preserve"> vehicles, or during work hours (including remote work) is strictl</w:t>
      </w:r>
      <w:r>
        <w:t xml:space="preserve">y prohibited. Additionally, employees must not report to work, operate </w:t>
      </w:r>
      <w:proofErr w:type="spellStart"/>
      <w:r>
        <w:t>NexaCorp</w:t>
      </w:r>
      <w:proofErr w:type="spellEnd"/>
      <w:r>
        <w:t xml:space="preserve"> equipment, or represent </w:t>
      </w:r>
      <w:proofErr w:type="spellStart"/>
      <w:r>
        <w:t>NexaCorp</w:t>
      </w:r>
      <w:proofErr w:type="spellEnd"/>
      <w:r>
        <w:t xml:space="preserve"> while under the influence of alcohol or controlled substances.</w:t>
      </w:r>
    </w:p>
    <w:p w:rsidR="003C299D" w:rsidRDefault="00E2045C">
      <w:pPr>
        <w:spacing w:before="80" w:after="100" w:line="276" w:lineRule="auto"/>
        <w:jc w:val="both"/>
      </w:pPr>
      <w:proofErr w:type="spellStart"/>
      <w:r>
        <w:t>NexaCorp</w:t>
      </w:r>
      <w:proofErr w:type="spellEnd"/>
      <w:r>
        <w:t xml:space="preserve"> reserves the right to conduct drug and alcohol testing in the following circumstances: post-accident (following a workplace incident where impairment may have been a factor); reasonable suspicion (based on observable symptoms); random testing wher</w:t>
      </w:r>
      <w:r>
        <w:t>e permitted by applicable law; and pre-employment testing for roles requiring security clearances or safety-sensitive duties.</w:t>
      </w:r>
    </w:p>
    <w:p w:rsidR="003C299D" w:rsidRDefault="00E2045C">
      <w:pPr>
        <w:pBdr>
          <w:left w:val="single" w:sz="12" w:space="8" w:color="2E75B6"/>
        </w:pBdr>
        <w:spacing w:before="120" w:after="120"/>
        <w:ind w:left="360" w:right="360"/>
      </w:pPr>
      <w:r>
        <w:rPr>
          <w:b/>
          <w:bCs/>
          <w:color w:val="2E75B6"/>
          <w:sz w:val="20"/>
          <w:szCs w:val="20"/>
        </w:rPr>
        <w:t xml:space="preserve">NOTE: </w:t>
      </w:r>
      <w:proofErr w:type="spellStart"/>
      <w:r>
        <w:rPr>
          <w:i/>
          <w:iCs/>
          <w:sz w:val="20"/>
          <w:szCs w:val="20"/>
        </w:rPr>
        <w:t>NexaCorp</w:t>
      </w:r>
      <w:proofErr w:type="spellEnd"/>
      <w:r>
        <w:rPr>
          <w:i/>
          <w:iCs/>
          <w:sz w:val="20"/>
          <w:szCs w:val="20"/>
        </w:rPr>
        <w:t xml:space="preserve"> </w:t>
      </w:r>
      <w:proofErr w:type="spellStart"/>
      <w:r>
        <w:rPr>
          <w:i/>
          <w:iCs/>
          <w:sz w:val="20"/>
          <w:szCs w:val="20"/>
        </w:rPr>
        <w:t>recognises</w:t>
      </w:r>
      <w:proofErr w:type="spellEnd"/>
      <w:r>
        <w:rPr>
          <w:i/>
          <w:iCs/>
          <w:sz w:val="20"/>
          <w:szCs w:val="20"/>
        </w:rPr>
        <w:t xml:space="preserve"> substance abuse as a health condition and encourages employees struggling with dependency to voluntarily</w:t>
      </w:r>
      <w:r>
        <w:rPr>
          <w:i/>
          <w:iCs/>
          <w:sz w:val="20"/>
          <w:szCs w:val="20"/>
        </w:rPr>
        <w:t xml:space="preserve"> seek assistance through the EAP before a workplace incident occurs. Voluntary self-referral to treatment will not itself result in disciplinary action, subject to the employee meeting performance and attendance expectations.</w:t>
      </w:r>
    </w:p>
    <w:p w:rsidR="003C299D" w:rsidRDefault="00E2045C">
      <w:r>
        <w:br w:type="page"/>
      </w:r>
    </w:p>
    <w:p w:rsidR="003C299D" w:rsidRDefault="00E2045C">
      <w:pPr>
        <w:shd w:val="clear" w:color="auto" w:fill="1B3A6B"/>
        <w:spacing w:before="500" w:after="300"/>
        <w:jc w:val="center"/>
      </w:pPr>
      <w:r>
        <w:rPr>
          <w:b/>
          <w:bCs/>
          <w:color w:val="FFFFFF"/>
          <w:sz w:val="32"/>
          <w:szCs w:val="32"/>
        </w:rPr>
        <w:lastRenderedPageBreak/>
        <w:t xml:space="preserve">  PART VII — TRAVEL, EXPENSES &amp; PROCUREMENT  </w:t>
      </w:r>
    </w:p>
    <w:p w:rsidR="003C299D" w:rsidRDefault="003C299D">
      <w:pPr>
        <w:spacing w:before="200" w:after="200"/>
      </w:pPr>
    </w:p>
    <w:p w:rsidR="003C299D" w:rsidRDefault="00E2045C">
      <w:pPr>
        <w:pStyle w:val="Heading1"/>
        <w:pBdr>
          <w:bottom w:val="single" w:sz="8" w:space="4" w:color="2E75B6"/>
        </w:pBdr>
      </w:pPr>
      <w:r>
        <w:t>7. Travel, Expenses &amp; Procurement</w:t>
      </w:r>
    </w:p>
    <w:p w:rsidR="003C299D" w:rsidRDefault="00E2045C">
      <w:pPr>
        <w:pStyle w:val="Heading2"/>
      </w:pPr>
      <w:r>
        <w:t>7.1 Business Travel Policy</w:t>
      </w:r>
    </w:p>
    <w:p w:rsidR="003C299D" w:rsidRDefault="00E2045C">
      <w:pPr>
        <w:pStyle w:val="Heading3"/>
      </w:pPr>
      <w:r>
        <w:t>7.1.1 Purpose &amp; Scope</w:t>
      </w:r>
    </w:p>
    <w:p w:rsidR="003C299D" w:rsidRDefault="00E2045C">
      <w:pPr>
        <w:spacing w:before="80" w:after="100" w:line="276" w:lineRule="auto"/>
        <w:jc w:val="both"/>
      </w:pPr>
      <w:r>
        <w:t>Business travel must be necessary, cost-effective, and conducted in compliance with this policy. Employees should first consid</w:t>
      </w:r>
      <w:r>
        <w:t xml:space="preserve">er whether the purpose of travel can be achieved through video conferencing or other virtual means before </w:t>
      </w:r>
      <w:proofErr w:type="spellStart"/>
      <w:r>
        <w:t>authorising</w:t>
      </w:r>
      <w:proofErr w:type="spellEnd"/>
      <w:r>
        <w:t xml:space="preserve"> or booking travel. Environmental impact is a consideration — </w:t>
      </w:r>
      <w:proofErr w:type="spellStart"/>
      <w:r>
        <w:t>NexaCorp</w:t>
      </w:r>
      <w:proofErr w:type="spellEnd"/>
      <w:r>
        <w:t xml:space="preserve"> tracks and reports on Scope 3 business travel emissions and includes</w:t>
      </w:r>
      <w:r>
        <w:t xml:space="preserve"> travel reduction targets in its annual sustainability commitments.</w:t>
      </w:r>
    </w:p>
    <w:p w:rsidR="003C299D" w:rsidRDefault="00E2045C">
      <w:pPr>
        <w:pStyle w:val="Heading3"/>
      </w:pPr>
      <w:r>
        <w:t>7.1.2 Booking Requirements</w:t>
      </w:r>
    </w:p>
    <w:p w:rsidR="003C299D" w:rsidRDefault="00E2045C">
      <w:pPr>
        <w:pStyle w:val="ListParagraph"/>
        <w:numPr>
          <w:ilvl w:val="0"/>
          <w:numId w:val="2"/>
        </w:numPr>
        <w:spacing w:before="60" w:after="60"/>
      </w:pPr>
      <w:r>
        <w:t xml:space="preserve">All business travel must be booked through </w:t>
      </w:r>
      <w:proofErr w:type="spellStart"/>
      <w:r>
        <w:t>NexaCorp's</w:t>
      </w:r>
      <w:proofErr w:type="spellEnd"/>
      <w:r>
        <w:t xml:space="preserve"> designated Travel Management Company (TMC), currently </w:t>
      </w:r>
      <w:proofErr w:type="spellStart"/>
      <w:r>
        <w:t>TravelConnect</w:t>
      </w:r>
      <w:proofErr w:type="spellEnd"/>
      <w:r>
        <w:t xml:space="preserve"> Pro, via the Concur Travel Portal or mo</w:t>
      </w:r>
      <w:r>
        <w:t>bile app.</w:t>
      </w:r>
    </w:p>
    <w:p w:rsidR="003C299D" w:rsidRDefault="00E2045C">
      <w:pPr>
        <w:pStyle w:val="ListParagraph"/>
        <w:numPr>
          <w:ilvl w:val="0"/>
          <w:numId w:val="2"/>
        </w:numPr>
        <w:spacing w:before="60" w:after="60"/>
      </w:pPr>
      <w:proofErr w:type="spellStart"/>
      <w:r>
        <w:t>Travellers</w:t>
      </w:r>
      <w:proofErr w:type="spellEnd"/>
      <w:r>
        <w:t xml:space="preserve"> must book the lowest reasonable logical fare/rate in the applicable class of service. 'Logical' means achieving the business purpose without undue inconvenience (e.g., avoiding connections with less than 60 minutes transit time for dom</w:t>
      </w:r>
      <w:r>
        <w:t>estic; 90 minutes for international).</w:t>
      </w:r>
    </w:p>
    <w:p w:rsidR="003C299D" w:rsidRDefault="00E2045C">
      <w:pPr>
        <w:pStyle w:val="ListParagraph"/>
        <w:numPr>
          <w:ilvl w:val="0"/>
          <w:numId w:val="2"/>
        </w:numPr>
        <w:spacing w:before="60" w:after="60"/>
      </w:pPr>
      <w:r>
        <w:t xml:space="preserve">Travel exceptions (class upgrades, booking outside TMC) require advance approval from the </w:t>
      </w:r>
      <w:proofErr w:type="spellStart"/>
      <w:r>
        <w:t>traveller's</w:t>
      </w:r>
      <w:proofErr w:type="spellEnd"/>
      <w:r>
        <w:t xml:space="preserve"> Director and Finance BP, documented in the Concur system.</w:t>
      </w:r>
    </w:p>
    <w:p w:rsidR="003C299D" w:rsidRDefault="00E2045C">
      <w:pPr>
        <w:pStyle w:val="ListParagraph"/>
        <w:numPr>
          <w:ilvl w:val="0"/>
          <w:numId w:val="2"/>
        </w:numPr>
        <w:spacing w:before="60" w:after="60"/>
      </w:pPr>
      <w:r>
        <w:t>Trip approval (manager pre-approval in Concur) is required</w:t>
      </w:r>
      <w:r>
        <w:t xml:space="preserve"> for all trips exceeding $1,500 in total estimated cost.</w:t>
      </w:r>
    </w:p>
    <w:p w:rsidR="003C299D" w:rsidRDefault="00E2045C">
      <w:pPr>
        <w:pStyle w:val="Heading3"/>
      </w:pPr>
      <w:r>
        <w:t>7.1.3 Air Travel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2880"/>
        <w:gridCol w:w="2520"/>
      </w:tblGrid>
      <w:tr w:rsidR="003C299D">
        <w:tblPrEx>
          <w:tblCellMar>
            <w:top w:w="0" w:type="dxa"/>
            <w:bottom w:w="0" w:type="dxa"/>
          </w:tblCellMar>
        </w:tblPrEx>
        <w:trPr>
          <w:tblHeader/>
        </w:trPr>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Travel Type</w:t>
            </w:r>
          </w:p>
        </w:tc>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Flight Duration</w:t>
            </w:r>
          </w:p>
        </w:tc>
        <w:tc>
          <w:tcPr>
            <w:tcW w:w="28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Permitted Class</w:t>
            </w:r>
          </w:p>
        </w:tc>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Upgrade Eligibility</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Domestic (US)</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Any duration</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Economy / Basic Economy excluded</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Own funds only</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Short-Haul International</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&lt; 5 hours</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Economy / Premium Economy if price diff &lt; $300</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Own funds only</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Long-Haul International</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5–8 hours</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Premium Economy (with VP+ approval: Business)</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Business class for VP+ only</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Ultra Long-Haul</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&gt; 8 hours</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Business Class (Grade 7+); Economy all others</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ELT: First Class permitted</w:t>
            </w:r>
          </w:p>
        </w:tc>
      </w:tr>
    </w:tbl>
    <w:p w:rsidR="003C299D" w:rsidRDefault="003C299D">
      <w:pPr>
        <w:spacing w:before="100" w:after="100"/>
      </w:pPr>
    </w:p>
    <w:p w:rsidR="003C299D" w:rsidRDefault="00E2045C">
      <w:pPr>
        <w:pStyle w:val="Heading3"/>
      </w:pPr>
      <w:r>
        <w:t>7.1.4 Hotel Accommodation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480"/>
        <w:gridCol w:w="3360"/>
      </w:tblGrid>
      <w:tr w:rsidR="003C299D">
        <w:tblPrEx>
          <w:tblCellMar>
            <w:top w:w="0" w:type="dxa"/>
            <w:bottom w:w="0" w:type="dxa"/>
          </w:tblCellMar>
        </w:tblPrEx>
        <w:trPr>
          <w:tblHeader/>
        </w:trPr>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lastRenderedPageBreak/>
              <w:t>City Tier</w:t>
            </w:r>
          </w:p>
        </w:tc>
        <w:tc>
          <w:tcPr>
            <w:tcW w:w="34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Examples</w:t>
            </w:r>
          </w:p>
        </w:tc>
        <w:tc>
          <w:tcPr>
            <w:tcW w:w="33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Max Nightly Rate (USD, room + tax)</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Tier 1 — Major Global Cities</w:t>
            </w:r>
          </w:p>
        </w:tc>
        <w:tc>
          <w:tcPr>
            <w:tcW w:w="34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New York, London, Tokyo, Singapore, Zurich</w:t>
            </w:r>
          </w:p>
        </w:tc>
        <w:tc>
          <w:tcPr>
            <w:tcW w:w="3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$350</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Tier 2 — Major Regional Cities</w:t>
            </w:r>
          </w:p>
        </w:tc>
        <w:tc>
          <w:tcPr>
            <w:tcW w:w="34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Chicago, Frankfurt, Sydney, Dubai, São Paulo</w:t>
            </w:r>
          </w:p>
        </w:tc>
        <w:tc>
          <w:tcPr>
            <w:tcW w:w="3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$280</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Tier 3 — Secondary Markets</w:t>
            </w:r>
          </w:p>
        </w:tc>
        <w:tc>
          <w:tcPr>
            <w:tcW w:w="34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Austin, Manchester, Melbourne, Riyadh</w:t>
            </w:r>
          </w:p>
        </w:tc>
        <w:tc>
          <w:tcPr>
            <w:tcW w:w="3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$220</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Tier 4 — All Other Locations</w:t>
            </w:r>
          </w:p>
        </w:tc>
        <w:tc>
          <w:tcPr>
            <w:tcW w:w="34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Regional cities, suburban areas, emerging markets</w:t>
            </w:r>
          </w:p>
        </w:tc>
        <w:tc>
          <w:tcPr>
            <w:tcW w:w="33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$180</w:t>
            </w:r>
          </w:p>
        </w:tc>
      </w:tr>
    </w:tbl>
    <w:p w:rsidR="003C299D" w:rsidRDefault="003C299D">
      <w:pPr>
        <w:spacing w:before="100" w:after="100"/>
      </w:pPr>
    </w:p>
    <w:p w:rsidR="003C299D" w:rsidRDefault="00E2045C">
      <w:pPr>
        <w:pBdr>
          <w:left w:val="single" w:sz="12" w:space="8" w:color="2E75B6"/>
        </w:pBdr>
        <w:spacing w:before="120" w:after="120"/>
        <w:ind w:left="360" w:right="360"/>
      </w:pPr>
      <w:r>
        <w:rPr>
          <w:b/>
          <w:bCs/>
          <w:color w:val="2E75B6"/>
          <w:sz w:val="20"/>
          <w:szCs w:val="20"/>
        </w:rPr>
        <w:t xml:space="preserve">NOTE: </w:t>
      </w:r>
      <w:r>
        <w:rPr>
          <w:i/>
          <w:iCs/>
          <w:sz w:val="20"/>
          <w:szCs w:val="20"/>
        </w:rPr>
        <w:t>Hotel rates exceeding tier limits require Finance BP approval in Concur prior to booking. Conference hotels at designated event venues are pre-approved at negotiated rates regardless of tier — book through the conference registration link cited in the even</w:t>
      </w:r>
      <w:r>
        <w:rPr>
          <w:i/>
          <w:iCs/>
          <w:sz w:val="20"/>
          <w:szCs w:val="20"/>
        </w:rPr>
        <w:t>t communications.</w:t>
      </w:r>
    </w:p>
    <w:p w:rsidR="003C299D" w:rsidRDefault="00E2045C">
      <w:pPr>
        <w:pStyle w:val="Heading2"/>
      </w:pPr>
      <w:r>
        <w:t>7.2 Expense Reimbursement</w:t>
      </w:r>
    </w:p>
    <w:p w:rsidR="003C299D" w:rsidRDefault="00E2045C">
      <w:pPr>
        <w:pStyle w:val="Heading3"/>
      </w:pPr>
      <w:r>
        <w:t>7.2.1 General Principles</w:t>
      </w:r>
    </w:p>
    <w:p w:rsidR="003C299D" w:rsidRDefault="00E2045C">
      <w:pPr>
        <w:spacing w:before="80" w:after="100" w:line="276" w:lineRule="auto"/>
        <w:jc w:val="both"/>
      </w:pPr>
      <w:proofErr w:type="spellStart"/>
      <w:r>
        <w:t>NexaCorp</w:t>
      </w:r>
      <w:proofErr w:type="spellEnd"/>
      <w:r>
        <w:t xml:space="preserve"> will reimburse employees for legitimate, necessary, and reasonable business expenses incurred in the course of their duties. Employees are stewards of company resources and must apply the same judgment in spending company funds as they would if sp</w:t>
      </w:r>
      <w:r>
        <w:t>ending their own money. Expense claims must be submitted within 30 days of the expense being incurred. Claims older than 90 days will not be reimbursed without Finance VP approval.</w:t>
      </w:r>
    </w:p>
    <w:p w:rsidR="003C299D" w:rsidRDefault="00E2045C">
      <w:pPr>
        <w:pStyle w:val="Heading3"/>
      </w:pPr>
      <w:r>
        <w:t>7.2.2 Meal Per Diem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520"/>
        <w:gridCol w:w="2520"/>
        <w:gridCol w:w="1920"/>
      </w:tblGrid>
      <w:tr w:rsidR="003C299D">
        <w:tblPrEx>
          <w:tblCellMar>
            <w:top w:w="0" w:type="dxa"/>
            <w:bottom w:w="0" w:type="dxa"/>
          </w:tblCellMar>
        </w:tblPrEx>
        <w:trPr>
          <w:tblHeader/>
        </w:trPr>
        <w:tc>
          <w:tcPr>
            <w:tcW w:w="24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Meal</w:t>
            </w:r>
          </w:p>
        </w:tc>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Domestic (USD)</w:t>
            </w:r>
          </w:p>
        </w:tc>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International — Tier 1 City (USD)</w:t>
            </w:r>
          </w:p>
        </w:tc>
        <w:tc>
          <w:tcPr>
            <w:tcW w:w="19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International — Other (USD)</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Breakfast</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$18</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$28</w:t>
            </w:r>
          </w:p>
        </w:tc>
        <w:tc>
          <w:tcPr>
            <w:tcW w:w="1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$22</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Lunch</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$22</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$35</w:t>
            </w:r>
          </w:p>
        </w:tc>
        <w:tc>
          <w:tcPr>
            <w:tcW w:w="1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$28</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Dinner</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$45</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$75</w:t>
            </w:r>
          </w:p>
        </w:tc>
        <w:tc>
          <w:tcPr>
            <w:tcW w:w="1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$60</w:t>
            </w:r>
          </w:p>
        </w:tc>
      </w:tr>
      <w:tr w:rsidR="003C299D">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Daily Total</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$85</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$138</w:t>
            </w:r>
          </w:p>
        </w:tc>
        <w:tc>
          <w:tcPr>
            <w:tcW w:w="1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$110</w:t>
            </w:r>
          </w:p>
        </w:tc>
      </w:tr>
    </w:tbl>
    <w:p w:rsidR="003C299D" w:rsidRDefault="003C299D">
      <w:pPr>
        <w:spacing w:before="100" w:after="100"/>
      </w:pPr>
    </w:p>
    <w:p w:rsidR="003C299D" w:rsidRDefault="00E2045C">
      <w:pPr>
        <w:spacing w:before="80" w:after="100" w:line="276" w:lineRule="auto"/>
        <w:jc w:val="both"/>
      </w:pPr>
      <w:r>
        <w:t xml:space="preserve">Per </w:t>
      </w:r>
      <w:proofErr w:type="gramStart"/>
      <w:r>
        <w:t>diem</w:t>
      </w:r>
      <w:proofErr w:type="gramEnd"/>
      <w:r>
        <w:t xml:space="preserve"> rates are intended as maximums, not entitlements. Where meals are provided at company expense (e.g., team dinner on company card), employees may not claim per </w:t>
      </w:r>
      <w:proofErr w:type="gramStart"/>
      <w:r>
        <w:t>diem</w:t>
      </w:r>
      <w:proofErr w:type="gramEnd"/>
      <w:r>
        <w:t xml:space="preserve"> for that meal. Alcohol purchased during individual meals on per diem is not reimbur</w:t>
      </w:r>
      <w:r>
        <w:t>sable. Business meals entertaining clients are governed by Section 2.3.</w:t>
      </w:r>
    </w:p>
    <w:p w:rsidR="003C299D" w:rsidRDefault="00E2045C">
      <w:pPr>
        <w:pStyle w:val="Heading3"/>
      </w:pPr>
      <w:r>
        <w:t>7.2.3 Other Reimbursable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4"/>
        <w:gridCol w:w="1685"/>
        <w:gridCol w:w="2699"/>
        <w:gridCol w:w="2372"/>
      </w:tblGrid>
      <w:tr w:rsidR="003C299D">
        <w:tblPrEx>
          <w:tblCellMar>
            <w:top w:w="0" w:type="dxa"/>
            <w:bottom w:w="0" w:type="dxa"/>
          </w:tblCellMar>
        </w:tblPrEx>
        <w:trPr>
          <w:tblHeader/>
        </w:trPr>
        <w:tc>
          <w:tcPr>
            <w:tcW w:w="27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Expense Category</w:t>
            </w:r>
          </w:p>
        </w:tc>
        <w:tc>
          <w:tcPr>
            <w:tcW w:w="12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Reimbursable?</w:t>
            </w:r>
          </w:p>
        </w:tc>
        <w:tc>
          <w:tcPr>
            <w:tcW w:w="28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Limit</w:t>
            </w:r>
          </w:p>
        </w:tc>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Approval Required?</w:t>
            </w:r>
          </w:p>
        </w:tc>
      </w:tr>
      <w:tr w:rsidR="003C299D">
        <w:tblPrEx>
          <w:tblCellMar>
            <w:top w:w="0" w:type="dxa"/>
            <w:bottom w:w="0" w:type="dxa"/>
          </w:tblCellMar>
        </w:tblPrEx>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Ground transport (taxi, rideshare)</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Yes</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Reasonable; prefer public transit where practical</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No (&lt; $50)</w:t>
            </w:r>
          </w:p>
        </w:tc>
      </w:tr>
      <w:tr w:rsidR="003C299D">
        <w:tblPrEx>
          <w:tblCellMar>
            <w:top w:w="0" w:type="dxa"/>
            <w:bottom w:w="0" w:type="dxa"/>
          </w:tblCellMar>
        </w:tblPrEx>
        <w:tc>
          <w:tcPr>
            <w:tcW w:w="2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lastRenderedPageBreak/>
              <w:t>Parking at airport</w:t>
            </w:r>
          </w:p>
        </w:tc>
        <w:tc>
          <w:tcPr>
            <w:tcW w:w="1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Economy lot preferred; max $30/day</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No</w:t>
            </w:r>
          </w:p>
        </w:tc>
      </w:tr>
      <w:tr w:rsidR="003C299D">
        <w:tblPrEx>
          <w:tblCellMar>
            <w:top w:w="0" w:type="dxa"/>
            <w:bottom w:w="0" w:type="dxa"/>
          </w:tblCellMar>
        </w:tblPrEx>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In-flight Wi-Fi</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Yes</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One flight per trip</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No</w:t>
            </w:r>
          </w:p>
        </w:tc>
      </w:tr>
      <w:tr w:rsidR="003C299D">
        <w:tblPrEx>
          <w:tblCellMar>
            <w:top w:w="0" w:type="dxa"/>
            <w:bottom w:w="0" w:type="dxa"/>
          </w:tblCellMar>
        </w:tblPrEx>
        <w:tc>
          <w:tcPr>
            <w:tcW w:w="2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Checked baggage</w:t>
            </w:r>
          </w:p>
        </w:tc>
        <w:tc>
          <w:tcPr>
            <w:tcW w:w="1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First bag only; second only for trips &gt; 7 nights</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No</w:t>
            </w:r>
          </w:p>
        </w:tc>
      </w:tr>
      <w:tr w:rsidR="003C299D">
        <w:tblPrEx>
          <w:tblCellMar>
            <w:top w:w="0" w:type="dxa"/>
            <w:bottom w:w="0" w:type="dxa"/>
          </w:tblCellMar>
        </w:tblPrEx>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Laundry / dry cleaning</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Yes for trips &gt; 5 nights</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$30/day maximum</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No</w:t>
            </w:r>
          </w:p>
        </w:tc>
      </w:tr>
      <w:tr w:rsidR="003C299D">
        <w:tblPrEx>
          <w:tblCellMar>
            <w:top w:w="0" w:type="dxa"/>
            <w:bottom w:w="0" w:type="dxa"/>
          </w:tblCellMar>
        </w:tblPrEx>
        <w:tc>
          <w:tcPr>
            <w:tcW w:w="2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Gym fees</w:t>
            </w:r>
          </w:p>
        </w:tc>
        <w:tc>
          <w:tcPr>
            <w:tcW w:w="1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No</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N/A</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N/A — use quarterly wellness stipend</w:t>
            </w:r>
          </w:p>
        </w:tc>
      </w:tr>
      <w:tr w:rsidR="003C299D">
        <w:tblPrEx>
          <w:tblCellMar>
            <w:top w:w="0" w:type="dxa"/>
            <w:bottom w:w="0" w:type="dxa"/>
          </w:tblCellMar>
        </w:tblPrEx>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Minibar charges</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No</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N/A</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N/A</w:t>
            </w:r>
          </w:p>
        </w:tc>
      </w:tr>
      <w:tr w:rsidR="003C299D">
        <w:tblPrEx>
          <w:tblCellMar>
            <w:top w:w="0" w:type="dxa"/>
            <w:bottom w:w="0" w:type="dxa"/>
          </w:tblCellMar>
        </w:tblPrEx>
        <w:tc>
          <w:tcPr>
            <w:tcW w:w="2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Personal entertainment (movies, etc.)</w:t>
            </w:r>
          </w:p>
        </w:tc>
        <w:tc>
          <w:tcPr>
            <w:tcW w:w="1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No</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N/A</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N/A</w:t>
            </w:r>
          </w:p>
        </w:tc>
      </w:tr>
      <w:tr w:rsidR="003C299D">
        <w:tblPrEx>
          <w:tblCellMar>
            <w:top w:w="0" w:type="dxa"/>
            <w:bottom w:w="0" w:type="dxa"/>
          </w:tblCellMar>
        </w:tblPrEx>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Travel insurance</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Yes</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Must be purchased through TMC</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Included in Concur booking</w:t>
            </w:r>
          </w:p>
        </w:tc>
      </w:tr>
    </w:tbl>
    <w:p w:rsidR="003C299D" w:rsidRDefault="003C299D">
      <w:pPr>
        <w:spacing w:before="100" w:after="100"/>
      </w:pPr>
    </w:p>
    <w:p w:rsidR="003C299D" w:rsidRDefault="00E2045C">
      <w:pPr>
        <w:pStyle w:val="Heading3"/>
      </w:pPr>
      <w:r>
        <w:t>7.2.4 Expense Submission &amp; Audit</w:t>
      </w:r>
    </w:p>
    <w:p w:rsidR="003C299D" w:rsidRDefault="00E2045C">
      <w:pPr>
        <w:spacing w:before="80" w:after="100" w:line="276" w:lineRule="auto"/>
        <w:jc w:val="both"/>
      </w:pPr>
      <w:r>
        <w:t xml:space="preserve">All expenses must be submitted via Concur Expense with </w:t>
      </w:r>
      <w:proofErr w:type="spellStart"/>
      <w:r>
        <w:t>itemised</w:t>
      </w:r>
      <w:proofErr w:type="spellEnd"/>
      <w:r>
        <w:t xml:space="preserve"> receipts attached for any individual expense exceeding $25. Credit card statements alone are not acceptable as receipts. </w:t>
      </w:r>
      <w:proofErr w:type="spellStart"/>
      <w:r>
        <w:t>NexaCorp's</w:t>
      </w:r>
      <w:proofErr w:type="spellEnd"/>
      <w:r>
        <w:t xml:space="preserve"> Finance team audits 100% of expense reports flagged by </w:t>
      </w:r>
      <w:proofErr w:type="spellStart"/>
      <w:r>
        <w:t>Concu</w:t>
      </w:r>
      <w:r>
        <w:t>r's</w:t>
      </w:r>
      <w:proofErr w:type="spellEnd"/>
      <w:r>
        <w:t xml:space="preserve"> automated policy compliance engine, plus a random sample of 15% of all other reports. Fraudulent expense claims will result in immediate termination and may be referred to law enforcement.</w:t>
      </w:r>
    </w:p>
    <w:p w:rsidR="003C299D" w:rsidRDefault="00E2045C">
      <w:pPr>
        <w:pStyle w:val="Heading2"/>
      </w:pPr>
      <w:r>
        <w:t>7.3 Procurement &amp; Vendor Management</w:t>
      </w:r>
    </w:p>
    <w:p w:rsidR="003C299D" w:rsidRDefault="00E2045C">
      <w:pPr>
        <w:pStyle w:val="Heading3"/>
      </w:pPr>
      <w:r>
        <w:t>7.3.1 Procurement Authority</w:t>
      </w:r>
      <w:r>
        <w:t xml:space="preserve"> Matrix</w:t>
      </w:r>
    </w:p>
    <w:p w:rsidR="003C299D" w:rsidRDefault="00E2045C">
      <w:pPr>
        <w:spacing w:before="80" w:after="100" w:line="276" w:lineRule="auto"/>
        <w:jc w:val="both"/>
      </w:pPr>
      <w:r>
        <w:t>Purchase authority is delegated based on the cumulative contract value (including renewals and amendments) and employee grade. Multi-year agreements must have their total contract value used to determine applicable approval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2880"/>
        <w:gridCol w:w="3840"/>
      </w:tblGrid>
      <w:tr w:rsidR="003C299D">
        <w:tblPrEx>
          <w:tblCellMar>
            <w:top w:w="0" w:type="dxa"/>
            <w:bottom w:w="0" w:type="dxa"/>
          </w:tblCellMar>
        </w:tblPrEx>
        <w:trPr>
          <w:tblHeader/>
        </w:trPr>
        <w:tc>
          <w:tcPr>
            <w:tcW w:w="26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Total Contract Va</w:t>
            </w:r>
            <w:r>
              <w:rPr>
                <w:b/>
                <w:bCs/>
                <w:color w:val="FFFFFF"/>
                <w:sz w:val="20"/>
                <w:szCs w:val="20"/>
              </w:rPr>
              <w:t>lue (USD)</w:t>
            </w:r>
          </w:p>
        </w:tc>
        <w:tc>
          <w:tcPr>
            <w:tcW w:w="28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Minimum Approval Authority</w:t>
            </w:r>
          </w:p>
        </w:tc>
        <w:tc>
          <w:tcPr>
            <w:tcW w:w="38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Competitive Bids Required?</w:t>
            </w:r>
          </w:p>
        </w:tc>
      </w:tr>
      <w:tr w:rsidR="003C299D">
        <w:tblPrEx>
          <w:tblCellMar>
            <w:top w:w="0" w:type="dxa"/>
            <w:bottom w:w="0" w:type="dxa"/>
          </w:tblCellMar>
        </w:tblPrEx>
        <w:tc>
          <w:tcPr>
            <w:tcW w:w="26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&lt; $5,000</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Department Manager (Grade 7+)</w:t>
            </w:r>
          </w:p>
        </w:tc>
        <w:tc>
          <w:tcPr>
            <w:tcW w:w="38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No — single quote acceptable</w:t>
            </w:r>
          </w:p>
        </w:tc>
      </w:tr>
      <w:tr w:rsidR="003C299D">
        <w:tblPrEx>
          <w:tblCellMar>
            <w:top w:w="0" w:type="dxa"/>
            <w:bottom w:w="0" w:type="dxa"/>
          </w:tblCellMar>
        </w:tblPrEx>
        <w:tc>
          <w:tcPr>
            <w:tcW w:w="26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$5,001 – $25,000</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Director (Grade 8+) + Finance BP</w:t>
            </w:r>
          </w:p>
        </w:tc>
        <w:tc>
          <w:tcPr>
            <w:tcW w:w="38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3 quotes required</w:t>
            </w:r>
          </w:p>
        </w:tc>
      </w:tr>
      <w:tr w:rsidR="003C299D">
        <w:tblPrEx>
          <w:tblCellMar>
            <w:top w:w="0" w:type="dxa"/>
            <w:bottom w:w="0" w:type="dxa"/>
          </w:tblCellMar>
        </w:tblPrEx>
        <w:tc>
          <w:tcPr>
            <w:tcW w:w="26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$25,001 – $100,000</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VP (Grade 9+) + Finance Director</w:t>
            </w:r>
          </w:p>
        </w:tc>
        <w:tc>
          <w:tcPr>
            <w:tcW w:w="38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3 quotes + written justification for preferred vendor</w:t>
            </w:r>
          </w:p>
        </w:tc>
      </w:tr>
      <w:tr w:rsidR="003C299D">
        <w:tblPrEx>
          <w:tblCellMar>
            <w:top w:w="0" w:type="dxa"/>
            <w:bottom w:w="0" w:type="dxa"/>
          </w:tblCellMar>
        </w:tblPrEx>
        <w:tc>
          <w:tcPr>
            <w:tcW w:w="26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$100,001 – $500,000</w:t>
            </w:r>
          </w:p>
        </w:tc>
        <w:tc>
          <w:tcPr>
            <w:tcW w:w="28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CFO or designee</w:t>
            </w:r>
          </w:p>
        </w:tc>
        <w:tc>
          <w:tcPr>
            <w:tcW w:w="38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Formal RFP required; Procurement team involvement mandatory</w:t>
            </w:r>
          </w:p>
        </w:tc>
      </w:tr>
      <w:tr w:rsidR="003C299D">
        <w:tblPrEx>
          <w:tblCellMar>
            <w:top w:w="0" w:type="dxa"/>
            <w:bottom w:w="0" w:type="dxa"/>
          </w:tblCellMar>
        </w:tblPrEx>
        <w:tc>
          <w:tcPr>
            <w:tcW w:w="26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&gt; $500,000</w:t>
            </w:r>
          </w:p>
        </w:tc>
        <w:tc>
          <w:tcPr>
            <w:tcW w:w="28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CFO + CEO + Board notification</w:t>
            </w:r>
          </w:p>
        </w:tc>
        <w:tc>
          <w:tcPr>
            <w:tcW w:w="38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Formal RFP + Legal review + Board notification required</w:t>
            </w:r>
          </w:p>
        </w:tc>
      </w:tr>
    </w:tbl>
    <w:p w:rsidR="003C299D" w:rsidRDefault="003C299D">
      <w:pPr>
        <w:spacing w:before="100" w:after="100"/>
      </w:pPr>
    </w:p>
    <w:p w:rsidR="003C299D" w:rsidRDefault="00E2045C">
      <w:pPr>
        <w:pStyle w:val="Heading3"/>
      </w:pPr>
      <w:r>
        <w:lastRenderedPageBreak/>
        <w:t>7.3.2 Vendor Qualification &amp; Due Diligence</w:t>
      </w:r>
    </w:p>
    <w:p w:rsidR="003C299D" w:rsidRDefault="00E2045C">
      <w:pPr>
        <w:spacing w:before="80" w:after="100" w:line="276" w:lineRule="auto"/>
        <w:jc w:val="both"/>
      </w:pPr>
      <w:r>
        <w:t>Before any new vendor may be engaged, the Procurement team must complete a Vendor Qualification Assessment (VQA) covering: financial stability (Dun &amp; Bradstreet or equivalent); sanctions screening against OFAC, EU</w:t>
      </w:r>
      <w:r>
        <w:t xml:space="preserve">, and UN consolidated lists; anti-bribery due diligence proportionate to country risk and contract value; information security assessment for any vendor with access to </w:t>
      </w:r>
      <w:proofErr w:type="spellStart"/>
      <w:r>
        <w:t>NexaCorp</w:t>
      </w:r>
      <w:proofErr w:type="spellEnd"/>
      <w:r>
        <w:t xml:space="preserve"> systems or data; and insurance verification (general liability, E&amp;O/professiona</w:t>
      </w:r>
      <w:r>
        <w:t>l indemnity, cyber liability where applicable).</w:t>
      </w:r>
    </w:p>
    <w:p w:rsidR="003C299D" w:rsidRDefault="00E2045C">
      <w:pPr>
        <w:pBdr>
          <w:left w:val="single" w:sz="12" w:space="8" w:color="E36B00"/>
        </w:pBdr>
        <w:spacing w:before="120" w:after="120"/>
        <w:ind w:left="360" w:right="360"/>
      </w:pPr>
      <w:r>
        <w:rPr>
          <w:b/>
          <w:bCs/>
          <w:color w:val="E36B00"/>
          <w:sz w:val="20"/>
          <w:szCs w:val="20"/>
        </w:rPr>
        <w:t xml:space="preserve">WARNING: </w:t>
      </w:r>
      <w:r>
        <w:rPr>
          <w:i/>
          <w:iCs/>
          <w:sz w:val="20"/>
          <w:szCs w:val="20"/>
        </w:rPr>
        <w:t xml:space="preserve">No </w:t>
      </w:r>
      <w:proofErr w:type="spellStart"/>
      <w:r>
        <w:rPr>
          <w:i/>
          <w:iCs/>
          <w:sz w:val="20"/>
          <w:szCs w:val="20"/>
        </w:rPr>
        <w:t>NexaCorp</w:t>
      </w:r>
      <w:proofErr w:type="spellEnd"/>
      <w:r>
        <w:rPr>
          <w:i/>
          <w:iCs/>
          <w:sz w:val="20"/>
          <w:szCs w:val="20"/>
        </w:rPr>
        <w:t xml:space="preserve"> employee may begin receiving services from or making payments to a vendor that has not been formally registered and approved in the </w:t>
      </w:r>
      <w:proofErr w:type="spellStart"/>
      <w:r>
        <w:rPr>
          <w:i/>
          <w:iCs/>
          <w:sz w:val="20"/>
          <w:szCs w:val="20"/>
        </w:rPr>
        <w:t>NexaProcure</w:t>
      </w:r>
      <w:proofErr w:type="spellEnd"/>
      <w:r>
        <w:rPr>
          <w:i/>
          <w:iCs/>
          <w:sz w:val="20"/>
          <w:szCs w:val="20"/>
        </w:rPr>
        <w:t xml:space="preserve"> system. Commitment letters, emails, or verb</w:t>
      </w:r>
      <w:r>
        <w:rPr>
          <w:i/>
          <w:iCs/>
          <w:sz w:val="20"/>
          <w:szCs w:val="20"/>
        </w:rPr>
        <w:t xml:space="preserve">al agreements with unregistered vendors do not bind </w:t>
      </w:r>
      <w:proofErr w:type="spellStart"/>
      <w:r>
        <w:rPr>
          <w:i/>
          <w:iCs/>
          <w:sz w:val="20"/>
          <w:szCs w:val="20"/>
        </w:rPr>
        <w:t>NexaCorp</w:t>
      </w:r>
      <w:proofErr w:type="spellEnd"/>
      <w:r>
        <w:rPr>
          <w:i/>
          <w:iCs/>
          <w:sz w:val="20"/>
          <w:szCs w:val="20"/>
        </w:rPr>
        <w:t xml:space="preserve"> legally but may expose the individual employee to personal liability.</w:t>
      </w:r>
    </w:p>
    <w:p w:rsidR="003C299D" w:rsidRDefault="00E2045C">
      <w:r>
        <w:br w:type="page"/>
      </w:r>
    </w:p>
    <w:p w:rsidR="003C299D" w:rsidRDefault="00E2045C">
      <w:pPr>
        <w:shd w:val="clear" w:color="auto" w:fill="1B3A6B"/>
        <w:spacing w:before="500" w:after="300"/>
        <w:jc w:val="center"/>
      </w:pPr>
      <w:r>
        <w:rPr>
          <w:b/>
          <w:bCs/>
          <w:color w:val="FFFFFF"/>
          <w:sz w:val="32"/>
          <w:szCs w:val="32"/>
        </w:rPr>
        <w:lastRenderedPageBreak/>
        <w:t xml:space="preserve">  PART VIII — DISCIPLINARY &amp; SEPARATION PROCEDURES  </w:t>
      </w:r>
    </w:p>
    <w:p w:rsidR="003C299D" w:rsidRDefault="003C299D">
      <w:pPr>
        <w:spacing w:before="200" w:after="200"/>
      </w:pPr>
    </w:p>
    <w:p w:rsidR="003C299D" w:rsidRDefault="00E2045C">
      <w:pPr>
        <w:pStyle w:val="Heading1"/>
        <w:pBdr>
          <w:bottom w:val="single" w:sz="8" w:space="4" w:color="2E75B6"/>
        </w:pBdr>
      </w:pPr>
      <w:r>
        <w:t>8. Disciplinary &amp; Separation Procedures</w:t>
      </w:r>
    </w:p>
    <w:p w:rsidR="003C299D" w:rsidRDefault="00E2045C">
      <w:pPr>
        <w:spacing w:before="80" w:after="100" w:line="276" w:lineRule="auto"/>
        <w:jc w:val="both"/>
      </w:pPr>
      <w:proofErr w:type="spellStart"/>
      <w:r>
        <w:t>NexaCorp's</w:t>
      </w:r>
      <w:proofErr w:type="spellEnd"/>
      <w:r>
        <w:t xml:space="preserve"> disciplinary procedures are designed to be fair, consistent, and transparent. The company believes in addressing performance and conduct issues constructively and proportionately, with a genuine goal of rehabilitation where appropriate. However,</w:t>
      </w:r>
      <w:r>
        <w:t xml:space="preserve"> </w:t>
      </w:r>
      <w:proofErr w:type="spellStart"/>
      <w:r>
        <w:t>NexaCorp</w:t>
      </w:r>
      <w:proofErr w:type="spellEnd"/>
      <w:r>
        <w:t xml:space="preserve"> also </w:t>
      </w:r>
      <w:proofErr w:type="spellStart"/>
      <w:r>
        <w:t>recognises</w:t>
      </w:r>
      <w:proofErr w:type="spellEnd"/>
      <w:r>
        <w:t xml:space="preserve"> that certain </w:t>
      </w:r>
      <w:proofErr w:type="spellStart"/>
      <w:r>
        <w:t>behaviours</w:t>
      </w:r>
      <w:proofErr w:type="spellEnd"/>
      <w:r>
        <w:t xml:space="preserve"> are incompatible with continued employment and will be addressed decisively.</w:t>
      </w:r>
    </w:p>
    <w:p w:rsidR="003C299D" w:rsidRDefault="00E2045C">
      <w:pPr>
        <w:pStyle w:val="Heading2"/>
      </w:pPr>
      <w:r>
        <w:t>8.1 Progressive Discipline Framework</w:t>
      </w:r>
    </w:p>
    <w:p w:rsidR="003C299D" w:rsidRDefault="00E2045C">
      <w:pPr>
        <w:pStyle w:val="Heading3"/>
      </w:pPr>
      <w:r>
        <w:t>8.1.1 Overview</w:t>
      </w:r>
    </w:p>
    <w:p w:rsidR="003C299D" w:rsidRDefault="00E2045C">
      <w:pPr>
        <w:spacing w:before="80" w:after="100" w:line="276" w:lineRule="auto"/>
        <w:jc w:val="both"/>
      </w:pPr>
      <w:r>
        <w:t>The progressive discipline framework is applied to conduct and performance is</w:t>
      </w:r>
      <w:r>
        <w:t xml:space="preserve">sues that do not rise to the level of gross misconduct. The steps are designed to be escalating in severity, giving employees notice of the issue and opportunity to correct their </w:t>
      </w:r>
      <w:proofErr w:type="spellStart"/>
      <w:r>
        <w:t>behaviour</w:t>
      </w:r>
      <w:proofErr w:type="spellEnd"/>
      <w:r>
        <w:t xml:space="preserve"> at each stage. It is important to note that </w:t>
      </w:r>
      <w:proofErr w:type="spellStart"/>
      <w:r>
        <w:t>NexaCorp</w:t>
      </w:r>
      <w:proofErr w:type="spellEnd"/>
      <w:r>
        <w:t xml:space="preserve"> is not require</w:t>
      </w:r>
      <w:r>
        <w:t>d to progress through each step in sequence — the appropriate starting point depends on the severity and nature of the issue.</w:t>
      </w:r>
    </w:p>
    <w:p w:rsidR="003C299D" w:rsidRDefault="00E2045C">
      <w:pPr>
        <w:pStyle w:val="Heading3"/>
      </w:pPr>
      <w:r>
        <w:t>8.1.2 Disciplinary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4"/>
        <w:gridCol w:w="2031"/>
        <w:gridCol w:w="1908"/>
        <w:gridCol w:w="1673"/>
        <w:gridCol w:w="2504"/>
      </w:tblGrid>
      <w:tr w:rsidR="003C299D">
        <w:tblPrEx>
          <w:tblCellMar>
            <w:top w:w="0" w:type="dxa"/>
            <w:bottom w:w="0" w:type="dxa"/>
          </w:tblCellMar>
        </w:tblPrEx>
        <w:trPr>
          <w:tblHeader/>
        </w:trPr>
        <w:tc>
          <w:tcPr>
            <w:tcW w:w="12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Step</w:t>
            </w:r>
          </w:p>
        </w:tc>
        <w:tc>
          <w:tcPr>
            <w:tcW w:w="20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Format</w:t>
            </w:r>
          </w:p>
        </w:tc>
        <w:tc>
          <w:tcPr>
            <w:tcW w:w="19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Who Delivers</w:t>
            </w:r>
          </w:p>
        </w:tc>
        <w:tc>
          <w:tcPr>
            <w:tcW w:w="16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Duration in File</w:t>
            </w:r>
          </w:p>
        </w:tc>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Triggers for Escalation</w:t>
            </w:r>
          </w:p>
        </w:tc>
      </w:tr>
      <w:tr w:rsidR="003C299D">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 Informal Counselling</w:t>
            </w:r>
          </w:p>
        </w:tc>
        <w:tc>
          <w:tcPr>
            <w:tcW w:w="20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Documented conversation (manager notes)</w:t>
            </w:r>
          </w:p>
        </w:tc>
        <w:tc>
          <w:tcPr>
            <w:tcW w:w="1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Direct Manager</w:t>
            </w:r>
          </w:p>
        </w:tc>
        <w:tc>
          <w:tcPr>
            <w:tcW w:w="1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6 months</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Recurrence within active period</w:t>
            </w:r>
          </w:p>
        </w:tc>
      </w:tr>
      <w:tr w:rsidR="003C299D">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 Verbal Warning</w:t>
            </w:r>
          </w:p>
        </w:tc>
        <w:tc>
          <w:tcPr>
            <w:tcW w:w="20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Written confirmation of verbal discussion</w:t>
            </w:r>
          </w:p>
        </w:tc>
        <w:tc>
          <w:tcPr>
            <w:tcW w:w="1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Manager + HR BP present</w:t>
            </w:r>
          </w:p>
        </w:tc>
        <w:tc>
          <w:tcPr>
            <w:tcW w:w="16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12 months</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Recurrence or related new violation</w:t>
            </w:r>
          </w:p>
        </w:tc>
      </w:tr>
      <w:tr w:rsidR="003C299D">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3. First Written Warning</w:t>
            </w:r>
          </w:p>
        </w:tc>
        <w:tc>
          <w:tcPr>
            <w:tcW w:w="20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Formal warning letter signed by manager and HR</w:t>
            </w:r>
          </w:p>
        </w:tc>
        <w:tc>
          <w:tcPr>
            <w:tcW w:w="1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Manager + HR BP</w:t>
            </w:r>
          </w:p>
        </w:tc>
        <w:tc>
          <w:tcPr>
            <w:tcW w:w="1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12 months</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Recurrence or any new policy violation</w:t>
            </w:r>
          </w:p>
        </w:tc>
      </w:tr>
      <w:tr w:rsidR="003C299D">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4. Final Written Warning</w:t>
            </w:r>
          </w:p>
        </w:tc>
        <w:tc>
          <w:tcPr>
            <w:tcW w:w="20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Formal letter with explicit termination notice</w:t>
            </w:r>
          </w:p>
        </w:tc>
        <w:tc>
          <w:tcPr>
            <w:tcW w:w="1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Manager + HR Director</w:t>
            </w:r>
          </w:p>
        </w:tc>
        <w:tc>
          <w:tcPr>
            <w:tcW w:w="16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24 months</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Any further violation; no time threshold</w:t>
            </w:r>
          </w:p>
        </w:tc>
      </w:tr>
      <w:tr w:rsidR="003C299D">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5. Termination</w:t>
            </w:r>
          </w:p>
        </w:tc>
        <w:tc>
          <w:tcPr>
            <w:tcW w:w="20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Termination letter; last day defined</w:t>
            </w:r>
          </w:p>
        </w:tc>
        <w:tc>
          <w:tcPr>
            <w:tcW w:w="1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HR Director + Manager</w:t>
            </w:r>
          </w:p>
        </w:tc>
        <w:tc>
          <w:tcPr>
            <w:tcW w:w="1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Permanent record</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N/A</w:t>
            </w:r>
          </w:p>
        </w:tc>
      </w:tr>
    </w:tbl>
    <w:p w:rsidR="003C299D" w:rsidRDefault="003C299D">
      <w:pPr>
        <w:spacing w:before="100" w:after="100"/>
      </w:pPr>
    </w:p>
    <w:p w:rsidR="003C299D" w:rsidRDefault="00E2045C">
      <w:pPr>
        <w:pStyle w:val="Heading3"/>
      </w:pPr>
      <w:r>
        <w:t>8.1.3 Due Process Rights</w:t>
      </w:r>
    </w:p>
    <w:p w:rsidR="003C299D" w:rsidRDefault="00E2045C">
      <w:pPr>
        <w:spacing w:before="80" w:after="100" w:line="276" w:lineRule="auto"/>
        <w:jc w:val="both"/>
      </w:pPr>
      <w:r>
        <w:t>At each stage of the disciplinary process (from Step 2 onwards), employees are entitled to:</w:t>
      </w:r>
    </w:p>
    <w:p w:rsidR="003C299D" w:rsidRDefault="00E2045C">
      <w:pPr>
        <w:pStyle w:val="ListParagraph"/>
        <w:numPr>
          <w:ilvl w:val="0"/>
          <w:numId w:val="2"/>
        </w:numPr>
        <w:spacing w:before="60" w:after="60"/>
      </w:pPr>
      <w:r>
        <w:t>Advance written notice of the meeting's purpose (minimum 24 hours except in urgent situations).</w:t>
      </w:r>
    </w:p>
    <w:p w:rsidR="003C299D" w:rsidRDefault="00E2045C">
      <w:pPr>
        <w:pStyle w:val="ListParagraph"/>
        <w:numPr>
          <w:ilvl w:val="0"/>
          <w:numId w:val="2"/>
        </w:numPr>
        <w:spacing w:before="60" w:after="60"/>
      </w:pPr>
      <w:r>
        <w:t>An opportunity to present their account of events and any supporting evidence or witnesses.</w:t>
      </w:r>
    </w:p>
    <w:p w:rsidR="003C299D" w:rsidRDefault="00E2045C">
      <w:pPr>
        <w:pStyle w:val="ListParagraph"/>
        <w:numPr>
          <w:ilvl w:val="0"/>
          <w:numId w:val="2"/>
        </w:numPr>
        <w:spacing w:before="60" w:after="60"/>
      </w:pPr>
      <w:r>
        <w:lastRenderedPageBreak/>
        <w:t xml:space="preserve">Be accompanied by a colleague, trade union representative, or other </w:t>
      </w:r>
      <w:r>
        <w:t>appropriate support person in jurisdictions where such rights exist under law.</w:t>
      </w:r>
    </w:p>
    <w:p w:rsidR="003C299D" w:rsidRDefault="00E2045C">
      <w:pPr>
        <w:pStyle w:val="ListParagraph"/>
        <w:numPr>
          <w:ilvl w:val="0"/>
          <w:numId w:val="2"/>
        </w:numPr>
        <w:spacing w:before="60" w:after="60"/>
      </w:pPr>
      <w:r>
        <w:t>Receive a written summary of the disciplinary outcome and the grounds for the decision.</w:t>
      </w:r>
    </w:p>
    <w:p w:rsidR="003C299D" w:rsidRDefault="00E2045C">
      <w:pPr>
        <w:pStyle w:val="ListParagraph"/>
        <w:numPr>
          <w:ilvl w:val="0"/>
          <w:numId w:val="2"/>
        </w:numPr>
        <w:spacing w:before="60" w:after="60"/>
      </w:pPr>
      <w:r>
        <w:t xml:space="preserve">Appeal the decision through </w:t>
      </w:r>
      <w:proofErr w:type="spellStart"/>
      <w:r>
        <w:t>NexaCorp's</w:t>
      </w:r>
      <w:proofErr w:type="spellEnd"/>
      <w:r>
        <w:t xml:space="preserve"> Grievance &amp; Appeal process (HR-APPEAL-01) within 1</w:t>
      </w:r>
      <w:r>
        <w:t>0 business days of receiving the written outcome.</w:t>
      </w:r>
    </w:p>
    <w:p w:rsidR="003C299D" w:rsidRDefault="00E2045C">
      <w:pPr>
        <w:pBdr>
          <w:left w:val="single" w:sz="12" w:space="8" w:color="2E75B6"/>
        </w:pBdr>
        <w:spacing w:before="120" w:after="120"/>
        <w:ind w:left="360" w:right="360"/>
      </w:pPr>
      <w:r>
        <w:rPr>
          <w:b/>
          <w:bCs/>
          <w:color w:val="2E75B6"/>
          <w:sz w:val="20"/>
          <w:szCs w:val="20"/>
        </w:rPr>
        <w:t xml:space="preserve">NOTE: </w:t>
      </w:r>
      <w:r>
        <w:rPr>
          <w:i/>
          <w:iCs/>
          <w:sz w:val="20"/>
          <w:szCs w:val="20"/>
        </w:rPr>
        <w:t>Employees in California and certain other states may have additional due process rights under applicable law. HR Business Partners will advise on jurisdiction-specific requirements at the commencement of any formal disciplinary process.</w:t>
      </w:r>
    </w:p>
    <w:p w:rsidR="003C299D" w:rsidRDefault="00E2045C">
      <w:pPr>
        <w:pStyle w:val="Heading2"/>
      </w:pPr>
      <w:r>
        <w:t>8.2 Gross Misconduc</w:t>
      </w:r>
      <w:r>
        <w:t>t &amp; Summary Dismissal</w:t>
      </w:r>
    </w:p>
    <w:p w:rsidR="003C299D" w:rsidRDefault="00E2045C">
      <w:pPr>
        <w:pStyle w:val="Heading3"/>
      </w:pPr>
      <w:r>
        <w:t>8.2.1 Definition</w:t>
      </w:r>
    </w:p>
    <w:p w:rsidR="003C299D" w:rsidRDefault="00E2045C">
      <w:pPr>
        <w:spacing w:before="80" w:after="100" w:line="276" w:lineRule="auto"/>
        <w:jc w:val="both"/>
      </w:pPr>
      <w:r>
        <w:t xml:space="preserve">Gross misconduct is conduct so serious that it fundamentally destroys the trust and confidence that the employment relationship requires. </w:t>
      </w:r>
      <w:proofErr w:type="spellStart"/>
      <w:r>
        <w:t>NexaCorp</w:t>
      </w:r>
      <w:proofErr w:type="spellEnd"/>
      <w:r>
        <w:t xml:space="preserve"> reserves the right to dismiss an employee summarily (without notice or payment in lieu of notice) following a</w:t>
      </w:r>
      <w:r>
        <w:t xml:space="preserve"> fair investigation where gross misconduct is substantiated. The following, while not exhaustive, are examples of </w:t>
      </w:r>
      <w:proofErr w:type="spellStart"/>
      <w:r>
        <w:t>behaviours</w:t>
      </w:r>
      <w:proofErr w:type="spellEnd"/>
      <w:r>
        <w:t xml:space="preserve"> that may constitute gross misconduct: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3C299D">
        <w:tblPrEx>
          <w:tblCellMar>
            <w:top w:w="0" w:type="dxa"/>
            <w:bottom w:w="0" w:type="dxa"/>
          </w:tblCellMar>
        </w:tblPrEx>
        <w:trPr>
          <w:tblHeader/>
        </w:trPr>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Category</w:t>
            </w:r>
          </w:p>
        </w:tc>
        <w:tc>
          <w:tcPr>
            <w:tcW w:w="68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Specific Examples</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Dishonesty &amp; Fraud</w:t>
            </w:r>
          </w:p>
        </w:tc>
        <w:tc>
          <w:tcPr>
            <w:tcW w:w="68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Theft of company property; expense fraud; fals</w:t>
            </w:r>
            <w:r>
              <w:rPr>
                <w:sz w:val="19"/>
                <w:szCs w:val="19"/>
              </w:rPr>
              <w:t>ification of records or qualifications; financial misappropriation</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Safety Violations</w:t>
            </w:r>
          </w:p>
        </w:tc>
        <w:tc>
          <w:tcPr>
            <w:tcW w:w="68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Deliberate disregard of safety rules that endangers life; reporting to work intoxicated in safety-sensitive roles</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Harassment &amp; Violence</w:t>
            </w:r>
          </w:p>
        </w:tc>
        <w:tc>
          <w:tcPr>
            <w:tcW w:w="68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Physical assault or credible threats of violence; severe or repeated sexual harassment; discrimination motivated by malice</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Confidentiality Breach</w:t>
            </w:r>
          </w:p>
        </w:tc>
        <w:tc>
          <w:tcPr>
            <w:tcW w:w="68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Intentional leaking of trade secrets; </w:t>
            </w:r>
            <w:proofErr w:type="spellStart"/>
            <w:r>
              <w:rPr>
                <w:sz w:val="19"/>
                <w:szCs w:val="19"/>
              </w:rPr>
              <w:t>unauthorised</w:t>
            </w:r>
            <w:proofErr w:type="spellEnd"/>
            <w:r>
              <w:rPr>
                <w:sz w:val="19"/>
                <w:szCs w:val="19"/>
              </w:rPr>
              <w:t xml:space="preserve"> disclosure of MNPI to personal benefit; sale of client dat</w:t>
            </w:r>
            <w:r>
              <w:rPr>
                <w:sz w:val="19"/>
                <w:szCs w:val="19"/>
              </w:rPr>
              <w:t>a</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Cybersecurity Violations</w:t>
            </w:r>
          </w:p>
        </w:tc>
        <w:tc>
          <w:tcPr>
            <w:tcW w:w="68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Deliberate introduction of malware; </w:t>
            </w:r>
            <w:proofErr w:type="spellStart"/>
            <w:r>
              <w:rPr>
                <w:sz w:val="19"/>
                <w:szCs w:val="19"/>
              </w:rPr>
              <w:t>unauthorised</w:t>
            </w:r>
            <w:proofErr w:type="spellEnd"/>
            <w:r>
              <w:rPr>
                <w:sz w:val="19"/>
                <w:szCs w:val="19"/>
              </w:rPr>
              <w:t xml:space="preserve"> access to systems; sabotage of IT infrastructure</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Ethics Violations</w:t>
            </w:r>
          </w:p>
        </w:tc>
        <w:tc>
          <w:tcPr>
            <w:tcW w:w="68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Bribery; insider trading; retaliation against a whistleblower; serious conflict of interest concealment</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Insubordination</w:t>
            </w:r>
          </w:p>
        </w:tc>
        <w:tc>
          <w:tcPr>
            <w:tcW w:w="68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Repeated </w:t>
            </w:r>
            <w:proofErr w:type="spellStart"/>
            <w:r>
              <w:rPr>
                <w:sz w:val="19"/>
                <w:szCs w:val="19"/>
              </w:rPr>
              <w:t>wilful</w:t>
            </w:r>
            <w:proofErr w:type="spellEnd"/>
            <w:r>
              <w:rPr>
                <w:sz w:val="19"/>
                <w:szCs w:val="19"/>
              </w:rPr>
              <w:t xml:space="preserve"> refusal to follow reasonable lawful instructions; threatening or abusive conduct towards a manager</w:t>
            </w:r>
          </w:p>
        </w:tc>
      </w:tr>
    </w:tbl>
    <w:p w:rsidR="003C299D" w:rsidRDefault="003C299D">
      <w:pPr>
        <w:spacing w:before="100" w:after="100"/>
      </w:pPr>
    </w:p>
    <w:p w:rsidR="003C299D" w:rsidRDefault="00E2045C">
      <w:pPr>
        <w:pStyle w:val="Heading3"/>
      </w:pPr>
      <w:r>
        <w:t xml:space="preserve">8.2.2 Suspension </w:t>
      </w:r>
      <w:proofErr w:type="gramStart"/>
      <w:r>
        <w:t>During</w:t>
      </w:r>
      <w:proofErr w:type="gramEnd"/>
      <w:r>
        <w:t xml:space="preserve"> Investigation</w:t>
      </w:r>
    </w:p>
    <w:p w:rsidR="003C299D" w:rsidRDefault="00E2045C">
      <w:pPr>
        <w:spacing w:before="80" w:after="100" w:line="276" w:lineRule="auto"/>
        <w:jc w:val="both"/>
      </w:pPr>
      <w:r>
        <w:t xml:space="preserve">Where an employee is suspected of gross misconduct, </w:t>
      </w:r>
      <w:proofErr w:type="spellStart"/>
      <w:r>
        <w:t>NexaCorp</w:t>
      </w:r>
      <w:proofErr w:type="spellEnd"/>
      <w:r>
        <w:t xml:space="preserve"> may suspend them on full pay pending the outcome of an investigation. Suspension is a neutral act and is not a disciplinary sanction or an indication of guilt. During suspension, the employee mus</w:t>
      </w:r>
      <w:r>
        <w:t xml:space="preserve">t: not attend </w:t>
      </w:r>
      <w:proofErr w:type="spellStart"/>
      <w:r>
        <w:t>NexaCorp</w:t>
      </w:r>
      <w:proofErr w:type="spellEnd"/>
      <w:r>
        <w:t xml:space="preserve"> premises without </w:t>
      </w:r>
      <w:proofErr w:type="spellStart"/>
      <w:r>
        <w:t>authorisation</w:t>
      </w:r>
      <w:proofErr w:type="spellEnd"/>
      <w:r>
        <w:t>; not contact clients, vendors, or colleagues about matters related to the investigation; cooperate fully with investigators; and return all company equipment on request.</w:t>
      </w:r>
    </w:p>
    <w:p w:rsidR="003C299D" w:rsidRDefault="00E2045C">
      <w:pPr>
        <w:pStyle w:val="Heading2"/>
      </w:pPr>
      <w:r>
        <w:t>8.3 Voluntary Resignation &amp; Reti</w:t>
      </w:r>
      <w:r>
        <w:t>rement</w:t>
      </w:r>
    </w:p>
    <w:p w:rsidR="003C299D" w:rsidRDefault="00E2045C">
      <w:pPr>
        <w:pStyle w:val="Heading3"/>
      </w:pPr>
      <w:r>
        <w:t>8.3.1 Resignation Notice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4320"/>
      </w:tblGrid>
      <w:tr w:rsidR="003C299D">
        <w:tblPrEx>
          <w:tblCellMar>
            <w:top w:w="0" w:type="dxa"/>
            <w:bottom w:w="0" w:type="dxa"/>
          </w:tblCellMar>
        </w:tblPrEx>
        <w:trPr>
          <w:tblHeader/>
        </w:trPr>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lastRenderedPageBreak/>
              <w:t>Grade Level</w:t>
            </w:r>
          </w:p>
        </w:tc>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Notice Period Required</w:t>
            </w:r>
          </w:p>
        </w:tc>
        <w:tc>
          <w:tcPr>
            <w:tcW w:w="43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Garden Leave Applicable?</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1–4 (IC)</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 weeks minimum</w:t>
            </w:r>
          </w:p>
        </w:tc>
        <w:tc>
          <w:tcPr>
            <w:tcW w:w="43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At </w:t>
            </w:r>
            <w:proofErr w:type="spellStart"/>
            <w:r>
              <w:rPr>
                <w:sz w:val="19"/>
                <w:szCs w:val="19"/>
              </w:rPr>
              <w:t>NexaCorp's</w:t>
            </w:r>
            <w:proofErr w:type="spellEnd"/>
            <w:r>
              <w:rPr>
                <w:sz w:val="19"/>
                <w:szCs w:val="19"/>
              </w:rPr>
              <w:t xml:space="preserve"> discretion</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5–6 (Senior IC / Lead)</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4 weeks minimum</w:t>
            </w:r>
          </w:p>
        </w:tc>
        <w:tc>
          <w:tcPr>
            <w:tcW w:w="43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At </w:t>
            </w:r>
            <w:proofErr w:type="spellStart"/>
            <w:r>
              <w:rPr>
                <w:sz w:val="19"/>
                <w:szCs w:val="19"/>
              </w:rPr>
              <w:t>NexaCorp's</w:t>
            </w:r>
            <w:proofErr w:type="spellEnd"/>
            <w:r>
              <w:rPr>
                <w:sz w:val="19"/>
                <w:szCs w:val="19"/>
              </w:rPr>
              <w:t xml:space="preserve"> discretion</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7–8 (Manager / Director)</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6 weeks minimum</w:t>
            </w:r>
          </w:p>
        </w:tc>
        <w:tc>
          <w:tcPr>
            <w:tcW w:w="43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Yes — typically enforced</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9–10 (VP / Senior Director)</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8 weeks minimum</w:t>
            </w:r>
          </w:p>
        </w:tc>
        <w:tc>
          <w:tcPr>
            <w:tcW w:w="43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Yes — typically enforced</w:t>
            </w:r>
          </w:p>
        </w:tc>
      </w:tr>
      <w:tr w:rsidR="003C299D">
        <w:tblPrEx>
          <w:tblCellMar>
            <w:top w:w="0" w:type="dxa"/>
            <w:bottom w:w="0" w:type="dxa"/>
          </w:tblCellMar>
        </w:tblPrEx>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11–12 (ELT / C-Suite)</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3–6 months (per contract)</w:t>
            </w:r>
          </w:p>
        </w:tc>
        <w:tc>
          <w:tcPr>
            <w:tcW w:w="43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Yes — routinely enforced</w:t>
            </w:r>
          </w:p>
        </w:tc>
      </w:tr>
    </w:tbl>
    <w:p w:rsidR="003C299D" w:rsidRDefault="003C299D">
      <w:pPr>
        <w:spacing w:before="100" w:after="100"/>
      </w:pPr>
    </w:p>
    <w:p w:rsidR="003C299D" w:rsidRDefault="00E2045C">
      <w:pPr>
        <w:pStyle w:val="Heading3"/>
      </w:pPr>
      <w:r>
        <w:t xml:space="preserve">8.3.2 </w:t>
      </w:r>
      <w:proofErr w:type="spellStart"/>
      <w:r>
        <w:t>Offboarding</w:t>
      </w:r>
      <w:proofErr w:type="spellEnd"/>
      <w:r>
        <w:t xml:space="preserve"> Process</w:t>
      </w:r>
    </w:p>
    <w:p w:rsidR="003C299D" w:rsidRDefault="00E2045C">
      <w:pPr>
        <w:spacing w:before="80" w:after="100" w:line="276" w:lineRule="auto"/>
        <w:jc w:val="both"/>
      </w:pPr>
      <w:r>
        <w:t xml:space="preserve">Upon receipt of a resignation, the HR Operations team will initiate the </w:t>
      </w:r>
      <w:proofErr w:type="spellStart"/>
      <w:r>
        <w:t>NexaOffboard</w:t>
      </w:r>
      <w:proofErr w:type="spellEnd"/>
      <w:r>
        <w:t>™ process, which includes:</w:t>
      </w:r>
    </w:p>
    <w:p w:rsidR="003C299D" w:rsidRDefault="00E2045C">
      <w:pPr>
        <w:pStyle w:val="ListParagraph"/>
        <w:numPr>
          <w:ilvl w:val="0"/>
          <w:numId w:val="3"/>
        </w:numPr>
        <w:spacing w:before="60" w:after="60"/>
      </w:pPr>
      <w:r>
        <w:t>Manager conducts a transition planning session within 48 hours of resignation receipt.</w:t>
      </w:r>
    </w:p>
    <w:p w:rsidR="003C299D" w:rsidRDefault="00E2045C">
      <w:pPr>
        <w:pStyle w:val="ListParagraph"/>
        <w:numPr>
          <w:ilvl w:val="0"/>
          <w:numId w:val="3"/>
        </w:numPr>
        <w:spacing w:before="60" w:after="60"/>
      </w:pPr>
      <w:r>
        <w:t>IT begins credential revocation scheduling and device retu</w:t>
      </w:r>
      <w:r>
        <w:t>rn coordination.</w:t>
      </w:r>
    </w:p>
    <w:p w:rsidR="003C299D" w:rsidRDefault="00E2045C">
      <w:pPr>
        <w:pStyle w:val="ListParagraph"/>
        <w:numPr>
          <w:ilvl w:val="0"/>
          <w:numId w:val="3"/>
        </w:numPr>
        <w:spacing w:before="60" w:after="60"/>
      </w:pPr>
      <w:r>
        <w:t xml:space="preserve">HR BP schedules an exit interview (voluntary; results are </w:t>
      </w:r>
      <w:proofErr w:type="spellStart"/>
      <w:r>
        <w:t>anonymised</w:t>
      </w:r>
      <w:proofErr w:type="spellEnd"/>
      <w:r>
        <w:t xml:space="preserve"> in aggregate reporting).</w:t>
      </w:r>
    </w:p>
    <w:p w:rsidR="003C299D" w:rsidRDefault="00E2045C">
      <w:pPr>
        <w:pStyle w:val="ListParagraph"/>
        <w:numPr>
          <w:ilvl w:val="0"/>
          <w:numId w:val="3"/>
        </w:numPr>
        <w:spacing w:before="60" w:after="60"/>
      </w:pPr>
      <w:r>
        <w:t>Payroll calculates final pay including accrued unused PTO subject to applicable state law.</w:t>
      </w:r>
    </w:p>
    <w:p w:rsidR="003C299D" w:rsidRDefault="00E2045C">
      <w:pPr>
        <w:pStyle w:val="ListParagraph"/>
        <w:numPr>
          <w:ilvl w:val="0"/>
          <w:numId w:val="3"/>
        </w:numPr>
        <w:spacing w:before="60" w:after="60"/>
      </w:pPr>
      <w:r>
        <w:t>Employee completes a knowledge transfer document for a</w:t>
      </w:r>
      <w:r>
        <w:t>ll active projects.</w:t>
      </w:r>
    </w:p>
    <w:p w:rsidR="003C299D" w:rsidRDefault="00E2045C">
      <w:pPr>
        <w:pStyle w:val="ListParagraph"/>
        <w:numPr>
          <w:ilvl w:val="0"/>
          <w:numId w:val="3"/>
        </w:numPr>
        <w:spacing w:before="60" w:after="60"/>
      </w:pPr>
      <w:r>
        <w:t xml:space="preserve">Access to </w:t>
      </w:r>
      <w:proofErr w:type="spellStart"/>
      <w:r>
        <w:t>NexaCorp</w:t>
      </w:r>
      <w:proofErr w:type="spellEnd"/>
      <w:r>
        <w:t xml:space="preserve"> systems is terminated at 5:00 PM on the last day of employment.</w:t>
      </w:r>
    </w:p>
    <w:p w:rsidR="003C299D" w:rsidRDefault="00E2045C">
      <w:pPr>
        <w:pStyle w:val="ListParagraph"/>
        <w:numPr>
          <w:ilvl w:val="0"/>
          <w:numId w:val="3"/>
        </w:numPr>
        <w:spacing w:before="60" w:after="60"/>
      </w:pPr>
      <w:r>
        <w:t>COBRA / benefits continuation information is mailed within 14 days of coverage end.</w:t>
      </w:r>
    </w:p>
    <w:p w:rsidR="003C299D" w:rsidRDefault="00E2045C">
      <w:pPr>
        <w:pStyle w:val="ListParagraph"/>
        <w:numPr>
          <w:ilvl w:val="0"/>
          <w:numId w:val="3"/>
        </w:numPr>
        <w:spacing w:before="60" w:after="60"/>
      </w:pPr>
      <w:r>
        <w:t>RSU and LTI treatment is determined per the applicable equity plan do</w:t>
      </w:r>
      <w:r>
        <w:t>cuments.</w:t>
      </w:r>
    </w:p>
    <w:p w:rsidR="003C299D" w:rsidRDefault="00E2045C">
      <w:pPr>
        <w:pStyle w:val="Heading2"/>
      </w:pPr>
      <w:r>
        <w:t>8.4 Reduction in Force (Layoffs)</w:t>
      </w:r>
    </w:p>
    <w:p w:rsidR="003C299D" w:rsidRDefault="00E2045C">
      <w:pPr>
        <w:pStyle w:val="Heading3"/>
      </w:pPr>
      <w:r>
        <w:t>8.4.1 Policy Principles</w:t>
      </w:r>
    </w:p>
    <w:p w:rsidR="003C299D" w:rsidRDefault="00E2045C">
      <w:pPr>
        <w:spacing w:before="80" w:after="100" w:line="276" w:lineRule="auto"/>
        <w:jc w:val="both"/>
      </w:pPr>
      <w:proofErr w:type="spellStart"/>
      <w:r>
        <w:t>NexaCorp</w:t>
      </w:r>
      <w:proofErr w:type="spellEnd"/>
      <w:r>
        <w:t xml:space="preserve"> is committed to treating all employees with dignity and respect in all circumstances, including the difficult situation of involuntary job elimination. Reductions in force (RIFs) are undertaken only after thorough business justification, considera</w:t>
      </w:r>
      <w:r>
        <w:t>tion of alternatives, and appropriate consultation with legal counsel. Selection criteria for inclusion in a RIF must be based on legitimate, non-discriminatory business factors including: role elimination; skills gap relative to future business needs; per</w:t>
      </w:r>
      <w:r>
        <w:t>formance history; and length of service as a tiebreaker.</w:t>
      </w:r>
    </w:p>
    <w:p w:rsidR="003C299D" w:rsidRDefault="00E2045C">
      <w:pPr>
        <w:pStyle w:val="Heading3"/>
      </w:pPr>
      <w:r>
        <w:t>8.4.2 Severance 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3"/>
        <w:gridCol w:w="2451"/>
        <w:gridCol w:w="2122"/>
        <w:gridCol w:w="3034"/>
      </w:tblGrid>
      <w:tr w:rsidR="003C299D">
        <w:tblPrEx>
          <w:tblCellMar>
            <w:top w:w="0" w:type="dxa"/>
            <w:bottom w:w="0" w:type="dxa"/>
          </w:tblCellMar>
        </w:tblPrEx>
        <w:trPr>
          <w:tblHeader/>
        </w:trPr>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Years of Service</w:t>
            </w:r>
          </w:p>
        </w:tc>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Severance Pay</w:t>
            </w:r>
          </w:p>
        </w:tc>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Benefits Continuation</w:t>
            </w:r>
          </w:p>
        </w:tc>
        <w:tc>
          <w:tcPr>
            <w:tcW w:w="31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Outplacement Services</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&lt; 1 year</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4 weeks base salary</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COBRA subsidy 1 month</w:t>
            </w:r>
          </w:p>
        </w:tc>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proofErr w:type="spellStart"/>
            <w:r>
              <w:rPr>
                <w:sz w:val="19"/>
                <w:szCs w:val="19"/>
              </w:rPr>
              <w:t>NexaCareer</w:t>
            </w:r>
            <w:proofErr w:type="spellEnd"/>
            <w:r>
              <w:rPr>
                <w:sz w:val="19"/>
                <w:szCs w:val="19"/>
              </w:rPr>
              <w:t>™ online portal access</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1–3 years</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6 weeks base salary</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COBRA subsidy 2 months</w:t>
            </w:r>
          </w:p>
        </w:tc>
        <w:tc>
          <w:tcPr>
            <w:tcW w:w="31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proofErr w:type="spellStart"/>
            <w:r>
              <w:rPr>
                <w:sz w:val="19"/>
                <w:szCs w:val="19"/>
              </w:rPr>
              <w:t>NexaCareer</w:t>
            </w:r>
            <w:proofErr w:type="spellEnd"/>
            <w:r>
              <w:rPr>
                <w:sz w:val="19"/>
                <w:szCs w:val="19"/>
              </w:rPr>
              <w:t>™ + 2 coaching sessions</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3–7 years</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10 weeks base salary</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COBRA subsidy 3 months</w:t>
            </w:r>
          </w:p>
        </w:tc>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proofErr w:type="spellStart"/>
            <w:r>
              <w:rPr>
                <w:sz w:val="19"/>
                <w:szCs w:val="19"/>
              </w:rPr>
              <w:t>NexaCareer</w:t>
            </w:r>
            <w:proofErr w:type="spellEnd"/>
            <w:r>
              <w:rPr>
                <w:sz w:val="19"/>
                <w:szCs w:val="19"/>
              </w:rPr>
              <w:t>™ + 5 coaching sessions</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lastRenderedPageBreak/>
              <w:t>7–12 years</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16 weeks base salary</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COBRA subsidy 4 months</w:t>
            </w:r>
          </w:p>
        </w:tc>
        <w:tc>
          <w:tcPr>
            <w:tcW w:w="31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Premium outplacement (3 months)</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12+ years</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22 weeks base salary</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COBRA subsidy 6 months</w:t>
            </w:r>
          </w:p>
        </w:tc>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Executive outplacement (6 months)</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ELT / VP and above</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Per individual employment agreement</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Per agreement</w:t>
            </w:r>
          </w:p>
        </w:tc>
        <w:tc>
          <w:tcPr>
            <w:tcW w:w="31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Executive search support</w:t>
            </w:r>
          </w:p>
        </w:tc>
      </w:tr>
    </w:tbl>
    <w:p w:rsidR="003C299D" w:rsidRDefault="003C299D">
      <w:pPr>
        <w:spacing w:before="100" w:after="100"/>
      </w:pPr>
    </w:p>
    <w:p w:rsidR="003C299D" w:rsidRDefault="00E2045C">
      <w:pPr>
        <w:pBdr>
          <w:left w:val="single" w:sz="12" w:space="8" w:color="C00000"/>
        </w:pBdr>
        <w:spacing w:before="120" w:after="120"/>
        <w:ind w:left="360" w:right="360"/>
      </w:pPr>
      <w:r>
        <w:rPr>
          <w:b/>
          <w:bCs/>
          <w:color w:val="C00000"/>
          <w:sz w:val="20"/>
          <w:szCs w:val="20"/>
        </w:rPr>
        <w:t xml:space="preserve">IMPORTANT: </w:t>
      </w:r>
      <w:r>
        <w:rPr>
          <w:i/>
          <w:iCs/>
          <w:sz w:val="20"/>
          <w:szCs w:val="20"/>
        </w:rPr>
        <w:t xml:space="preserve">Severance is contingent upon the employee signing a valid Separation Agreement &amp; Release of Claims. Employees should be advised they have the right to consult independent legal counsel before signing. ADEA waivers require a 21-day consideration period and </w:t>
      </w:r>
      <w:r>
        <w:rPr>
          <w:i/>
          <w:iCs/>
          <w:sz w:val="20"/>
          <w:szCs w:val="20"/>
        </w:rPr>
        <w:t>7-day revocation right for employees aged 40 and above.</w:t>
      </w:r>
    </w:p>
    <w:p w:rsidR="003C299D" w:rsidRDefault="00E2045C">
      <w:pPr>
        <w:pStyle w:val="Heading3"/>
      </w:pPr>
      <w:r>
        <w:t>8.4.3 WARN Act Compliance</w:t>
      </w:r>
    </w:p>
    <w:p w:rsidR="003C299D" w:rsidRDefault="00E2045C">
      <w:pPr>
        <w:spacing w:before="80" w:after="100" w:line="276" w:lineRule="auto"/>
        <w:jc w:val="both"/>
      </w:pPr>
      <w:r>
        <w:t xml:space="preserve">For RIFs affecting 50 or more employees at a single location within any 30-day period, or 500+ employees company-wide, the federal WARN Act requires </w:t>
      </w:r>
      <w:proofErr w:type="spellStart"/>
      <w:r>
        <w:t>NexaCorp</w:t>
      </w:r>
      <w:proofErr w:type="spellEnd"/>
      <w:r>
        <w:t xml:space="preserve"> to provide 60 ca</w:t>
      </w:r>
      <w:r>
        <w:t>lendar days' advance written notice to affected employees, relevant state agencies, and local government. The Legal and HR teams will manage WARN Act compliance in all such situations. Failure to comply with WARN Act obligations creates significant legal l</w:t>
      </w:r>
      <w:r>
        <w:t xml:space="preserve">iability for </w:t>
      </w:r>
      <w:proofErr w:type="spellStart"/>
      <w:r>
        <w:t>NexaCorp</w:t>
      </w:r>
      <w:proofErr w:type="spellEnd"/>
      <w:r>
        <w:t>.</w:t>
      </w:r>
    </w:p>
    <w:p w:rsidR="003C299D" w:rsidRDefault="00E2045C">
      <w:r>
        <w:br w:type="page"/>
      </w:r>
    </w:p>
    <w:p w:rsidR="003C299D" w:rsidRDefault="00E2045C">
      <w:pPr>
        <w:shd w:val="clear" w:color="auto" w:fill="1B3A6B"/>
        <w:spacing w:before="500" w:after="300"/>
        <w:jc w:val="center"/>
      </w:pPr>
      <w:r>
        <w:rPr>
          <w:b/>
          <w:bCs/>
          <w:color w:val="FFFFFF"/>
          <w:sz w:val="32"/>
          <w:szCs w:val="32"/>
        </w:rPr>
        <w:lastRenderedPageBreak/>
        <w:t xml:space="preserve">  APPENDICES  </w:t>
      </w:r>
    </w:p>
    <w:p w:rsidR="003C299D" w:rsidRDefault="003C299D">
      <w:pPr>
        <w:spacing w:before="200" w:after="200"/>
      </w:pPr>
    </w:p>
    <w:p w:rsidR="003C299D" w:rsidRDefault="00E2045C">
      <w:pPr>
        <w:pStyle w:val="Heading1"/>
        <w:pBdr>
          <w:bottom w:val="single" w:sz="8" w:space="4" w:color="2E75B6"/>
        </w:pBdr>
      </w:pPr>
      <w:r>
        <w:t>Appendix A: Policy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061"/>
        <w:gridCol w:w="5211"/>
        <w:gridCol w:w="2114"/>
      </w:tblGrid>
      <w:tr w:rsidR="003C299D">
        <w:tblPrEx>
          <w:tblCellMar>
            <w:top w:w="0" w:type="dxa"/>
            <w:bottom w:w="0" w:type="dxa"/>
          </w:tblCellMar>
        </w:tblPrEx>
        <w:trPr>
          <w:tblHeader/>
        </w:trPr>
        <w:tc>
          <w:tcPr>
            <w:tcW w:w="7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Version</w:t>
            </w:r>
          </w:p>
        </w:tc>
        <w:tc>
          <w:tcPr>
            <w:tcW w:w="10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Date</w:t>
            </w:r>
          </w:p>
        </w:tc>
        <w:tc>
          <w:tcPr>
            <w:tcW w:w="54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Summary of Changes</w:t>
            </w:r>
          </w:p>
        </w:tc>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Approved By</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1.0</w:t>
            </w:r>
          </w:p>
        </w:tc>
        <w:tc>
          <w:tcPr>
            <w:tcW w:w="10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Jan 2010</w:t>
            </w:r>
          </w:p>
        </w:tc>
        <w:tc>
          <w:tcPr>
            <w:tcW w:w="5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Initial policy handbook issued</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CEO, CLO</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2.0</w:t>
            </w:r>
          </w:p>
        </w:tc>
        <w:tc>
          <w:tcPr>
            <w:tcW w:w="10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Jan 2013</w:t>
            </w:r>
          </w:p>
        </w:tc>
        <w:tc>
          <w:tcPr>
            <w:tcW w:w="5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Added social media and BYOD policies; expanded ethics section</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ELT</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2.5</w:t>
            </w:r>
          </w:p>
        </w:tc>
        <w:tc>
          <w:tcPr>
            <w:tcW w:w="10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Jul 2014</w:t>
            </w:r>
          </w:p>
        </w:tc>
        <w:tc>
          <w:tcPr>
            <w:tcW w:w="5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LTI </w:t>
            </w:r>
            <w:proofErr w:type="spellStart"/>
            <w:r>
              <w:rPr>
                <w:sz w:val="19"/>
                <w:szCs w:val="19"/>
              </w:rPr>
              <w:t>programme</w:t>
            </w:r>
            <w:proofErr w:type="spellEnd"/>
            <w:r>
              <w:rPr>
                <w:sz w:val="19"/>
                <w:szCs w:val="19"/>
              </w:rPr>
              <w:t xml:space="preserve"> added; salary bands updated</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CPO, CFO</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3.0</w:t>
            </w:r>
          </w:p>
        </w:tc>
        <w:tc>
          <w:tcPr>
            <w:tcW w:w="10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Jan 2017</w:t>
            </w:r>
          </w:p>
        </w:tc>
        <w:tc>
          <w:tcPr>
            <w:tcW w:w="5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GDPR readiness updates; whistleblower channel added; EEO expanded</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ELT</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4.0</w:t>
            </w:r>
          </w:p>
        </w:tc>
        <w:tc>
          <w:tcPr>
            <w:tcW w:w="10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Jan 2019</w:t>
            </w:r>
          </w:p>
        </w:tc>
        <w:tc>
          <w:tcPr>
            <w:tcW w:w="5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Remote work framework introduced; cyber incident response added</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ELT</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4.5</w:t>
            </w:r>
          </w:p>
        </w:tc>
        <w:tc>
          <w:tcPr>
            <w:tcW w:w="10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Jul 2020</w:t>
            </w:r>
          </w:p>
        </w:tc>
        <w:tc>
          <w:tcPr>
            <w:tcW w:w="5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COVID-19 response addendum; mental health benefits added</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CPO, CMO</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5.0</w:t>
            </w:r>
          </w:p>
        </w:tc>
        <w:tc>
          <w:tcPr>
            <w:tcW w:w="10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Jan 2022</w:t>
            </w:r>
          </w:p>
        </w:tc>
        <w:tc>
          <w:tcPr>
            <w:tcW w:w="5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Complete rewrite; AI policy added; CCPA updates; RIF expanded</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ELT</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5.1</w:t>
            </w:r>
          </w:p>
        </w:tc>
        <w:tc>
          <w:tcPr>
            <w:tcW w:w="10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Jul 2024</w:t>
            </w:r>
          </w:p>
        </w:tc>
        <w:tc>
          <w:tcPr>
            <w:tcW w:w="5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Benefits update (fertility, stipends); California AB5 guidance added</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CPO, CLO</w:t>
            </w:r>
          </w:p>
        </w:tc>
      </w:tr>
      <w:tr w:rsidR="003C299D">
        <w:tblPrEx>
          <w:tblCellMar>
            <w:top w:w="0" w:type="dxa"/>
            <w:bottom w:w="0" w:type="dxa"/>
          </w:tblCellMar>
        </w:tblPrEx>
        <w:tc>
          <w:tcPr>
            <w:tcW w:w="7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5.2</w:t>
            </w:r>
          </w:p>
        </w:tc>
        <w:tc>
          <w:tcPr>
            <w:tcW w:w="10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Jan 2025</w:t>
            </w:r>
          </w:p>
        </w:tc>
        <w:tc>
          <w:tcPr>
            <w:tcW w:w="5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International remote work restrictions tightened; DRS updated</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ELT</w:t>
            </w:r>
          </w:p>
        </w:tc>
      </w:tr>
    </w:tbl>
    <w:p w:rsidR="003C299D" w:rsidRDefault="003C299D">
      <w:pPr>
        <w:spacing w:before="200" w:after="200"/>
      </w:pPr>
    </w:p>
    <w:p w:rsidR="003C299D" w:rsidRDefault="00E2045C">
      <w:pPr>
        <w:pStyle w:val="Heading1"/>
        <w:pBdr>
          <w:bottom w:val="single" w:sz="8" w:space="4" w:color="2E75B6"/>
        </w:pBdr>
      </w:pPr>
      <w:r>
        <w:t>Appendix B: Key Contacts &amp; Escalation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6"/>
        <w:gridCol w:w="2144"/>
        <w:gridCol w:w="2693"/>
        <w:gridCol w:w="2427"/>
      </w:tblGrid>
      <w:tr w:rsidR="003C299D">
        <w:tblPrEx>
          <w:tblCellMar>
            <w:top w:w="0" w:type="dxa"/>
            <w:bottom w:w="0" w:type="dxa"/>
          </w:tblCellMar>
        </w:tblPrEx>
        <w:trPr>
          <w:tblHeader/>
        </w:trPr>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Function</w:t>
            </w:r>
          </w:p>
        </w:tc>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Contact / Team</w:t>
            </w:r>
          </w:p>
        </w:tc>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Email</w:t>
            </w:r>
          </w:p>
        </w:tc>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Phone / Portal</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HR General Enquiries</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HR Operations</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hr@nexacorp.com</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HRIS self-service portal</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Benefits Enquiries</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Benefits Team</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benefits@nexacorp.com</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+1-415-700-9010</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Payroll Enquiries</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Payroll Operations</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payroll@nexacorp.com</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+1-415-700-9020</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Ethics &amp; Conduct Reporting</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Ethics &amp; Compliance</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ethics@nexacorp.com</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+1-800-NEX-ETIX (24/7)</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Legal / Contract Queries</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Legal Operations</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legal@nexacorp.com</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+1-415-700-9030</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IT Support</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IT Service Desk</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itsupport@nexacorp.com</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+1-415-700-9040 (24/7)</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Security Incidents</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Security Operations Centre</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security@nexacorp.com</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+1-415-700-9911 (24/7)</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Privacy / Data Queries</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Chief Privacy Officer</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privacy@nexacorp.com</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+1-415-700-9050</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lastRenderedPageBreak/>
              <w:t>Travel &amp; Expenses</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Finance — T&amp;E Team</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travel@nexacorp.com</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Concur portal</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Procurement</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Procurement Team</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procurement@nexacorp.com</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proofErr w:type="spellStart"/>
            <w:r>
              <w:rPr>
                <w:sz w:val="19"/>
                <w:szCs w:val="19"/>
              </w:rPr>
              <w:t>NexaProcure</w:t>
            </w:r>
            <w:proofErr w:type="spellEnd"/>
            <w:r>
              <w:rPr>
                <w:sz w:val="19"/>
                <w:szCs w:val="19"/>
              </w:rPr>
              <w:t xml:space="preserve"> portal</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EAP / Mental Health</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proofErr w:type="spellStart"/>
            <w:r>
              <w:rPr>
                <w:sz w:val="19"/>
                <w:szCs w:val="19"/>
              </w:rPr>
              <w:t>ComPsych</w:t>
            </w:r>
            <w:proofErr w:type="spellEnd"/>
            <w:r>
              <w:rPr>
                <w:sz w:val="19"/>
                <w:szCs w:val="19"/>
              </w:rPr>
              <w:t xml:space="preserve"> </w:t>
            </w:r>
            <w:proofErr w:type="spellStart"/>
            <w:r>
              <w:rPr>
                <w:sz w:val="19"/>
                <w:szCs w:val="19"/>
              </w:rPr>
              <w:t>GuidanceResources</w:t>
            </w:r>
            <w:proofErr w:type="spellEnd"/>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N/A (confidential)</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+1-800-235-4679 (24/7)</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Occupational Health</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EHS Team</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ehs@nexacorp.com</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+1-415-700-9060</w:t>
            </w:r>
          </w:p>
        </w:tc>
      </w:tr>
    </w:tbl>
    <w:p w:rsidR="003C299D" w:rsidRDefault="003C299D">
      <w:pPr>
        <w:spacing w:before="200" w:after="200"/>
      </w:pPr>
    </w:p>
    <w:p w:rsidR="003C299D" w:rsidRDefault="00E2045C">
      <w:pPr>
        <w:pStyle w:val="Heading1"/>
        <w:pBdr>
          <w:bottom w:val="single" w:sz="8" w:space="4" w:color="2E75B6"/>
        </w:pBdr>
      </w:pPr>
      <w:r>
        <w:t>Appendix C: Glossary of Terms</w:t>
      </w:r>
    </w:p>
    <w:p w:rsidR="003C299D" w:rsidRDefault="00E2045C">
      <w:pPr>
        <w:spacing w:before="80" w:after="100" w:line="276" w:lineRule="auto"/>
        <w:jc w:val="both"/>
      </w:pPr>
      <w:r>
        <w:t>The following definitions apply throughout this handbook: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C299D">
        <w:tblPrEx>
          <w:tblCellMar>
            <w:top w:w="0" w:type="dxa"/>
            <w:bottom w:w="0" w:type="dxa"/>
          </w:tblCellMar>
        </w:tblPrEx>
        <w:trPr>
          <w:tblHeader/>
        </w:trPr>
        <w:tc>
          <w:tcPr>
            <w:tcW w:w="14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Term</w:t>
            </w:r>
          </w:p>
        </w:tc>
        <w:tc>
          <w:tcPr>
            <w:tcW w:w="79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Definition</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ADEA</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Age Discrimination in Employment Act — US federal law prohibiting employment discrimination against persons 40 years and older.</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Business Day</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Monday through Friday, excluding </w:t>
            </w:r>
            <w:proofErr w:type="spellStart"/>
            <w:r>
              <w:rPr>
                <w:sz w:val="19"/>
                <w:szCs w:val="19"/>
              </w:rPr>
              <w:t>NexaCorp</w:t>
            </w:r>
            <w:proofErr w:type="spellEnd"/>
            <w:r>
              <w:rPr>
                <w:sz w:val="19"/>
                <w:szCs w:val="19"/>
              </w:rPr>
              <w:t>-designated public holidays.</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CCPA</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California Consumer Privacy Act — California state privacy law governing the processing of California residents' personal information.</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Concur</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proofErr w:type="spellStart"/>
            <w:r>
              <w:rPr>
                <w:sz w:val="19"/>
                <w:szCs w:val="19"/>
              </w:rPr>
              <w:t>NexaCorp's</w:t>
            </w:r>
            <w:proofErr w:type="spellEnd"/>
            <w:r>
              <w:rPr>
                <w:sz w:val="19"/>
                <w:szCs w:val="19"/>
              </w:rPr>
              <w:t xml:space="preserve"> enterprise travel and expense management platform provided by SAP.</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CPM</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Company Performance Multiplier — a coefficient applied to STI targets based on </w:t>
            </w:r>
            <w:proofErr w:type="spellStart"/>
            <w:r>
              <w:rPr>
                <w:sz w:val="19"/>
                <w:szCs w:val="19"/>
              </w:rPr>
              <w:t>NexaCorp's</w:t>
            </w:r>
            <w:proofErr w:type="spellEnd"/>
            <w:r>
              <w:rPr>
                <w:sz w:val="19"/>
                <w:szCs w:val="19"/>
              </w:rPr>
              <w:t xml:space="preserve"> aggregate financial performance vs plan.</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CISO</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Chief Information Security Officer — executive responsible for information security strategy and operations.</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CLO</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Chief Legal Officer — executive responsible for all legal, compliance, and ethics matters.</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DGC</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Data Governance Council — cross-functional body responsible for </w:t>
            </w:r>
            <w:proofErr w:type="spellStart"/>
            <w:r>
              <w:rPr>
                <w:sz w:val="19"/>
                <w:szCs w:val="19"/>
              </w:rPr>
              <w:t>NexaCorp's</w:t>
            </w:r>
            <w:proofErr w:type="spellEnd"/>
            <w:r>
              <w:rPr>
                <w:sz w:val="19"/>
                <w:szCs w:val="19"/>
              </w:rPr>
              <w:t xml:space="preserve"> data governance framework.</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DI</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Designated Insider — employee subject to trading window restrictions under </w:t>
            </w:r>
            <w:proofErr w:type="spellStart"/>
            <w:r>
              <w:rPr>
                <w:sz w:val="19"/>
                <w:szCs w:val="19"/>
              </w:rPr>
              <w:t>NexaCorp's</w:t>
            </w:r>
            <w:proofErr w:type="spellEnd"/>
            <w:r>
              <w:rPr>
                <w:sz w:val="19"/>
                <w:szCs w:val="19"/>
              </w:rPr>
              <w:t xml:space="preserve"> Securities Policy.</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EAP</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Employee Assistance </w:t>
            </w:r>
            <w:proofErr w:type="spellStart"/>
            <w:r>
              <w:rPr>
                <w:sz w:val="19"/>
                <w:szCs w:val="19"/>
              </w:rPr>
              <w:t>Programme</w:t>
            </w:r>
            <w:proofErr w:type="spellEnd"/>
            <w:r>
              <w:rPr>
                <w:sz w:val="19"/>
                <w:szCs w:val="19"/>
              </w:rPr>
              <w:t xml:space="preserve"> — confidential counselling and support service for employees.</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ELT</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Executive Leadership Team — </w:t>
            </w:r>
            <w:proofErr w:type="spellStart"/>
            <w:r>
              <w:rPr>
                <w:sz w:val="19"/>
                <w:szCs w:val="19"/>
              </w:rPr>
              <w:t>NexaCorp's</w:t>
            </w:r>
            <w:proofErr w:type="spellEnd"/>
            <w:r>
              <w:rPr>
                <w:sz w:val="19"/>
                <w:szCs w:val="19"/>
              </w:rPr>
              <w:t xml:space="preserve"> top executive body, comprising C-suite officers.</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ESPP</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Employee Stock Purchase Plan — </w:t>
            </w:r>
            <w:proofErr w:type="spellStart"/>
            <w:r>
              <w:rPr>
                <w:sz w:val="19"/>
                <w:szCs w:val="19"/>
              </w:rPr>
              <w:t>programme</w:t>
            </w:r>
            <w:proofErr w:type="spellEnd"/>
            <w:r>
              <w:rPr>
                <w:sz w:val="19"/>
                <w:szCs w:val="19"/>
              </w:rPr>
              <w:t xml:space="preserve"> allowing employees to purchase </w:t>
            </w:r>
            <w:proofErr w:type="spellStart"/>
            <w:r>
              <w:rPr>
                <w:sz w:val="19"/>
                <w:szCs w:val="19"/>
              </w:rPr>
              <w:t>NexaCorp</w:t>
            </w:r>
            <w:proofErr w:type="spellEnd"/>
            <w:r>
              <w:rPr>
                <w:sz w:val="19"/>
                <w:szCs w:val="19"/>
              </w:rPr>
              <w:t xml:space="preserve"> stock at a discounted price.</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FMLA</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Family and Medical Leave Act — US federal law providing eligible employees up to 12 weeks of unpaid leave.</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FTE</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Full-Time Employee — an employee working 40+ hours per week on an indefinite employment contract.</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GDPR</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General Data Protection Regulation — EU regulation governing the processing of personal data of EU residents.</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Grade</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proofErr w:type="spellStart"/>
            <w:r>
              <w:rPr>
                <w:sz w:val="19"/>
                <w:szCs w:val="19"/>
              </w:rPr>
              <w:t>NexaCorp's</w:t>
            </w:r>
            <w:proofErr w:type="spellEnd"/>
            <w:r>
              <w:rPr>
                <w:sz w:val="19"/>
                <w:szCs w:val="19"/>
              </w:rPr>
              <w:t xml:space="preserve"> internal job levelling system (Grades 1–12) aligned to the Job Architecture Framework (JAF).</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lastRenderedPageBreak/>
              <w:t>HDHP</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High-Deductible Health Plan — medical insurance plan with lower premiums and higher deductibles, eligible for HSA pairing.</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HRIS</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Human Resources Information System — </w:t>
            </w:r>
            <w:proofErr w:type="spellStart"/>
            <w:r>
              <w:rPr>
                <w:sz w:val="19"/>
                <w:szCs w:val="19"/>
              </w:rPr>
              <w:t>NexaCorp's</w:t>
            </w:r>
            <w:proofErr w:type="spellEnd"/>
            <w:r>
              <w:rPr>
                <w:sz w:val="19"/>
                <w:szCs w:val="19"/>
              </w:rPr>
              <w:t xml:space="preserve"> integrated HR management software platform.</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HSA</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Health Savings Account — tax-advantaged savings account for medical expenses paired with a qualifying HDHP.</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IPR</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Individual Performance Rating — the annual performance rating assigned to an employee on a 1–5 scale.</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JAF</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Job Architecture Framework — </w:t>
            </w:r>
            <w:proofErr w:type="spellStart"/>
            <w:r>
              <w:rPr>
                <w:sz w:val="19"/>
                <w:szCs w:val="19"/>
              </w:rPr>
              <w:t>NexaCorp's</w:t>
            </w:r>
            <w:proofErr w:type="spellEnd"/>
            <w:r>
              <w:rPr>
                <w:sz w:val="19"/>
                <w:szCs w:val="19"/>
              </w:rPr>
              <w:t xml:space="preserve"> structured system for defining and grading all roles globally.</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LMS</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Learning Management System — </w:t>
            </w:r>
            <w:proofErr w:type="spellStart"/>
            <w:r>
              <w:rPr>
                <w:sz w:val="19"/>
                <w:szCs w:val="19"/>
              </w:rPr>
              <w:t>NexaCorp's</w:t>
            </w:r>
            <w:proofErr w:type="spellEnd"/>
            <w:r>
              <w:rPr>
                <w:sz w:val="19"/>
                <w:szCs w:val="19"/>
              </w:rPr>
              <w:t xml:space="preserve"> platform for hosting and tracking all employee training (</w:t>
            </w:r>
            <w:proofErr w:type="spellStart"/>
            <w:r>
              <w:rPr>
                <w:sz w:val="19"/>
                <w:szCs w:val="19"/>
              </w:rPr>
              <w:t>NexaAcademy</w:t>
            </w:r>
            <w:proofErr w:type="spellEnd"/>
            <w:r>
              <w:rPr>
                <w:sz w:val="19"/>
                <w:szCs w:val="19"/>
              </w:rPr>
              <w:t>™).</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LTI</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Long-Term Incentive — equity-based compensation (RSUs) provided to eligible employees over multi-year vesting periods.</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MNPI</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Material Non-Public Information — information about a publicly traded company not yet available to the public.</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OSHA</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Occupational Safety and Health Administration — US federal agency responsible for workplace safety regulation.</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OKR</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Objectives and Key Results — performance management framework linking individual goals to </w:t>
            </w:r>
            <w:proofErr w:type="spellStart"/>
            <w:r>
              <w:rPr>
                <w:sz w:val="19"/>
                <w:szCs w:val="19"/>
              </w:rPr>
              <w:t>organisational</w:t>
            </w:r>
            <w:proofErr w:type="spellEnd"/>
            <w:r>
              <w:rPr>
                <w:sz w:val="19"/>
                <w:szCs w:val="19"/>
              </w:rPr>
              <w:t xml:space="preserve"> objectives.</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PIA</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Privacy Impact Assessment — structured assessment of privacy risks for new data processing activities.</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PIP</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Performance Improvement Plan — structured plan to support an employee in addressing documented performance deficiencies.</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PTO</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Paid Time Off — </w:t>
            </w:r>
            <w:proofErr w:type="spellStart"/>
            <w:r>
              <w:rPr>
                <w:sz w:val="19"/>
                <w:szCs w:val="19"/>
              </w:rPr>
              <w:t>NexaCorp's</w:t>
            </w:r>
            <w:proofErr w:type="spellEnd"/>
            <w:r>
              <w:rPr>
                <w:sz w:val="19"/>
                <w:szCs w:val="19"/>
              </w:rPr>
              <w:t xml:space="preserve"> unified leave bank combining vacation, sick, and personal days.</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RIF</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Reduction in Force — involuntary job elimination, commonly referred to as a layoff.</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RSU</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Restricted Stock Unit — equity grant that vests over time and converts to shares of </w:t>
            </w:r>
            <w:proofErr w:type="spellStart"/>
            <w:r>
              <w:rPr>
                <w:sz w:val="19"/>
                <w:szCs w:val="19"/>
              </w:rPr>
              <w:t>NexaCorp</w:t>
            </w:r>
            <w:proofErr w:type="spellEnd"/>
            <w:r>
              <w:rPr>
                <w:sz w:val="19"/>
                <w:szCs w:val="19"/>
              </w:rPr>
              <w:t xml:space="preserve"> common stock upon vesting.</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SOC</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Security Operations Centre — </w:t>
            </w:r>
            <w:proofErr w:type="spellStart"/>
            <w:r>
              <w:rPr>
                <w:sz w:val="19"/>
                <w:szCs w:val="19"/>
              </w:rPr>
              <w:t>NexaCorp's</w:t>
            </w:r>
            <w:proofErr w:type="spellEnd"/>
            <w:r>
              <w:rPr>
                <w:sz w:val="19"/>
                <w:szCs w:val="19"/>
              </w:rPr>
              <w:t xml:space="preserve"> 24/7 team responsible for monitoring, detecting, and responding to cybersecurity incidents.</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STI</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Short-Term Incentive — annual cash bonus paid under the </w:t>
            </w:r>
            <w:proofErr w:type="spellStart"/>
            <w:r>
              <w:rPr>
                <w:sz w:val="19"/>
                <w:szCs w:val="19"/>
              </w:rPr>
              <w:t>NexaBonus</w:t>
            </w:r>
            <w:proofErr w:type="spellEnd"/>
            <w:r>
              <w:rPr>
                <w:sz w:val="19"/>
                <w:szCs w:val="19"/>
              </w:rPr>
              <w:t xml:space="preserve">™ </w:t>
            </w:r>
            <w:proofErr w:type="spellStart"/>
            <w:r>
              <w:rPr>
                <w:sz w:val="19"/>
                <w:szCs w:val="19"/>
              </w:rPr>
              <w:t>programme</w:t>
            </w:r>
            <w:proofErr w:type="spellEnd"/>
            <w:r>
              <w:rPr>
                <w:sz w:val="19"/>
                <w:szCs w:val="19"/>
              </w:rPr>
              <w:t>.</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TMC</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Travel Management Company — </w:t>
            </w:r>
            <w:proofErr w:type="spellStart"/>
            <w:r>
              <w:rPr>
                <w:sz w:val="19"/>
                <w:szCs w:val="19"/>
              </w:rPr>
              <w:t>NexaCorp's</w:t>
            </w:r>
            <w:proofErr w:type="spellEnd"/>
            <w:r>
              <w:rPr>
                <w:sz w:val="19"/>
                <w:szCs w:val="19"/>
              </w:rPr>
              <w:t xml:space="preserve"> contracted corporate travel agency (</w:t>
            </w:r>
            <w:proofErr w:type="spellStart"/>
            <w:r>
              <w:rPr>
                <w:sz w:val="19"/>
                <w:szCs w:val="19"/>
              </w:rPr>
              <w:t>TravelConnect</w:t>
            </w:r>
            <w:proofErr w:type="spellEnd"/>
            <w:r>
              <w:rPr>
                <w:sz w:val="19"/>
                <w:szCs w:val="19"/>
              </w:rPr>
              <w:t xml:space="preserve"> Pro).</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VQA</w:t>
            </w:r>
          </w:p>
        </w:tc>
        <w:tc>
          <w:tcPr>
            <w:tcW w:w="79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Vendor Qualification Assessment — mandatory due diligence process for all new vendor engagements.</w:t>
            </w:r>
          </w:p>
        </w:tc>
      </w:tr>
      <w:tr w:rsidR="003C299D">
        <w:tblPrEx>
          <w:tblCellMar>
            <w:top w:w="0" w:type="dxa"/>
            <w:bottom w:w="0" w:type="dxa"/>
          </w:tblCellMar>
        </w:tblPrEx>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WARN Act</w:t>
            </w:r>
          </w:p>
        </w:tc>
        <w:tc>
          <w:tcPr>
            <w:tcW w:w="79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Worker Adjustment and Retraining Notification Act — US federal law requiring advance notice of large-scale layoffs.</w:t>
            </w:r>
          </w:p>
        </w:tc>
      </w:tr>
    </w:tbl>
    <w:p w:rsidR="003C299D" w:rsidRDefault="003C299D">
      <w:pPr>
        <w:spacing w:before="200" w:after="200"/>
      </w:pPr>
    </w:p>
    <w:p w:rsidR="003C299D" w:rsidRDefault="00E2045C">
      <w:pPr>
        <w:pStyle w:val="Heading1"/>
        <w:pBdr>
          <w:bottom w:val="single" w:sz="8" w:space="4" w:color="2E75B6"/>
        </w:pBdr>
      </w:pPr>
      <w:r>
        <w:t>Appendix D: Employee Acknowledgement Form</w:t>
      </w:r>
    </w:p>
    <w:p w:rsidR="003C299D" w:rsidRDefault="00E2045C">
      <w:pPr>
        <w:spacing w:before="80" w:after="100" w:line="276" w:lineRule="auto"/>
        <w:jc w:val="both"/>
      </w:pPr>
      <w:r>
        <w:lastRenderedPageBreak/>
        <w:t>This section must be completed by each employee annually via the HRIS portal. The hardcopy version below is for use in locations without HRIS access or upon specific HR request.</w:t>
      </w:r>
    </w:p>
    <w:p w:rsidR="003C299D" w:rsidRDefault="003C299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C299D">
        <w:tblPrEx>
          <w:tblCellMar>
            <w:top w:w="0" w:type="dxa"/>
            <w:bottom w:w="0" w:type="dxa"/>
          </w:tblCellMar>
        </w:tblPrEx>
        <w:trPr>
          <w:tblHeader/>
        </w:trPr>
        <w:tc>
          <w:tcPr>
            <w:tcW w:w="36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Field</w:t>
            </w:r>
          </w:p>
        </w:tc>
        <w:tc>
          <w:tcPr>
            <w:tcW w:w="57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Employee Entry</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Full Legal Name</w:t>
            </w:r>
          </w:p>
        </w:tc>
        <w:tc>
          <w:tcPr>
            <w:tcW w:w="5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3C299D"/>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Employee ID (from HRIS)</w:t>
            </w:r>
          </w:p>
        </w:tc>
        <w:tc>
          <w:tcPr>
            <w:tcW w:w="5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3C299D"/>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Department / Business Unit</w:t>
            </w:r>
          </w:p>
        </w:tc>
        <w:tc>
          <w:tcPr>
            <w:tcW w:w="5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3C299D"/>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Manager Name</w:t>
            </w:r>
          </w:p>
        </w:tc>
        <w:tc>
          <w:tcPr>
            <w:tcW w:w="5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3C299D"/>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Work Location (City, Country)</w:t>
            </w:r>
          </w:p>
        </w:tc>
        <w:tc>
          <w:tcPr>
            <w:tcW w:w="5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3C299D"/>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Employment Classification</w:t>
            </w:r>
          </w:p>
        </w:tc>
        <w:tc>
          <w:tcPr>
            <w:tcW w:w="5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3C299D"/>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Date of Acknowledgement</w:t>
            </w:r>
          </w:p>
        </w:tc>
        <w:tc>
          <w:tcPr>
            <w:tcW w:w="5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3C299D"/>
        </w:tc>
      </w:tr>
    </w:tbl>
    <w:p w:rsidR="003C299D" w:rsidRDefault="003C299D">
      <w:pPr>
        <w:spacing w:before="120" w:after="120"/>
      </w:pPr>
    </w:p>
    <w:p w:rsidR="003C299D" w:rsidRDefault="00E2045C">
      <w:pPr>
        <w:spacing w:before="80" w:after="100" w:line="276" w:lineRule="auto"/>
        <w:jc w:val="both"/>
      </w:pPr>
      <w:r>
        <w:t xml:space="preserve">Acknowledgement Statement: I, the undersigned, confirm that I have received, read, and understood the </w:t>
      </w:r>
      <w:proofErr w:type="spellStart"/>
      <w:r>
        <w:t>NexaCorp</w:t>
      </w:r>
      <w:proofErr w:type="spellEnd"/>
      <w:r>
        <w:t xml:space="preserve"> Enterprise Policy &amp; Procedures Handbook (Version 5.2, effective January 1, 2025). I acknowledge that this handbook constitutes a statement of </w:t>
      </w:r>
      <w:proofErr w:type="spellStart"/>
      <w:r>
        <w:t>Nex</w:t>
      </w:r>
      <w:r>
        <w:t>aCorp's</w:t>
      </w:r>
      <w:proofErr w:type="spellEnd"/>
      <w:r>
        <w:t xml:space="preserve"> policies and expectations, and that compliance with its contents is a condition of my continued employment. I understand that </w:t>
      </w:r>
      <w:proofErr w:type="spellStart"/>
      <w:r>
        <w:t>NexaCorp</w:t>
      </w:r>
      <w:proofErr w:type="spellEnd"/>
      <w:r>
        <w:t xml:space="preserve"> reserves the right to amend, update, or revoke any policy in this handbook at any time with reasonable notice, ex</w:t>
      </w:r>
      <w:r>
        <w:t>cept where such changes would conflict with applicable law.</w:t>
      </w:r>
    </w:p>
    <w:p w:rsidR="003C299D" w:rsidRDefault="003C299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C299D">
        <w:tblPrEx>
          <w:tblCellMar>
            <w:top w:w="0" w:type="dxa"/>
            <w:bottom w:w="0" w:type="dxa"/>
          </w:tblCellMar>
        </w:tblPrEx>
        <w:trPr>
          <w:tblHeader/>
        </w:trPr>
        <w:tc>
          <w:tcPr>
            <w:tcW w:w="36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Signature</w:t>
            </w:r>
          </w:p>
        </w:tc>
        <w:tc>
          <w:tcPr>
            <w:tcW w:w="57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3C299D">
            <w:pPr>
              <w:jc w:val="center"/>
            </w:pP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Employee Signature</w:t>
            </w:r>
          </w:p>
        </w:tc>
        <w:tc>
          <w:tcPr>
            <w:tcW w:w="5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___________________________</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Print Name</w:t>
            </w:r>
          </w:p>
        </w:tc>
        <w:tc>
          <w:tcPr>
            <w:tcW w:w="5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___________________________</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Date</w:t>
            </w:r>
          </w:p>
        </w:tc>
        <w:tc>
          <w:tcPr>
            <w:tcW w:w="5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___________________________</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HR Representative (Witness)</w:t>
            </w:r>
          </w:p>
        </w:tc>
        <w:tc>
          <w:tcPr>
            <w:tcW w:w="5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___________________________</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HR Signature</w:t>
            </w:r>
          </w:p>
        </w:tc>
        <w:tc>
          <w:tcPr>
            <w:tcW w:w="5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___________________________</w:t>
            </w:r>
          </w:p>
        </w:tc>
      </w:tr>
      <w:tr w:rsidR="003C299D">
        <w:tblPrEx>
          <w:tblCellMar>
            <w:top w:w="0" w:type="dxa"/>
            <w:bottom w:w="0" w:type="dxa"/>
          </w:tblCellMar>
        </w:tblPrEx>
        <w:tc>
          <w:tcPr>
            <w:tcW w:w="3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Date Received by HR</w:t>
            </w:r>
          </w:p>
        </w:tc>
        <w:tc>
          <w:tcPr>
            <w:tcW w:w="5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___________________________</w:t>
            </w:r>
          </w:p>
        </w:tc>
      </w:tr>
    </w:tbl>
    <w:p w:rsidR="003C299D" w:rsidRDefault="003C299D">
      <w:pPr>
        <w:spacing w:before="200" w:after="200"/>
      </w:pPr>
    </w:p>
    <w:p w:rsidR="003C299D" w:rsidRDefault="00E2045C">
      <w:pPr>
        <w:pStyle w:val="Heading1"/>
        <w:pBdr>
          <w:bottom w:val="single" w:sz="8" w:space="4" w:color="2E75B6"/>
        </w:pBdr>
      </w:pPr>
      <w:r>
        <w:t>Appendix E: Key Forms &amp; Document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60"/>
        <w:gridCol w:w="2520"/>
        <w:gridCol w:w="2280"/>
      </w:tblGrid>
      <w:tr w:rsidR="003C299D">
        <w:tblPrEx>
          <w:tblCellMar>
            <w:top w:w="0" w:type="dxa"/>
            <w:bottom w:w="0" w:type="dxa"/>
          </w:tblCellMar>
        </w:tblPrEx>
        <w:trPr>
          <w:tblHeader/>
        </w:trPr>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Form / Document ID</w:t>
            </w:r>
          </w:p>
        </w:tc>
        <w:tc>
          <w:tcPr>
            <w:tcW w:w="27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Title</w:t>
            </w:r>
          </w:p>
        </w:tc>
        <w:tc>
          <w:tcPr>
            <w:tcW w:w="252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Where to Find It</w:t>
            </w:r>
          </w:p>
        </w:tc>
        <w:tc>
          <w:tcPr>
            <w:tcW w:w="228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When Required</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COIDF-001</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Conflict of Interest Disclosure Form</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HR Portal &gt; Ethics &amp; Compliance</w:t>
            </w:r>
          </w:p>
        </w:tc>
        <w:tc>
          <w:tcPr>
            <w:tcW w:w="22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Whenever a potential conflict arises</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HC-REQ</w:t>
            </w:r>
          </w:p>
        </w:tc>
        <w:tc>
          <w:tcPr>
            <w:tcW w:w="2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Headcount Request Form</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HRIS &gt; Recruitment Module</w:t>
            </w:r>
          </w:p>
        </w:tc>
        <w:tc>
          <w:tcPr>
            <w:tcW w:w="22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Before opening any new role</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lastRenderedPageBreak/>
              <w:t>WCA</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Worker Classification Assessment</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Legal &gt; Procurement Forms</w:t>
            </w:r>
          </w:p>
        </w:tc>
        <w:tc>
          <w:tcPr>
            <w:tcW w:w="22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Before engaging an independent contractor</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HR-INT-01</w:t>
            </w:r>
          </w:p>
        </w:tc>
        <w:tc>
          <w:tcPr>
            <w:tcW w:w="2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Intern Benefits Eligibility Schedule</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HR Portal &gt; Benefits</w:t>
            </w:r>
          </w:p>
        </w:tc>
        <w:tc>
          <w:tcPr>
            <w:tcW w:w="22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During intern onboarding</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FAC-INC-01</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Safety Incident Report Form</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Facilities Portal &gt; Safety</w:t>
            </w:r>
          </w:p>
        </w:tc>
        <w:tc>
          <w:tcPr>
            <w:tcW w:w="22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Within 24 hours of any incident</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HR-RW-02</w:t>
            </w:r>
          </w:p>
        </w:tc>
        <w:tc>
          <w:tcPr>
            <w:tcW w:w="2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Remote Work Safety Checklist</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HR Portal &gt; Remote Work</w:t>
            </w:r>
          </w:p>
        </w:tc>
        <w:tc>
          <w:tcPr>
            <w:tcW w:w="22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Annual; at start of remote arrangement</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HR-APPEAL-01</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Grievance &amp; Appeal Process Guide</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HR Portal &gt; Employee Relations</w:t>
            </w:r>
          </w:p>
        </w:tc>
        <w:tc>
          <w:tcPr>
            <w:tcW w:w="22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Within 10 days of disciplinary outcome</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PIA Request</w:t>
            </w:r>
          </w:p>
        </w:tc>
        <w:tc>
          <w:tcPr>
            <w:tcW w:w="27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Privacy Impact Assessment Request</w:t>
            </w:r>
          </w:p>
        </w:tc>
        <w:tc>
          <w:tcPr>
            <w:tcW w:w="252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Email: privacy@nexacorp.com</w:t>
            </w:r>
          </w:p>
        </w:tc>
        <w:tc>
          <w:tcPr>
            <w:tcW w:w="228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30+ days before launch of new data processing</w:t>
            </w:r>
          </w:p>
        </w:tc>
      </w:tr>
      <w:tr w:rsidR="003C299D">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proofErr w:type="spellStart"/>
            <w:r>
              <w:rPr>
                <w:sz w:val="19"/>
                <w:szCs w:val="19"/>
              </w:rPr>
              <w:t>NexaOffboard</w:t>
            </w:r>
            <w:proofErr w:type="spellEnd"/>
            <w:r>
              <w:rPr>
                <w:sz w:val="19"/>
                <w:szCs w:val="19"/>
              </w:rPr>
              <w:t>™ Checklist</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proofErr w:type="spellStart"/>
            <w:r>
              <w:rPr>
                <w:sz w:val="19"/>
                <w:szCs w:val="19"/>
              </w:rPr>
              <w:t>Offboarding</w:t>
            </w:r>
            <w:proofErr w:type="spellEnd"/>
            <w:r>
              <w:rPr>
                <w:sz w:val="19"/>
                <w:szCs w:val="19"/>
              </w:rPr>
              <w:t xml:space="preserve"> Process Checklist</w:t>
            </w:r>
          </w:p>
        </w:tc>
        <w:tc>
          <w:tcPr>
            <w:tcW w:w="25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 xml:space="preserve">HRIS &gt; </w:t>
            </w:r>
            <w:proofErr w:type="spellStart"/>
            <w:r>
              <w:rPr>
                <w:sz w:val="19"/>
                <w:szCs w:val="19"/>
              </w:rPr>
              <w:t>Offboarding</w:t>
            </w:r>
            <w:proofErr w:type="spellEnd"/>
            <w:r>
              <w:rPr>
                <w:sz w:val="19"/>
                <w:szCs w:val="19"/>
              </w:rPr>
              <w:t xml:space="preserve"> Module</w:t>
            </w:r>
          </w:p>
        </w:tc>
        <w:tc>
          <w:tcPr>
            <w:tcW w:w="22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Upon receipt of resignation or termination notice</w:t>
            </w:r>
          </w:p>
        </w:tc>
      </w:tr>
    </w:tbl>
    <w:p w:rsidR="003C299D" w:rsidRDefault="003C299D">
      <w:pPr>
        <w:spacing w:before="200" w:after="200"/>
      </w:pPr>
    </w:p>
    <w:p w:rsidR="003C299D" w:rsidRDefault="00E2045C">
      <w:pPr>
        <w:pStyle w:val="Heading1"/>
        <w:pBdr>
          <w:bottom w:val="single" w:sz="8" w:space="4" w:color="2E75B6"/>
        </w:pBdr>
      </w:pPr>
      <w:r>
        <w:t>Appendix F: Country-Specific Addenda Index</w:t>
      </w:r>
    </w:p>
    <w:p w:rsidR="003C299D" w:rsidRDefault="00E2045C">
      <w:pPr>
        <w:spacing w:before="80" w:after="100" w:line="276" w:lineRule="auto"/>
        <w:jc w:val="both"/>
      </w:pPr>
      <w:r>
        <w:t>The following country-specific addenda supplement this handbook in the jurisdictions listed. Where an addendum exists, employees and managers in that country should consult both the main handbook and the relevant addendum. Addenda are available on the HR P</w:t>
      </w:r>
      <w:r>
        <w:t>ortal under 'Country Policies'.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440"/>
        <w:gridCol w:w="3960"/>
      </w:tblGrid>
      <w:tr w:rsidR="003C299D">
        <w:tblPrEx>
          <w:tblCellMar>
            <w:top w:w="0" w:type="dxa"/>
            <w:bottom w:w="0" w:type="dxa"/>
          </w:tblCellMar>
        </w:tblPrEx>
        <w:trPr>
          <w:tblHeader/>
        </w:trPr>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Country / Region</w:t>
            </w:r>
          </w:p>
        </w:tc>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Addendum Code</w:t>
            </w:r>
          </w:p>
        </w:tc>
        <w:tc>
          <w:tcPr>
            <w:tcW w:w="144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Last Updated</w:t>
            </w:r>
          </w:p>
        </w:tc>
        <w:tc>
          <w:tcPr>
            <w:tcW w:w="3960" w:type="dxa"/>
            <w:tcBorders>
              <w:top w:val="single" w:sz="1" w:space="0" w:color="C0C8D8"/>
              <w:left w:val="single" w:sz="1" w:space="0" w:color="C0C8D8"/>
              <w:bottom w:val="single" w:sz="1" w:space="0" w:color="C0C8D8"/>
              <w:right w:val="single" w:sz="1" w:space="0" w:color="C0C8D8"/>
            </w:tcBorders>
            <w:shd w:val="clear" w:color="auto" w:fill="1B3A6B"/>
            <w:tcMar>
              <w:top w:w="80" w:type="dxa"/>
              <w:left w:w="120" w:type="dxa"/>
              <w:bottom w:w="80" w:type="dxa"/>
              <w:right w:w="120" w:type="dxa"/>
            </w:tcMar>
            <w:vAlign w:val="center"/>
          </w:tcPr>
          <w:p w:rsidR="003C299D" w:rsidRDefault="00E2045C">
            <w:pPr>
              <w:jc w:val="center"/>
            </w:pPr>
            <w:r>
              <w:rPr>
                <w:b/>
                <w:bCs/>
                <w:color w:val="FFFFFF"/>
                <w:sz w:val="20"/>
                <w:szCs w:val="20"/>
              </w:rPr>
              <w:t>Key Variations</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United Kingdom</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ADDM-UK-v4.1</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Mar 2024</w:t>
            </w:r>
          </w:p>
        </w:tc>
        <w:tc>
          <w:tcPr>
            <w:tcW w:w="3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TUPE, Working Time Regulations, IR35, ACAS codes</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Germany</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ADDM-DE-v3.2</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Jan 2024</w:t>
            </w:r>
          </w:p>
        </w:tc>
        <w:tc>
          <w:tcPr>
            <w:tcW w:w="39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Works Council co-determination rights, BDSG, </w:t>
            </w:r>
            <w:proofErr w:type="spellStart"/>
            <w:r>
              <w:rPr>
                <w:sz w:val="19"/>
                <w:szCs w:val="19"/>
              </w:rPr>
              <w:t>BetrVG</w:t>
            </w:r>
            <w:proofErr w:type="spellEnd"/>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France</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ADDM-FR-v3.0</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Sep 2023</w:t>
            </w:r>
          </w:p>
        </w:tc>
        <w:tc>
          <w:tcPr>
            <w:tcW w:w="3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35-hour week, mandatory profit sharing (participation), DUERP</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Singapore</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ADDM-SG-v2.5</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Jan 2024</w:t>
            </w:r>
          </w:p>
        </w:tc>
        <w:tc>
          <w:tcPr>
            <w:tcW w:w="39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Employment Act, MOM regulations, CPF, Tripartite Guidelines</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India</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ADDM-IN-v2.8</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Jan 2024</w:t>
            </w:r>
          </w:p>
        </w:tc>
        <w:tc>
          <w:tcPr>
            <w:tcW w:w="3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proofErr w:type="spellStart"/>
            <w:r>
              <w:rPr>
                <w:sz w:val="19"/>
                <w:szCs w:val="19"/>
              </w:rPr>
              <w:t>Labour</w:t>
            </w:r>
            <w:proofErr w:type="spellEnd"/>
            <w:r>
              <w:rPr>
                <w:sz w:val="19"/>
                <w:szCs w:val="19"/>
              </w:rPr>
              <w:t xml:space="preserve"> Codes, Shops &amp; Establishments Act, PF, Gratuity Act</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Australia</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ADDM-AU-v3.1</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Jul 2024</w:t>
            </w:r>
          </w:p>
        </w:tc>
        <w:tc>
          <w:tcPr>
            <w:tcW w:w="39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Fair Work Act, NES, Modern Awards, superannuation</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Brazil</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ADDM-BR-v2.0</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Mar 2024</w:t>
            </w:r>
          </w:p>
        </w:tc>
        <w:tc>
          <w:tcPr>
            <w:tcW w:w="3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CLT, LGPD, FGTS, mandatory union agreements</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UAE / MENA</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ADDM-UAE-v1.5</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Jan 2024</w:t>
            </w:r>
          </w:p>
        </w:tc>
        <w:tc>
          <w:tcPr>
            <w:tcW w:w="39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 xml:space="preserve">UAE </w:t>
            </w:r>
            <w:proofErr w:type="spellStart"/>
            <w:r>
              <w:rPr>
                <w:sz w:val="19"/>
                <w:szCs w:val="19"/>
              </w:rPr>
              <w:t>Labour</w:t>
            </w:r>
            <w:proofErr w:type="spellEnd"/>
            <w:r>
              <w:rPr>
                <w:sz w:val="19"/>
                <w:szCs w:val="19"/>
              </w:rPr>
              <w:t xml:space="preserve"> Law, </w:t>
            </w:r>
            <w:proofErr w:type="spellStart"/>
            <w:r>
              <w:rPr>
                <w:sz w:val="19"/>
                <w:szCs w:val="19"/>
              </w:rPr>
              <w:t>Emiratisation</w:t>
            </w:r>
            <w:proofErr w:type="spellEnd"/>
            <w:r>
              <w:rPr>
                <w:sz w:val="19"/>
                <w:szCs w:val="19"/>
              </w:rPr>
              <w:t xml:space="preserve"> requirements, DIFC rules</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lastRenderedPageBreak/>
              <w:t>Canada</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ADDM-CA-v2.2</w:t>
            </w:r>
          </w:p>
        </w:tc>
        <w:tc>
          <w:tcPr>
            <w:tcW w:w="14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Jan 2024</w:t>
            </w:r>
          </w:p>
        </w:tc>
        <w:tc>
          <w:tcPr>
            <w:tcW w:w="3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rsidR="003C299D" w:rsidRDefault="00E2045C">
            <w:r>
              <w:rPr>
                <w:sz w:val="19"/>
                <w:szCs w:val="19"/>
              </w:rPr>
              <w:t>ESA (Ontario), PIPEDA, provincial variations by province</w:t>
            </w:r>
          </w:p>
        </w:tc>
      </w:tr>
      <w:tr w:rsidR="003C299D">
        <w:tblPrEx>
          <w:tblCellMar>
            <w:top w:w="0" w:type="dxa"/>
            <w:bottom w:w="0" w:type="dxa"/>
          </w:tblCellMar>
        </w:tblPrEx>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Netherlands</w:t>
            </w:r>
          </w:p>
        </w:tc>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ADDM-NL-v2.0</w:t>
            </w:r>
          </w:p>
        </w:tc>
        <w:tc>
          <w:tcPr>
            <w:tcW w:w="144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Sep 2023</w:t>
            </w:r>
          </w:p>
        </w:tc>
        <w:tc>
          <w:tcPr>
            <w:tcW w:w="39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20" w:type="dxa"/>
              <w:bottom w:w="80" w:type="dxa"/>
              <w:right w:w="120" w:type="dxa"/>
            </w:tcMar>
          </w:tcPr>
          <w:p w:rsidR="003C299D" w:rsidRDefault="00E2045C">
            <w:r>
              <w:rPr>
                <w:sz w:val="19"/>
                <w:szCs w:val="19"/>
              </w:rPr>
              <w:t>Dutch Civil Code, Works Council, GDPR (</w:t>
            </w:r>
            <w:proofErr w:type="spellStart"/>
            <w:r>
              <w:rPr>
                <w:sz w:val="19"/>
                <w:szCs w:val="19"/>
              </w:rPr>
              <w:t>Ap</w:t>
            </w:r>
            <w:proofErr w:type="spellEnd"/>
            <w:r>
              <w:rPr>
                <w:sz w:val="19"/>
                <w:szCs w:val="19"/>
              </w:rPr>
              <w:t xml:space="preserve"> specific guidance)</w:t>
            </w:r>
          </w:p>
        </w:tc>
      </w:tr>
    </w:tbl>
    <w:p w:rsidR="003C299D" w:rsidRDefault="003C299D" w:rsidP="002433AA">
      <w:pPr>
        <w:spacing w:before="300" w:after="300"/>
      </w:pPr>
      <w:bookmarkStart w:id="0" w:name="_GoBack"/>
      <w:bookmarkEnd w:id="0"/>
    </w:p>
    <w:sectPr w:rsidR="003C299D">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045C" w:rsidRDefault="00E2045C">
      <w:r>
        <w:separator/>
      </w:r>
    </w:p>
  </w:endnote>
  <w:endnote w:type="continuationSeparator" w:id="0">
    <w:p w:rsidR="00E2045C" w:rsidRDefault="00E20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299D" w:rsidRDefault="00E2045C">
    <w:pPr>
      <w:pBdr>
        <w:top w:val="single" w:sz="4" w:space="4" w:color="2E75B6"/>
      </w:pBdr>
      <w:tabs>
        <w:tab w:val="right" w:pos="9360"/>
      </w:tabs>
      <w:spacing w:before="80"/>
    </w:pPr>
    <w:r>
      <w:rPr>
        <w:i/>
        <w:iCs/>
        <w:color w:val="555555"/>
        <w:sz w:val="17"/>
        <w:szCs w:val="17"/>
      </w:rPr>
      <w:t>Internal Restricted — Not for External Distribution</w:t>
    </w:r>
    <w:r>
      <w:rPr>
        <w:color w:val="555555"/>
        <w:sz w:val="17"/>
        <w:szCs w:val="17"/>
      </w:rPr>
      <w:tab/>
      <w:t xml:space="preserve">© 2025 </w:t>
    </w:r>
    <w:proofErr w:type="spellStart"/>
    <w:r>
      <w:rPr>
        <w:color w:val="555555"/>
        <w:sz w:val="17"/>
        <w:szCs w:val="17"/>
      </w:rPr>
      <w:t>NexaCorp</w:t>
    </w:r>
    <w:proofErr w:type="spellEnd"/>
    <w:r>
      <w:rPr>
        <w:color w:val="555555"/>
        <w:sz w:val="17"/>
        <w:szCs w:val="17"/>
      </w:rPr>
      <w:t xml:space="preserve"> Global, Inc. — Internal Restricted</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045C" w:rsidRDefault="00E2045C">
      <w:r>
        <w:separator/>
      </w:r>
    </w:p>
  </w:footnote>
  <w:footnote w:type="continuationSeparator" w:id="0">
    <w:p w:rsidR="00E2045C" w:rsidRDefault="00E204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299D" w:rsidRDefault="00E2045C">
    <w:pPr>
      <w:pBdr>
        <w:bottom w:val="single" w:sz="4" w:space="4" w:color="2E75B6"/>
      </w:pBdr>
      <w:tabs>
        <w:tab w:val="right" w:pos="9360"/>
      </w:tabs>
      <w:spacing w:after="80"/>
    </w:pPr>
    <w:proofErr w:type="spellStart"/>
    <w:r>
      <w:rPr>
        <w:color w:val="2E75B6"/>
        <w:sz w:val="17"/>
        <w:szCs w:val="17"/>
      </w:rPr>
      <w:t>NexaCorp</w:t>
    </w:r>
    <w:proofErr w:type="spellEnd"/>
    <w:r>
      <w:rPr>
        <w:color w:val="2E75B6"/>
        <w:sz w:val="17"/>
        <w:szCs w:val="17"/>
      </w:rPr>
      <w:t xml:space="preserve"> Global — Enterprise Policy &amp; Procedures Handbook</w:t>
    </w:r>
    <w:r>
      <w:rPr>
        <w:b/>
        <w:bCs/>
        <w:color w:val="C00000"/>
        <w:sz w:val="17"/>
        <w:szCs w:val="17"/>
      </w:rPr>
      <w:tab/>
      <w:t xml:space="preserve">Version </w:t>
    </w:r>
    <w:proofErr w:type="gramStart"/>
    <w:r>
      <w:rPr>
        <w:b/>
        <w:bCs/>
        <w:color w:val="C00000"/>
        <w:sz w:val="17"/>
        <w:szCs w:val="17"/>
      </w:rPr>
      <w:t>5.2  |</w:t>
    </w:r>
    <w:proofErr w:type="gramEnd"/>
    <w:r>
      <w:rPr>
        <w:b/>
        <w:bCs/>
        <w:color w:val="C00000"/>
        <w:sz w:val="17"/>
        <w:szCs w:val="17"/>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50CB0"/>
    <w:multiLevelType w:val="hybridMultilevel"/>
    <w:tmpl w:val="F058E086"/>
    <w:lvl w:ilvl="0" w:tplc="F62A6064">
      <w:start w:val="1"/>
      <w:numFmt w:val="bullet"/>
      <w:lvlText w:val="•"/>
      <w:lvlJc w:val="left"/>
      <w:pPr>
        <w:ind w:left="720" w:hanging="360"/>
      </w:pPr>
    </w:lvl>
    <w:lvl w:ilvl="1" w:tplc="3F0E5DF6">
      <w:start w:val="1"/>
      <w:numFmt w:val="bullet"/>
      <w:lvlText w:val="◦"/>
      <w:lvlJc w:val="left"/>
      <w:pPr>
        <w:ind w:left="1080" w:hanging="360"/>
      </w:pPr>
    </w:lvl>
    <w:lvl w:ilvl="2" w:tplc="1576959E">
      <w:numFmt w:val="decimal"/>
      <w:lvlText w:val=""/>
      <w:lvlJc w:val="left"/>
    </w:lvl>
    <w:lvl w:ilvl="3" w:tplc="47A012F2">
      <w:numFmt w:val="decimal"/>
      <w:lvlText w:val=""/>
      <w:lvlJc w:val="left"/>
    </w:lvl>
    <w:lvl w:ilvl="4" w:tplc="437ECA04">
      <w:numFmt w:val="decimal"/>
      <w:lvlText w:val=""/>
      <w:lvlJc w:val="left"/>
    </w:lvl>
    <w:lvl w:ilvl="5" w:tplc="85FCA11E">
      <w:numFmt w:val="decimal"/>
      <w:lvlText w:val=""/>
      <w:lvlJc w:val="left"/>
    </w:lvl>
    <w:lvl w:ilvl="6" w:tplc="7228C354">
      <w:numFmt w:val="decimal"/>
      <w:lvlText w:val=""/>
      <w:lvlJc w:val="left"/>
    </w:lvl>
    <w:lvl w:ilvl="7" w:tplc="2340DA02">
      <w:numFmt w:val="decimal"/>
      <w:lvlText w:val=""/>
      <w:lvlJc w:val="left"/>
    </w:lvl>
    <w:lvl w:ilvl="8" w:tplc="2F9AB64A">
      <w:numFmt w:val="decimal"/>
      <w:lvlText w:val=""/>
      <w:lvlJc w:val="left"/>
    </w:lvl>
  </w:abstractNum>
  <w:abstractNum w:abstractNumId="1" w15:restartNumberingAfterBreak="0">
    <w:nsid w:val="27245AAD"/>
    <w:multiLevelType w:val="hybridMultilevel"/>
    <w:tmpl w:val="D9960C76"/>
    <w:lvl w:ilvl="0" w:tplc="64546A4E">
      <w:start w:val="1"/>
      <w:numFmt w:val="bullet"/>
      <w:lvlText w:val="●"/>
      <w:lvlJc w:val="left"/>
      <w:pPr>
        <w:ind w:left="720" w:hanging="360"/>
      </w:pPr>
    </w:lvl>
    <w:lvl w:ilvl="1" w:tplc="967EEB54">
      <w:start w:val="1"/>
      <w:numFmt w:val="bullet"/>
      <w:lvlText w:val="○"/>
      <w:lvlJc w:val="left"/>
      <w:pPr>
        <w:ind w:left="1440" w:hanging="360"/>
      </w:pPr>
    </w:lvl>
    <w:lvl w:ilvl="2" w:tplc="8786C796">
      <w:start w:val="1"/>
      <w:numFmt w:val="bullet"/>
      <w:lvlText w:val="■"/>
      <w:lvlJc w:val="left"/>
      <w:pPr>
        <w:ind w:left="2160" w:hanging="360"/>
      </w:pPr>
    </w:lvl>
    <w:lvl w:ilvl="3" w:tplc="6A606B4A">
      <w:start w:val="1"/>
      <w:numFmt w:val="bullet"/>
      <w:lvlText w:val="●"/>
      <w:lvlJc w:val="left"/>
      <w:pPr>
        <w:ind w:left="2880" w:hanging="360"/>
      </w:pPr>
    </w:lvl>
    <w:lvl w:ilvl="4" w:tplc="910E6450">
      <w:start w:val="1"/>
      <w:numFmt w:val="bullet"/>
      <w:lvlText w:val="○"/>
      <w:lvlJc w:val="left"/>
      <w:pPr>
        <w:ind w:left="3600" w:hanging="360"/>
      </w:pPr>
    </w:lvl>
    <w:lvl w:ilvl="5" w:tplc="CF962A06">
      <w:start w:val="1"/>
      <w:numFmt w:val="bullet"/>
      <w:lvlText w:val="■"/>
      <w:lvlJc w:val="left"/>
      <w:pPr>
        <w:ind w:left="4320" w:hanging="360"/>
      </w:pPr>
    </w:lvl>
    <w:lvl w:ilvl="6" w:tplc="92347254">
      <w:start w:val="1"/>
      <w:numFmt w:val="bullet"/>
      <w:lvlText w:val="●"/>
      <w:lvlJc w:val="left"/>
      <w:pPr>
        <w:ind w:left="5040" w:hanging="360"/>
      </w:pPr>
    </w:lvl>
    <w:lvl w:ilvl="7" w:tplc="6C30FD1C">
      <w:start w:val="1"/>
      <w:numFmt w:val="bullet"/>
      <w:lvlText w:val="●"/>
      <w:lvlJc w:val="left"/>
      <w:pPr>
        <w:ind w:left="5760" w:hanging="360"/>
      </w:pPr>
    </w:lvl>
    <w:lvl w:ilvl="8" w:tplc="C9F0ADF6">
      <w:start w:val="1"/>
      <w:numFmt w:val="bullet"/>
      <w:lvlText w:val="●"/>
      <w:lvlJc w:val="left"/>
      <w:pPr>
        <w:ind w:left="6480" w:hanging="360"/>
      </w:pPr>
    </w:lvl>
  </w:abstractNum>
  <w:abstractNum w:abstractNumId="2" w15:restartNumberingAfterBreak="0">
    <w:nsid w:val="55AE30A3"/>
    <w:multiLevelType w:val="hybridMultilevel"/>
    <w:tmpl w:val="531841E4"/>
    <w:lvl w:ilvl="0" w:tplc="40A670EA">
      <w:start w:val="1"/>
      <w:numFmt w:val="decimal"/>
      <w:lvlText w:val="%1."/>
      <w:lvlJc w:val="left"/>
      <w:pPr>
        <w:ind w:left="720" w:hanging="360"/>
      </w:pPr>
    </w:lvl>
    <w:lvl w:ilvl="1" w:tplc="3B800ED8">
      <w:numFmt w:val="decimal"/>
      <w:lvlText w:val=""/>
      <w:lvlJc w:val="left"/>
    </w:lvl>
    <w:lvl w:ilvl="2" w:tplc="D428950E">
      <w:numFmt w:val="decimal"/>
      <w:lvlText w:val=""/>
      <w:lvlJc w:val="left"/>
    </w:lvl>
    <w:lvl w:ilvl="3" w:tplc="DE527B18">
      <w:numFmt w:val="decimal"/>
      <w:lvlText w:val=""/>
      <w:lvlJc w:val="left"/>
    </w:lvl>
    <w:lvl w:ilvl="4" w:tplc="EE3640C2">
      <w:numFmt w:val="decimal"/>
      <w:lvlText w:val=""/>
      <w:lvlJc w:val="left"/>
    </w:lvl>
    <w:lvl w:ilvl="5" w:tplc="A5D67444">
      <w:numFmt w:val="decimal"/>
      <w:lvlText w:val=""/>
      <w:lvlJc w:val="left"/>
    </w:lvl>
    <w:lvl w:ilvl="6" w:tplc="D1A8AE00">
      <w:numFmt w:val="decimal"/>
      <w:lvlText w:val=""/>
      <w:lvlJc w:val="left"/>
    </w:lvl>
    <w:lvl w:ilvl="7" w:tplc="A1C6CE02">
      <w:numFmt w:val="decimal"/>
      <w:lvlText w:val=""/>
      <w:lvlJc w:val="left"/>
    </w:lvl>
    <w:lvl w:ilvl="8" w:tplc="CE16984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99D"/>
    <w:rsid w:val="002433AA"/>
    <w:rsid w:val="003C299D"/>
    <w:rsid w:val="00E20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05E5CC-8D44-42D2-B03C-4A9154AC4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B3A6B"/>
      <w:sz w:val="36"/>
      <w:szCs w:val="36"/>
    </w:rPr>
  </w:style>
  <w:style w:type="paragraph" w:styleId="Heading2">
    <w:name w:val="heading 2"/>
    <w:qFormat/>
    <w:pPr>
      <w:spacing w:before="300" w:after="140"/>
      <w:outlineLvl w:val="1"/>
    </w:pPr>
    <w:rPr>
      <w:b/>
      <w:bCs/>
      <w:color w:val="2E75B6"/>
      <w:sz w:val="28"/>
      <w:szCs w:val="28"/>
    </w:rPr>
  </w:style>
  <w:style w:type="paragraph" w:styleId="Heading3">
    <w:name w:val="heading 3"/>
    <w:qFormat/>
    <w:pPr>
      <w:spacing w:before="220" w:after="100"/>
      <w:outlineLvl w:val="2"/>
    </w:pPr>
    <w:rPr>
      <w:b/>
      <w:bCs/>
      <w:color w:val="1B3A6B"/>
      <w:sz w:val="24"/>
      <w:szCs w:val="24"/>
    </w:rPr>
  </w:style>
  <w:style w:type="paragraph" w:styleId="Heading4">
    <w:name w:val="heading 4"/>
    <w:qFormat/>
    <w:pPr>
      <w:spacing w:before="180" w:after="80"/>
      <w:outlineLvl w:val="3"/>
    </w:pPr>
    <w:rPr>
      <w:b/>
      <w:bCs/>
      <w:i/>
      <w:iCs/>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433AA"/>
    <w:pPr>
      <w:tabs>
        <w:tab w:val="center" w:pos="4680"/>
        <w:tab w:val="right" w:pos="9360"/>
      </w:tabs>
    </w:pPr>
  </w:style>
  <w:style w:type="character" w:customStyle="1" w:styleId="HeaderChar">
    <w:name w:val="Header Char"/>
    <w:basedOn w:val="DefaultParagraphFont"/>
    <w:link w:val="Header"/>
    <w:uiPriority w:val="99"/>
    <w:rsid w:val="002433AA"/>
  </w:style>
  <w:style w:type="paragraph" w:styleId="Footer">
    <w:name w:val="footer"/>
    <w:basedOn w:val="Normal"/>
    <w:link w:val="FooterChar"/>
    <w:uiPriority w:val="99"/>
    <w:unhideWhenUsed/>
    <w:rsid w:val="002433AA"/>
    <w:pPr>
      <w:tabs>
        <w:tab w:val="center" w:pos="4680"/>
        <w:tab w:val="right" w:pos="9360"/>
      </w:tabs>
    </w:pPr>
  </w:style>
  <w:style w:type="character" w:customStyle="1" w:styleId="FooterChar">
    <w:name w:val="Footer Char"/>
    <w:basedOn w:val="DefaultParagraphFont"/>
    <w:link w:val="Footer"/>
    <w:uiPriority w:val="99"/>
    <w:rsid w:val="002433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1329</TotalTime>
  <Pages>48</Pages>
  <Words>13826</Words>
  <Characters>78810</Characters>
  <Application>Microsoft Office Word</Application>
  <DocSecurity>0</DocSecurity>
  <Lines>656</Lines>
  <Paragraphs>184</Paragraphs>
  <ScaleCrop>false</ScaleCrop>
  <Company/>
  <LinksUpToDate>false</LinksUpToDate>
  <CharactersWithSpaces>92452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Tanishpreet Kaur</cp:lastModifiedBy>
  <cp:revision>2</cp:revision>
  <dcterms:created xsi:type="dcterms:W3CDTF">2026-04-28T05:44:00Z</dcterms:created>
  <dcterms:modified xsi:type="dcterms:W3CDTF">2026-04-30T05:28:00Z</dcterms:modified>
</cp:coreProperties>
</file>