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33E"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TEST – 1</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Question: what are the company values and organizational </w:t>
      </w:r>
      <w:proofErr w:type="gramStart"/>
      <w:r w:rsidRPr="00BE4F95">
        <w:rPr>
          <w:rFonts w:ascii="Times New Roman" w:hAnsi="Times New Roman" w:cs="Times New Roman"/>
          <w:sz w:val="24"/>
          <w:szCs w:val="24"/>
        </w:rPr>
        <w:t>structure</w:t>
      </w:r>
      <w:proofErr w:type="gramEnd"/>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proofErr w:type="spellStart"/>
      <w:r w:rsidRPr="00BE4F95">
        <w:rPr>
          <w:rFonts w:ascii="Times New Roman" w:hAnsi="Times New Roman" w:cs="Times New Roman"/>
          <w:sz w:val="24"/>
          <w:szCs w:val="24"/>
        </w:rPr>
        <w:t>NexaCorp's</w:t>
      </w:r>
      <w:proofErr w:type="spellEnd"/>
      <w:r w:rsidRPr="00BE4F95">
        <w:rPr>
          <w:rFonts w:ascii="Times New Roman" w:hAnsi="Times New Roman" w:cs="Times New Roman"/>
          <w:sz w:val="24"/>
          <w:szCs w:val="24"/>
        </w:rPr>
        <w:t xml:space="preserve"> core values are Integrity First, Customer Obsession, Bold Innovation, Inclusive Excellence, Ownership Mindset, Continuous Learning, and Sustainable Impact. The organizational structure includes the Executive Leadership Team (ELT) responsible for strategy and oversight, along with several governance committees such as the Audit &amp; Risk Committee and the Ethics &amp; Compliance Committee.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**Core Values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Integrity First</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Customer Obsession</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Bold Innovation</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Inclusive Excellence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Ownership Mindset</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Continuous Learning</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Sustainable Impact</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**Organizational Structure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Executive Leadership Team (ELT)</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Governance Committees (e.g., Audit &amp; Risk, Ethics &amp; Compliance, Data Governance, DEI, Technology Architecture Review Board, Investment &amp; M&amp;A)</w:t>
      </w:r>
    </w:p>
    <w:p w:rsidR="00D1108B" w:rsidRPr="00BE4F95" w:rsidRDefault="00D1108B" w:rsidP="00BE4F95">
      <w:pPr>
        <w:jc w:val="both"/>
        <w:rPr>
          <w:rFonts w:ascii="Times New Roman" w:hAnsi="Times New Roman" w:cs="Times New Roman"/>
          <w:sz w:val="24"/>
          <w:szCs w:val="24"/>
        </w:rPr>
      </w:pP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Question: what type of leaves are available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proofErr w:type="spellStart"/>
      <w:r w:rsidRPr="00BE4F95">
        <w:rPr>
          <w:rFonts w:ascii="Times New Roman" w:hAnsi="Times New Roman" w:cs="Times New Roman"/>
          <w:sz w:val="24"/>
          <w:szCs w:val="24"/>
        </w:rPr>
        <w:t>NexaCorp</w:t>
      </w:r>
      <w:proofErr w:type="spellEnd"/>
      <w:r w:rsidRPr="00BE4F95">
        <w:rPr>
          <w:rFonts w:ascii="Times New Roman" w:hAnsi="Times New Roman" w:cs="Times New Roman"/>
          <w:sz w:val="24"/>
          <w:szCs w:val="24"/>
        </w:rPr>
        <w:t xml:space="preserve"> offers various formal leave types in addition to Paid Time </w:t>
      </w:r>
      <w:proofErr w:type="gramStart"/>
      <w:r w:rsidRPr="00BE4F95">
        <w:rPr>
          <w:rFonts w:ascii="Times New Roman" w:hAnsi="Times New Roman" w:cs="Times New Roman"/>
          <w:sz w:val="24"/>
          <w:szCs w:val="24"/>
        </w:rPr>
        <w:t>Off</w:t>
      </w:r>
      <w:proofErr w:type="gramEnd"/>
      <w:r w:rsidRPr="00BE4F95">
        <w:rPr>
          <w:rFonts w:ascii="Times New Roman" w:hAnsi="Times New Roman" w:cs="Times New Roman"/>
          <w:sz w:val="24"/>
          <w:szCs w:val="24"/>
        </w:rPr>
        <w:t xml:space="preserve"> (PTO) and holidays. These include FMLA/Medical Leave, Parental Leave, Military Leave, Jury Duty Leave, Bereavement Leave, Volunteer Leave, Sabbatical Leave, and Personal/Unpaid Leave. Additionally, employees have access to Mental Health Days, Compassionate Leave, and can utilize resources through the Employee Assistance </w:t>
      </w:r>
      <w:proofErr w:type="spellStart"/>
      <w:r w:rsidRPr="00BE4F95">
        <w:rPr>
          <w:rFonts w:ascii="Times New Roman" w:hAnsi="Times New Roman" w:cs="Times New Roman"/>
          <w:sz w:val="24"/>
          <w:szCs w:val="24"/>
        </w:rPr>
        <w:t>Programme</w:t>
      </w:r>
      <w:proofErr w:type="spellEnd"/>
      <w:r w:rsidRPr="00BE4F95">
        <w:rPr>
          <w:rFonts w:ascii="Times New Roman" w:hAnsi="Times New Roman" w:cs="Times New Roman"/>
          <w:sz w:val="24"/>
          <w:szCs w:val="24"/>
        </w:rPr>
        <w:t xml:space="preserve"> (EAP) and the </w:t>
      </w:r>
      <w:proofErr w:type="spellStart"/>
      <w:r w:rsidRPr="00BE4F95">
        <w:rPr>
          <w:rFonts w:ascii="Times New Roman" w:hAnsi="Times New Roman" w:cs="Times New Roman"/>
          <w:sz w:val="24"/>
          <w:szCs w:val="24"/>
        </w:rPr>
        <w:t>NexaMind</w:t>
      </w:r>
      <w:proofErr w:type="spellEnd"/>
      <w:r w:rsidRPr="00BE4F95">
        <w:rPr>
          <w:rFonts w:ascii="Times New Roman" w:hAnsi="Times New Roman" w:cs="Times New Roman"/>
          <w:sz w:val="24"/>
          <w:szCs w:val="24"/>
        </w:rPr>
        <w:t>™ App.</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Here's a summary of the available leave types: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**FMLA / Medical Leave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Up to 12 weeks per year, partially paid.</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**Parental Leave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Paid at 100%, with a preferred 90-day notice.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**Military Leave (USERRA):** Indefinite job protection, with 14 days paid and USERRA thereafter.</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**Jury Duty Leave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Full pay up to 10 days, then unpaid, with notice required.</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**Bereavement Leave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3-5 days, fully paid, with same-day notice.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**Volunteer Leave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3 days per year, fully paid, with 5 business days' notice.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lastRenderedPageBreak/>
        <w:t>*   **Sabbatical Leave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1-3 months unpaid, requiring CPO approval.</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**Personal / Unpaid Leave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Up to 12 weeks, unpaid, requiring manager and HR BP approval.</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**Mental Health Days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3 designated days per year, in addition to PTO.</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**Compassionate Leave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Up to 5 paid days for bereavement or family crisis.</w:t>
      </w:r>
    </w:p>
    <w:p w:rsidR="00D1108B" w:rsidRPr="00BE4F95" w:rsidRDefault="00D1108B" w:rsidP="00BE4F95">
      <w:pPr>
        <w:jc w:val="both"/>
        <w:rPr>
          <w:rFonts w:ascii="Times New Roman" w:hAnsi="Times New Roman" w:cs="Times New Roman"/>
          <w:sz w:val="24"/>
          <w:szCs w:val="24"/>
        </w:rPr>
      </w:pP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Question: what is the pay </w:t>
      </w:r>
      <w:proofErr w:type="gramStart"/>
      <w:r w:rsidRPr="00BE4F95">
        <w:rPr>
          <w:rFonts w:ascii="Times New Roman" w:hAnsi="Times New Roman" w:cs="Times New Roman"/>
          <w:sz w:val="24"/>
          <w:szCs w:val="24"/>
        </w:rPr>
        <w:t>structure</w:t>
      </w:r>
      <w:bookmarkStart w:id="0" w:name="_GoBack"/>
      <w:bookmarkEnd w:id="0"/>
      <w:proofErr w:type="gramEnd"/>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proofErr w:type="spellStart"/>
      <w:r w:rsidRPr="00BE4F95">
        <w:rPr>
          <w:rFonts w:ascii="Times New Roman" w:hAnsi="Times New Roman" w:cs="Times New Roman"/>
          <w:sz w:val="24"/>
          <w:szCs w:val="24"/>
        </w:rPr>
        <w:t>NexaCorp</w:t>
      </w:r>
      <w:proofErr w:type="spellEnd"/>
      <w:r w:rsidRPr="00BE4F95">
        <w:rPr>
          <w:rFonts w:ascii="Times New Roman" w:hAnsi="Times New Roman" w:cs="Times New Roman"/>
          <w:sz w:val="24"/>
          <w:szCs w:val="24"/>
        </w:rPr>
        <w:t xml:space="preserve"> utilizes a grade and pay band structure to determine employee compensation, with pay bands reviewed annually for adjustments. This structure is designed to align with market data and internal equity to attract and retain talent.</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**Grade &amp; Pay Band Structure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Employees are assigned to grades with corresponding pay bands that outline typical job titles and base salary ranges in USD.</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**Annual Review</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Pay bands are subject to an annual review process.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**Adjustment Factors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Adjustments are based on market movement, internal equity analysis, and company financial performance.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**Approval Process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All salary changes require approval through the HRIS system with dual approval from a Manager and HR Business Partner.</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**Compensation Philosophy</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xml:space="preserve">* </w:t>
      </w:r>
      <w:proofErr w:type="spellStart"/>
      <w:r w:rsidRPr="00BE4F95">
        <w:rPr>
          <w:rFonts w:ascii="Times New Roman" w:hAnsi="Times New Roman" w:cs="Times New Roman"/>
          <w:sz w:val="24"/>
          <w:szCs w:val="24"/>
        </w:rPr>
        <w:t>NexaCorp</w:t>
      </w:r>
      <w:proofErr w:type="spellEnd"/>
      <w:r w:rsidRPr="00BE4F95">
        <w:rPr>
          <w:rFonts w:ascii="Times New Roman" w:hAnsi="Times New Roman" w:cs="Times New Roman"/>
          <w:sz w:val="24"/>
          <w:szCs w:val="24"/>
        </w:rPr>
        <w:t xml:space="preserve"> aims to offer market-competitive total compensation packages, targeting the 65th percentile of the relevant talent market for base salary for employees performing at expectation.</w:t>
      </w:r>
    </w:p>
    <w:p w:rsidR="00D1108B" w:rsidRPr="00BE4F95" w:rsidRDefault="00D1108B" w:rsidP="00BE4F95">
      <w:pPr>
        <w:jc w:val="both"/>
        <w:rPr>
          <w:rFonts w:ascii="Times New Roman" w:hAnsi="Times New Roman" w:cs="Times New Roman"/>
          <w:sz w:val="24"/>
          <w:szCs w:val="24"/>
        </w:rPr>
      </w:pP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Question: How many PTO days do employees receive?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Employees receive a specific number of Paid Time </w:t>
      </w:r>
      <w:proofErr w:type="gramStart"/>
      <w:r w:rsidRPr="00BE4F95">
        <w:rPr>
          <w:rFonts w:ascii="Times New Roman" w:hAnsi="Times New Roman" w:cs="Times New Roman"/>
          <w:sz w:val="24"/>
          <w:szCs w:val="24"/>
        </w:rPr>
        <w:t>Off</w:t>
      </w:r>
      <w:proofErr w:type="gramEnd"/>
      <w:r w:rsidRPr="00BE4F95">
        <w:rPr>
          <w:rFonts w:ascii="Times New Roman" w:hAnsi="Times New Roman" w:cs="Times New Roman"/>
          <w:sz w:val="24"/>
          <w:szCs w:val="24"/>
        </w:rPr>
        <w:t xml:space="preserve"> (PTO) days based on their years of service, ranging from 20 days for those with 0-2 years of service up to 30 days for those with 10+ years. Executive Leadership Team (ELT) / VP and above have unlimited PTO, which is managed.</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Here's a breakdown of PTO accrual:</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**0–2 years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20 days (160 hours)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**3–5 years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23 days (184 hours)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**6–10 years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26 days (208 hours)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**10+ years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30 days (240 hours)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**ELT / VP and above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Unlimited (managed)</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(Source: 3.7.1 Paid Time </w:t>
      </w:r>
      <w:proofErr w:type="gramStart"/>
      <w:r w:rsidRPr="00BE4F95">
        <w:rPr>
          <w:rFonts w:ascii="Times New Roman" w:hAnsi="Times New Roman" w:cs="Times New Roman"/>
          <w:sz w:val="24"/>
          <w:szCs w:val="24"/>
        </w:rPr>
        <w:t>Off</w:t>
      </w:r>
      <w:proofErr w:type="gramEnd"/>
      <w:r w:rsidRPr="00BE4F95">
        <w:rPr>
          <w:rFonts w:ascii="Times New Roman" w:hAnsi="Times New Roman" w:cs="Times New Roman"/>
          <w:sz w:val="24"/>
          <w:szCs w:val="24"/>
        </w:rPr>
        <w:t xml:space="preserve"> (PTO))</w:t>
      </w:r>
    </w:p>
    <w:p w:rsidR="00D1108B" w:rsidRPr="00BE4F95" w:rsidRDefault="00D1108B" w:rsidP="00BE4F95">
      <w:pPr>
        <w:jc w:val="both"/>
        <w:rPr>
          <w:rFonts w:ascii="Times New Roman" w:hAnsi="Times New Roman" w:cs="Times New Roman"/>
          <w:sz w:val="24"/>
          <w:szCs w:val="24"/>
        </w:rPr>
      </w:pP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lastRenderedPageBreak/>
        <w:t>Question: What is the work-from-home policy? What are company working hours?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proofErr w:type="spellStart"/>
      <w:r w:rsidRPr="00BE4F95">
        <w:rPr>
          <w:rFonts w:ascii="Times New Roman" w:hAnsi="Times New Roman" w:cs="Times New Roman"/>
          <w:sz w:val="24"/>
          <w:szCs w:val="24"/>
        </w:rPr>
        <w:t>NexaCorp's</w:t>
      </w:r>
      <w:proofErr w:type="spellEnd"/>
      <w:r w:rsidRPr="00BE4F95">
        <w:rPr>
          <w:rFonts w:ascii="Times New Roman" w:hAnsi="Times New Roman" w:cs="Times New Roman"/>
          <w:sz w:val="24"/>
          <w:szCs w:val="24"/>
        </w:rPr>
        <w:t xml:space="preserve"> work-from-home policy requires employees to maintain a safe and ergonomic home workspace, with financial assistance provided for equipment and internet. Company working hours are defined by Core Collaboration Hours, typically from 10:00 AM to 3:00 PM in the manager's primary time zone, with flexibility for those in significantly different time zones.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**Home Office Requirements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Employees are responsible for a safe, ergonomic, and professional home workspace.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A one-time $600 Home Office Stipend is available for new remote/hybrid employees for ergonomic equipment.</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An annual $200 Equipment Refresh Allowance is provided for peripherals and consumables.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A $75/month Internet Connectivity Stipend is offered for remote domestic or international arrangements.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    *   Employees must complete an annual Home Workstation Self-Assessment.</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**International Remote Work</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Relocating internationally requires prior written approval from Legal, Tax, and the CPO's office due to complex legal implications.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**Core Collaboration Hours:** All employees must be available for synchronous collaboration during their team's designated Core Hours, usually 10:00 AM – 3:00 PM in the manager's primary time zone. Adjustments can be made for employees in significantly different time zones.</w:t>
      </w:r>
    </w:p>
    <w:p w:rsidR="00D1108B" w:rsidRPr="00BE4F95" w:rsidRDefault="00D1108B" w:rsidP="00BE4F95">
      <w:pPr>
        <w:jc w:val="both"/>
        <w:rPr>
          <w:rFonts w:ascii="Times New Roman" w:hAnsi="Times New Roman" w:cs="Times New Roman"/>
          <w:sz w:val="24"/>
          <w:szCs w:val="24"/>
        </w:rPr>
      </w:pP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Question: Do employees get medical benefits?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Yes, </w:t>
      </w:r>
      <w:proofErr w:type="spellStart"/>
      <w:r w:rsidRPr="00BE4F95">
        <w:rPr>
          <w:rFonts w:ascii="Times New Roman" w:hAnsi="Times New Roman" w:cs="Times New Roman"/>
          <w:sz w:val="24"/>
          <w:szCs w:val="24"/>
        </w:rPr>
        <w:t>NexaCorp</w:t>
      </w:r>
      <w:proofErr w:type="spellEnd"/>
      <w:r w:rsidRPr="00BE4F95">
        <w:rPr>
          <w:rFonts w:ascii="Times New Roman" w:hAnsi="Times New Roman" w:cs="Times New Roman"/>
          <w:sz w:val="24"/>
          <w:szCs w:val="24"/>
        </w:rPr>
        <w:t xml:space="preserve"> offers medical benefits to employees through various plan options. These plans include the </w:t>
      </w:r>
      <w:proofErr w:type="spellStart"/>
      <w:r w:rsidRPr="00BE4F95">
        <w:rPr>
          <w:rFonts w:ascii="Times New Roman" w:hAnsi="Times New Roman" w:cs="Times New Roman"/>
          <w:sz w:val="24"/>
          <w:szCs w:val="24"/>
        </w:rPr>
        <w:t>NexaCare</w:t>
      </w:r>
      <w:proofErr w:type="spellEnd"/>
      <w:r w:rsidRPr="00BE4F95">
        <w:rPr>
          <w:rFonts w:ascii="Times New Roman" w:hAnsi="Times New Roman" w:cs="Times New Roman"/>
          <w:sz w:val="24"/>
          <w:szCs w:val="24"/>
        </w:rPr>
        <w:t xml:space="preserve">™ Premium PPO, </w:t>
      </w:r>
      <w:proofErr w:type="spellStart"/>
      <w:r w:rsidRPr="00BE4F95">
        <w:rPr>
          <w:rFonts w:ascii="Times New Roman" w:hAnsi="Times New Roman" w:cs="Times New Roman"/>
          <w:sz w:val="24"/>
          <w:szCs w:val="24"/>
        </w:rPr>
        <w:t>NexaCare</w:t>
      </w:r>
      <w:proofErr w:type="spellEnd"/>
      <w:r w:rsidRPr="00BE4F95">
        <w:rPr>
          <w:rFonts w:ascii="Times New Roman" w:hAnsi="Times New Roman" w:cs="Times New Roman"/>
          <w:sz w:val="24"/>
          <w:szCs w:val="24"/>
        </w:rPr>
        <w:t xml:space="preserve">™ Value HMO, and </w:t>
      </w:r>
      <w:proofErr w:type="spellStart"/>
      <w:r w:rsidRPr="00BE4F95">
        <w:rPr>
          <w:rFonts w:ascii="Times New Roman" w:hAnsi="Times New Roman" w:cs="Times New Roman"/>
          <w:sz w:val="24"/>
          <w:szCs w:val="24"/>
        </w:rPr>
        <w:t>NexaCare</w:t>
      </w:r>
      <w:proofErr w:type="spellEnd"/>
      <w:r w:rsidRPr="00BE4F95">
        <w:rPr>
          <w:rFonts w:ascii="Times New Roman" w:hAnsi="Times New Roman" w:cs="Times New Roman"/>
          <w:sz w:val="24"/>
          <w:szCs w:val="24"/>
        </w:rPr>
        <w:t>™ HDHP + HSA.</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w:t>
      </w:r>
      <w:proofErr w:type="spellStart"/>
      <w:r w:rsidRPr="00BE4F95">
        <w:rPr>
          <w:rFonts w:ascii="Times New Roman" w:hAnsi="Times New Roman" w:cs="Times New Roman"/>
          <w:sz w:val="24"/>
          <w:szCs w:val="24"/>
        </w:rPr>
        <w:t>NexaCare</w:t>
      </w:r>
      <w:proofErr w:type="spellEnd"/>
      <w:r w:rsidRPr="00BE4F95">
        <w:rPr>
          <w:rFonts w:ascii="Times New Roman" w:hAnsi="Times New Roman" w:cs="Times New Roman"/>
          <w:sz w:val="24"/>
          <w:szCs w:val="24"/>
        </w:rPr>
        <w:t>™ Premium PPO</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Offers a $500 individual deductible and a $2,500 individual out-of-pocket maximum.</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w:t>
      </w:r>
      <w:proofErr w:type="spellStart"/>
      <w:r w:rsidRPr="00BE4F95">
        <w:rPr>
          <w:rFonts w:ascii="Times New Roman" w:hAnsi="Times New Roman" w:cs="Times New Roman"/>
          <w:sz w:val="24"/>
          <w:szCs w:val="24"/>
        </w:rPr>
        <w:t>NexaCare</w:t>
      </w:r>
      <w:proofErr w:type="spellEnd"/>
      <w:r w:rsidRPr="00BE4F95">
        <w:rPr>
          <w:rFonts w:ascii="Times New Roman" w:hAnsi="Times New Roman" w:cs="Times New Roman"/>
          <w:sz w:val="24"/>
          <w:szCs w:val="24"/>
        </w:rPr>
        <w:t>™ Value HMO</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Features a lower individual deductible of $250 and an individual out-of-pocket maximum of $1,500.</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w:t>
      </w:r>
      <w:proofErr w:type="spellStart"/>
      <w:r w:rsidRPr="00BE4F95">
        <w:rPr>
          <w:rFonts w:ascii="Times New Roman" w:hAnsi="Times New Roman" w:cs="Times New Roman"/>
          <w:sz w:val="24"/>
          <w:szCs w:val="24"/>
        </w:rPr>
        <w:t>NexaCare</w:t>
      </w:r>
      <w:proofErr w:type="spellEnd"/>
      <w:r w:rsidRPr="00BE4F95">
        <w:rPr>
          <w:rFonts w:ascii="Times New Roman" w:hAnsi="Times New Roman" w:cs="Times New Roman"/>
          <w:sz w:val="24"/>
          <w:szCs w:val="24"/>
        </w:rPr>
        <w:t xml:space="preserve">™ HDHP + HSA:** Comes with a higher individual deductible of $1,400 and an individual out-of-pocket maximum of $3,200, but </w:t>
      </w:r>
      <w:proofErr w:type="spellStart"/>
      <w:r w:rsidRPr="00BE4F95">
        <w:rPr>
          <w:rFonts w:ascii="Times New Roman" w:hAnsi="Times New Roman" w:cs="Times New Roman"/>
          <w:sz w:val="24"/>
          <w:szCs w:val="24"/>
        </w:rPr>
        <w:t>NexaCorp</w:t>
      </w:r>
      <w:proofErr w:type="spellEnd"/>
      <w:r w:rsidRPr="00BE4F95">
        <w:rPr>
          <w:rFonts w:ascii="Times New Roman" w:hAnsi="Times New Roman" w:cs="Times New Roman"/>
          <w:sz w:val="24"/>
          <w:szCs w:val="24"/>
        </w:rPr>
        <w:t xml:space="preserve"> contributes $800 annually to the employee's Health Savings Account (HSA) for this plan.</w:t>
      </w:r>
    </w:p>
    <w:p w:rsidR="00D1108B" w:rsidRPr="00BE4F95" w:rsidRDefault="00D1108B" w:rsidP="00BE4F95">
      <w:pPr>
        <w:jc w:val="both"/>
        <w:rPr>
          <w:rFonts w:ascii="Times New Roman" w:hAnsi="Times New Roman" w:cs="Times New Roman"/>
          <w:sz w:val="24"/>
          <w:szCs w:val="24"/>
        </w:rPr>
      </w:pP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xml:space="preserve">Question: What is </w:t>
      </w:r>
      <w:proofErr w:type="spellStart"/>
      <w:r w:rsidRPr="00BE4F95">
        <w:rPr>
          <w:rFonts w:ascii="Times New Roman" w:hAnsi="Times New Roman" w:cs="Times New Roman"/>
          <w:sz w:val="24"/>
          <w:szCs w:val="24"/>
        </w:rPr>
        <w:t>NexaCorp's</w:t>
      </w:r>
      <w:proofErr w:type="spellEnd"/>
      <w:r w:rsidRPr="00BE4F95">
        <w:rPr>
          <w:rFonts w:ascii="Times New Roman" w:hAnsi="Times New Roman" w:cs="Times New Roman"/>
          <w:sz w:val="24"/>
          <w:szCs w:val="24"/>
        </w:rPr>
        <w:t xml:space="preserve"> stock price?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proofErr w:type="spellStart"/>
      <w:r w:rsidRPr="00BE4F95">
        <w:rPr>
          <w:rFonts w:ascii="Times New Roman" w:hAnsi="Times New Roman" w:cs="Times New Roman"/>
          <w:sz w:val="24"/>
          <w:szCs w:val="24"/>
        </w:rPr>
        <w:t>NexaCorp's</w:t>
      </w:r>
      <w:proofErr w:type="spellEnd"/>
      <w:r w:rsidRPr="00BE4F95">
        <w:rPr>
          <w:rFonts w:ascii="Times New Roman" w:hAnsi="Times New Roman" w:cs="Times New Roman"/>
          <w:sz w:val="24"/>
          <w:szCs w:val="24"/>
        </w:rPr>
        <w:t xml:space="preserve"> stock price is not provided in the given context. The document mentions that </w:t>
      </w:r>
      <w:proofErr w:type="spellStart"/>
      <w:r w:rsidRPr="00BE4F95">
        <w:rPr>
          <w:rFonts w:ascii="Times New Roman" w:hAnsi="Times New Roman" w:cs="Times New Roman"/>
          <w:sz w:val="24"/>
          <w:szCs w:val="24"/>
        </w:rPr>
        <w:t>NexaCorp</w:t>
      </w:r>
      <w:proofErr w:type="spellEnd"/>
      <w:r w:rsidRPr="00BE4F95">
        <w:rPr>
          <w:rFonts w:ascii="Times New Roman" w:hAnsi="Times New Roman" w:cs="Times New Roman"/>
          <w:sz w:val="24"/>
          <w:szCs w:val="24"/>
        </w:rPr>
        <w:t xml:space="preserve"> had a NASDAQ IPO at $18/share in 2002, but current stock price information is not available.</w:t>
      </w:r>
    </w:p>
    <w:p w:rsidR="00D1108B" w:rsidRPr="00BE4F95" w:rsidRDefault="00D1108B" w:rsidP="00BE4F95">
      <w:pPr>
        <w:jc w:val="both"/>
        <w:rPr>
          <w:rFonts w:ascii="Times New Roman" w:hAnsi="Times New Roman" w:cs="Times New Roman"/>
          <w:sz w:val="24"/>
          <w:szCs w:val="24"/>
        </w:rPr>
      </w:pP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lastRenderedPageBreak/>
        <w:t>Question: What is the international relocation policy?</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Employees must not relocate to another country to work remotely without prior written approval from Legal, Tax, and the CPO's office. Even a short period of working remotely from another country can lead to unexpected tax obligations.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**Prior Approval Required</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International remote arrangements need written consent from Legal, Tax, and the CPO's office.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**Potential Tax Implications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Working from another country, even for a short duration, can trigger tax obligations.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**Complexity</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International remote work involves complex tax, social security, immigration, and employment law issues.</w:t>
      </w:r>
    </w:p>
    <w:p w:rsidR="00D1108B" w:rsidRPr="00BE4F95" w:rsidRDefault="00D1108B" w:rsidP="00BE4F95">
      <w:pPr>
        <w:jc w:val="both"/>
        <w:rPr>
          <w:rFonts w:ascii="Times New Roman" w:hAnsi="Times New Roman" w:cs="Times New Roman"/>
          <w:sz w:val="24"/>
          <w:szCs w:val="24"/>
        </w:rPr>
      </w:pP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Question: What is the employee reimbursement policy?</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proofErr w:type="spellStart"/>
      <w:r w:rsidRPr="00BE4F95">
        <w:rPr>
          <w:rFonts w:ascii="Times New Roman" w:hAnsi="Times New Roman" w:cs="Times New Roman"/>
          <w:sz w:val="24"/>
          <w:szCs w:val="24"/>
        </w:rPr>
        <w:t>NexaCorp</w:t>
      </w:r>
      <w:proofErr w:type="spellEnd"/>
      <w:r w:rsidRPr="00BE4F95">
        <w:rPr>
          <w:rFonts w:ascii="Times New Roman" w:hAnsi="Times New Roman" w:cs="Times New Roman"/>
          <w:sz w:val="24"/>
          <w:szCs w:val="24"/>
        </w:rPr>
        <w:t xml:space="preserve"> will reimburse employees for legitimate, necessary, and reasonable business expenses incurred while performing their duties. Employees are expected to use good judgment when spending company funds, and expense claims must be submitted within 30 days of the expense.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**Eligibility</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Expenses must be legitimate, necessary, and reasonable business expenses.</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**Submission Deadline</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Claims must be submitted within 30 days of the expense.</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**Late Submissions</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Claims older than 90 days require approval from the Finance VP.</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   **Stewardship</w:t>
      </w:r>
      <w:proofErr w:type="gramStart"/>
      <w:r w:rsidRPr="00BE4F95">
        <w:rPr>
          <w:rFonts w:ascii="Times New Roman" w:hAnsi="Times New Roman" w:cs="Times New Roman"/>
          <w:sz w:val="24"/>
          <w:szCs w:val="24"/>
        </w:rPr>
        <w:t>:*</w:t>
      </w:r>
      <w:proofErr w:type="gramEnd"/>
      <w:r w:rsidRPr="00BE4F95">
        <w:rPr>
          <w:rFonts w:ascii="Times New Roman" w:hAnsi="Times New Roman" w:cs="Times New Roman"/>
          <w:sz w:val="24"/>
          <w:szCs w:val="24"/>
        </w:rPr>
        <w:t>* Employees are expected to manage company funds responsibly, similar to their personal finances.</w:t>
      </w:r>
    </w:p>
    <w:p w:rsidR="00D1108B" w:rsidRPr="00BE4F95" w:rsidRDefault="00D1108B" w:rsidP="00BE4F95">
      <w:pPr>
        <w:jc w:val="both"/>
        <w:rPr>
          <w:rFonts w:ascii="Times New Roman" w:hAnsi="Times New Roman" w:cs="Times New Roman"/>
          <w:sz w:val="24"/>
          <w:szCs w:val="24"/>
        </w:rPr>
      </w:pP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Question: What is the CEO's favorite food?</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Answer:</w:t>
      </w:r>
    </w:p>
    <w:p w:rsidR="00D1108B" w:rsidRPr="00BE4F95" w:rsidRDefault="00D1108B" w:rsidP="00BE4F95">
      <w:pPr>
        <w:jc w:val="both"/>
        <w:rPr>
          <w:rFonts w:ascii="Times New Roman" w:hAnsi="Times New Roman" w:cs="Times New Roman"/>
          <w:sz w:val="24"/>
          <w:szCs w:val="24"/>
        </w:rPr>
      </w:pPr>
      <w:r w:rsidRPr="00BE4F95">
        <w:rPr>
          <w:rFonts w:ascii="Times New Roman" w:hAnsi="Times New Roman" w:cs="Times New Roman"/>
          <w:sz w:val="24"/>
          <w:szCs w:val="24"/>
        </w:rPr>
        <w:t>I cannot answer that question as the provided documentation does not contain information about the CEO's favorite food. The context details Elaine Hartwell's role as Chief Executive Officer and her key responsibilities, but not personal preferences.</w:t>
      </w:r>
    </w:p>
    <w:sectPr w:rsidR="00D1108B" w:rsidRPr="00BE4F95" w:rsidSect="00BE4F95">
      <w:pgSz w:w="12240" w:h="15840"/>
      <w:pgMar w:top="720" w:right="810" w:bottom="81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8B"/>
    <w:rsid w:val="001C39E6"/>
    <w:rsid w:val="00781882"/>
    <w:rsid w:val="00BE4F95"/>
    <w:rsid w:val="00D1108B"/>
    <w:rsid w:val="00DD0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31A6"/>
  <w15:chartTrackingRefBased/>
  <w15:docId w15:val="{63E595A8-4594-4CA4-BEE6-1BF0D33C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Tanishpreet Kaur</dc:creator>
  <cp:keywords/>
  <dc:description/>
  <cp:lastModifiedBy>Tanishpreet Kaur</cp:lastModifiedBy>
  <cp:revision>2</cp:revision>
  <dcterms:created xsi:type="dcterms:W3CDTF">2026-05-20T07:14:00Z</dcterms:created>
  <dcterms:modified xsi:type="dcterms:W3CDTF">2026-05-21T04:37:00Z</dcterms:modified>
</cp:coreProperties>
</file>