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1B3A6B"/>
          <w:sz w:val="64"/>
          <w:szCs w:val="64"/>
        </w:rPr>
        <w:t xml:space="preserve">NEXACORP GLOBAL</w:t>
      </w:r>
    </w:p>
    <w:p>
      <w:pPr>
        <w:spacing w:after="100" w:before="0"/>
        <w:jc w:val="center"/>
      </w:pPr>
      <w:r>
        <w:rPr>
          <w:rFonts w:ascii="Arial" w:cs="Arial" w:eastAsia="Arial" w:hAnsi="Arial"/>
          <w:color w:val="2E75B6"/>
          <w:sz w:val="36"/>
          <w:szCs w:val="36"/>
        </w:rPr>
        <w:t xml:space="preserve">Enterprise Policy &amp; Procedures Handbook</w:t>
      </w:r>
    </w:p>
    <w:p>
      <w:pPr>
        <w:spacing w:after="80" w:before="0"/>
        <w:jc w:val="center"/>
      </w:pPr>
      <w:r>
        <w:rPr>
          <w:rFonts w:ascii="Arial" w:cs="Arial" w:eastAsia="Arial" w:hAnsi="Arial"/>
          <w:i/>
          <w:iCs/>
          <w:color w:val="E36B00"/>
          <w:sz w:val="22"/>
          <w:szCs w:val="22"/>
        </w:rPr>
        <w:t xml:space="preserve">Confidential — Internal Use Only</w:t>
      </w:r>
    </w:p>
    <w:p>
      <w:pPr>
        <w:pBdr>
          <w:top w:val="single" w:color="C0C8D8" w:sz="4"/>
        </w:pBdr>
        <w:spacing w:after="60" w:before="600"/>
        <w:jc w:val="center"/>
      </w:pPr>
      <w:r>
        <w:rPr>
          <w:rFonts w:ascii="Arial" w:cs="Arial" w:eastAsia="Arial" w:hAnsi="Arial"/>
          <w:color w:val="1A1A1A"/>
          <w:sz w:val="22"/>
          <w:szCs w:val="22"/>
        </w:rPr>
        <w:t xml:space="preserve">Version 5.2  |  Effective Date: January 1, 2025</w:t>
      </w:r>
    </w:p>
    <w:p>
      <w:pPr>
        <w:spacing w:after="40" w:before="40"/>
        <w:jc w:val="center"/>
      </w:pPr>
      <w:r>
        <w:rPr>
          <w:rFonts w:ascii="Arial" w:cs="Arial" w:eastAsia="Arial" w:hAnsi="Arial"/>
          <w:color w:val="1A1A1A"/>
          <w:sz w:val="20"/>
          <w:szCs w:val="20"/>
        </w:rPr>
        <w:t xml:space="preserve">Document Owner: Chief People Officer &amp; General Counsel</w:t>
      </w:r>
    </w:p>
    <w:p>
      <w:pPr>
        <w:spacing w:after="40" w:before="40"/>
        <w:jc w:val="center"/>
      </w:pPr>
      <w:r>
        <w:rPr>
          <w:rFonts w:ascii="Arial" w:cs="Arial" w:eastAsia="Arial" w:hAnsi="Arial"/>
          <w:b/>
          <w:bCs/>
          <w:color w:val="C00000"/>
          <w:sz w:val="20"/>
          <w:szCs w:val="20"/>
        </w:rPr>
        <w:t xml:space="preserve">Classification: Internal Restricted</w:t>
      </w:r>
    </w:p>
    <w:p>
      <w:pPr>
        <w:spacing w:after="40" w:before="40"/>
        <w:jc w:val="center"/>
      </w:pPr>
      <w:r>
        <w:rPr>
          <w:rFonts w:ascii="Arial" w:cs="Arial" w:eastAsia="Arial" w:hAnsi="Arial"/>
          <w:color w:val="1A1A1A"/>
          <w:sz w:val="20"/>
          <w:szCs w:val="20"/>
        </w:rPr>
        <w:t xml:space="preserve">Next Review Date: December 31, 2025</w:t>
      </w:r>
    </w:p>
    <w:p>
      <w:pPr>
        <w:spacing w:after="40" w:before="600"/>
        <w:jc w:val="center"/>
      </w:pPr>
      <w:r>
        <w:rPr>
          <w:rFonts w:ascii="Arial" w:cs="Arial" w:eastAsia="Arial" w:hAnsi="Arial"/>
          <w:b/>
          <w:bCs/>
          <w:sz w:val="20"/>
          <w:szCs w:val="20"/>
        </w:rPr>
        <w:t xml:space="preserve">NexaCorp Global Headquarters</w:t>
      </w:r>
    </w:p>
    <w:p>
      <w:pPr>
        <w:spacing w:after="20" w:before="20"/>
        <w:jc w:val="center"/>
      </w:pPr>
      <w:r>
        <w:rPr>
          <w:rFonts w:ascii="Arial" w:cs="Arial" w:eastAsia="Arial" w:hAnsi="Arial"/>
          <w:sz w:val="19"/>
          <w:szCs w:val="19"/>
        </w:rPr>
        <w:t xml:space="preserve">One NexaTower, 500 Innovation Drive, San Francisco, CA 94105</w:t>
      </w:r>
    </w:p>
    <w:p>
      <w:pPr>
        <w:spacing w:after="20" w:before="20"/>
        <w:jc w:val="center"/>
      </w:pPr>
      <w:r>
        <w:rPr>
          <w:rFonts w:ascii="Arial" w:cs="Arial" w:eastAsia="Arial" w:hAnsi="Arial"/>
          <w:sz w:val="19"/>
          <w:szCs w:val="19"/>
        </w:rPr>
        <w:t xml:space="preserve">Tel: +1 (415) 700-9000  |  hr@nexacorp.com  |  www.nexacorp.com</w:t>
      </w:r>
    </w:p>
    <w:p>
      <w:pPr>
        <w:spacing w:after="0" w:before="0"/>
      </w:pPr>
      <w:r>
        <w:br w:type="page"/>
      </w:r>
    </w:p>
    <w:p>
      <w:pPr>
        <w:pStyle w:val="Heading1"/>
        <w:pBdr>
          <w:bottom w:val="single" w:color="2E75B6" w:sz="8" w:space="4"/>
        </w:pBdr>
        <w:spacing w:after="200" w:before="400"/>
      </w:pPr>
      <w:r>
        <w:rPr>
          <w:rFonts w:ascii="Arial" w:cs="Arial" w:eastAsia="Arial" w:hAnsi="Arial"/>
          <w:b/>
          <w:bCs/>
          <w:color w:val="1B3A6B"/>
          <w:sz w:val="36"/>
          <w:szCs w:val="36"/>
        </w:rPr>
        <w:t xml:space="preserve">Document Control &amp; Quick Reference</w:t>
      </w:r>
    </w:p>
    <w:p>
      <w:pPr>
        <w:spacing w:after="100" w:before="80" w:line="276" w:lineRule="auto"/>
        <w:jc w:val="both"/>
      </w:pPr>
      <w:r>
        <w:rPr>
          <w:rFonts w:ascii="Arial" w:cs="Arial" w:eastAsia="Arial" w:hAnsi="Arial"/>
          <w:b w:val="false"/>
          <w:bCs w:val="false"/>
          <w:i w:val="false"/>
          <w:iCs w:val="false"/>
          <w:color w:val="1A1A1A"/>
          <w:sz w:val="22"/>
          <w:szCs w:val="22"/>
        </w:rPr>
        <w:t xml:space="preserve">This handbook supersedes all previously issued policy documents, memos, and guidelines. In the event of a conflict between this document and any country-specific addendum, the addendum shall prevail to the extent required by local law.</w:t>
      </w:r>
    </w:p>
    <w:p>
      <w:pP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Attribute</w:t>
            </w:r>
          </w:p>
        </w:tc>
        <w:tc>
          <w:tcPr>
            <w:tcW w:type="dxa" w:w="63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Details</w:t>
            </w:r>
          </w:p>
        </w:tc>
      </w:tr>
      <w:tr>
        <w:tc>
          <w:tcPr>
            <w:tcW w:type="dxa" w:w="30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Document Title</w:t>
            </w:r>
          </w:p>
        </w:tc>
        <w:tc>
          <w:tcPr>
            <w:tcW w:type="dxa" w:w="63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NexaCorp Enterprise Policy &amp; Procedures Handbook</w:t>
            </w:r>
          </w:p>
        </w:tc>
      </w:tr>
      <w:tr>
        <w:tc>
          <w:tcPr>
            <w:tcW w:type="dxa" w:w="30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Version</w:t>
            </w:r>
          </w:p>
        </w:tc>
        <w:tc>
          <w:tcPr>
            <w:tcW w:type="dxa" w:w="63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5.2</w:t>
            </w:r>
          </w:p>
        </w:tc>
      </w:tr>
      <w:tr>
        <w:tc>
          <w:tcPr>
            <w:tcW w:type="dxa" w:w="30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Effective Date</w:t>
            </w:r>
          </w:p>
        </w:tc>
        <w:tc>
          <w:tcPr>
            <w:tcW w:type="dxa" w:w="63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January 1, 2025</w:t>
            </w:r>
          </w:p>
        </w:tc>
      </w:tr>
      <w:tr>
        <w:tc>
          <w:tcPr>
            <w:tcW w:type="dxa" w:w="30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Supersedes</w:t>
            </w:r>
          </w:p>
        </w:tc>
        <w:tc>
          <w:tcPr>
            <w:tcW w:type="dxa" w:w="63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Version 5.1 dated July 1, 2024</w:t>
            </w:r>
          </w:p>
        </w:tc>
      </w:tr>
      <w:tr>
        <w:tc>
          <w:tcPr>
            <w:tcW w:type="dxa" w:w="30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Owner</w:t>
            </w:r>
          </w:p>
        </w:tc>
        <w:tc>
          <w:tcPr>
            <w:tcW w:type="dxa" w:w="63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Chief People Officer (CPO) and General Counsel</w:t>
            </w:r>
          </w:p>
        </w:tc>
      </w:tr>
      <w:tr>
        <w:tc>
          <w:tcPr>
            <w:tcW w:type="dxa" w:w="30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Approved By</w:t>
            </w:r>
          </w:p>
        </w:tc>
        <w:tc>
          <w:tcPr>
            <w:tcW w:type="dxa" w:w="63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Executive Leadership Team (ELT)</w:t>
            </w:r>
          </w:p>
        </w:tc>
      </w:tr>
      <w:tr>
        <w:tc>
          <w:tcPr>
            <w:tcW w:type="dxa" w:w="30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Distribution</w:t>
            </w:r>
          </w:p>
        </w:tc>
        <w:tc>
          <w:tcPr>
            <w:tcW w:type="dxa" w:w="63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All Full-Time, Part-Time, Contract, and Temporary Employees</w:t>
            </w:r>
          </w:p>
        </w:tc>
      </w:tr>
      <w:tr>
        <w:tc>
          <w:tcPr>
            <w:tcW w:type="dxa" w:w="30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Review Cycle</w:t>
            </w:r>
          </w:p>
        </w:tc>
        <w:tc>
          <w:tcPr>
            <w:tcW w:type="dxa" w:w="63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Annual or upon material legislative changes</w:t>
            </w:r>
          </w:p>
        </w:tc>
      </w:tr>
      <w:tr>
        <w:tc>
          <w:tcPr>
            <w:tcW w:type="dxa" w:w="30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Governing Law</w:t>
            </w:r>
          </w:p>
        </w:tc>
        <w:tc>
          <w:tcPr>
            <w:tcW w:type="dxa" w:w="63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State of California, USA (unless otherwise noted)</w:t>
            </w:r>
          </w:p>
        </w:tc>
      </w:tr>
      <w:tr>
        <w:tc>
          <w:tcPr>
            <w:tcW w:type="dxa" w:w="30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Confidentiality</w:t>
            </w:r>
          </w:p>
        </w:tc>
        <w:tc>
          <w:tcPr>
            <w:tcW w:type="dxa" w:w="63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Internal Restricted — Not for External Distribution</w:t>
            </w:r>
          </w:p>
        </w:tc>
      </w:tr>
    </w:tbl>
    <w:p>
      <w:pPr>
        <w:spacing w:after="120" w:before="120"/>
      </w:pPr>
    </w:p>
    <w:p>
      <w:pPr>
        <w:pBdr>
          <w:left w:val="single" w:color="C00000" w:sz="12" w:space="8"/>
        </w:pBdr>
        <w:spacing w:after="120" w:before="120"/>
        <w:ind w:left="360" w:right="360"/>
      </w:pPr>
      <w:r>
        <w:rPr>
          <w:rFonts w:ascii="Arial" w:cs="Arial" w:eastAsia="Arial" w:hAnsi="Arial"/>
          <w:b/>
          <w:bCs/>
          <w:color w:val="C00000"/>
          <w:sz w:val="20"/>
          <w:szCs w:val="20"/>
        </w:rPr>
        <w:t xml:space="preserve">IMPORTANT: </w:t>
      </w:r>
      <w:r>
        <w:rPr>
          <w:rFonts w:ascii="Arial" w:cs="Arial" w:eastAsia="Arial" w:hAnsi="Arial"/>
          <w:i/>
          <w:iCs/>
          <w:color w:val="1A1A1A"/>
          <w:sz w:val="20"/>
          <w:szCs w:val="20"/>
        </w:rPr>
        <w:t xml:space="preserve">Employees are required to acknowledge receipt and understanding of this handbook annually via the HR Information System (HRIS) portal. Failure to complete the annual acknowledgement may result in access restrictions to certain company systems.</w:t>
      </w:r>
    </w:p>
    <w:p>
      <w:pPr>
        <w:spacing w:after="0" w:before="0"/>
      </w:pPr>
      <w:r>
        <w:br w:type="page"/>
      </w:r>
    </w:p>
    <w:p>
      <w:pPr>
        <w:pStyle w:val="Heading1"/>
        <w:pBdr>
          <w:bottom w:val="single" w:color="2E75B6" w:sz="8" w:space="4"/>
        </w:pBdr>
        <w:spacing w:after="200" w:before="400"/>
      </w:pPr>
      <w:r>
        <w:rPr>
          <w:rFonts w:ascii="Arial" w:cs="Arial" w:eastAsia="Arial" w:hAnsi="Arial"/>
          <w:b/>
          <w:bCs/>
          <w:color w:val="1B3A6B"/>
          <w:sz w:val="36"/>
          <w:szCs w:val="36"/>
        </w:rPr>
        <w:t xml:space="preserve">Table of Contents</w:t>
      </w:r>
    </w:p>
    <w:p>
      <w:pPr>
        <w:tabs>
          <w:tab w:val="right" w:pos="8640"/>
        </w:tabs>
        <w:spacing w:after="60" w:before="120"/>
      </w:pPr>
      <w:r>
        <w:rPr>
          <w:rFonts w:ascii="Arial" w:cs="Arial" w:eastAsia="Arial" w:hAnsi="Arial"/>
          <w:b/>
          <w:bCs/>
          <w:color w:val="1B3A6B"/>
          <w:sz w:val="22"/>
          <w:szCs w:val="22"/>
        </w:rPr>
        <w:t xml:space="preserve">Part I    Company Overview &amp; Mission</w:t>
      </w:r>
      <w:r>
        <w:rPr>
          <w:rFonts w:ascii="Arial" w:cs="Arial" w:eastAsia="Arial" w:hAnsi="Arial"/>
          <w:b/>
          <w:bCs/>
          <w:sz w:val="22"/>
          <w:szCs w:val="22"/>
        </w:rPr>
        <w:t xml:space="preserve">	5</w:t>
      </w:r>
    </w:p>
    <w:p>
      <w:pPr>
        <w:tabs>
          <w:tab w:val="right" w:pos="8640"/>
        </w:tabs>
        <w:spacing w:after="40" w:before="40"/>
      </w:pPr>
      <w:r>
        <w:rPr>
          <w:rFonts w:ascii="Arial" w:cs="Arial" w:eastAsia="Arial" w:hAnsi="Arial"/>
          <w:b w:val="false"/>
          <w:bCs w:val="false"/>
          <w:color w:val="1A1A1A"/>
          <w:sz w:val="20"/>
          <w:szCs w:val="20"/>
        </w:rPr>
        <w:t xml:space="preserve">1.1    Corporate History &amp; Identity</w:t>
      </w:r>
      <w:r>
        <w:rPr>
          <w:rFonts w:ascii="Arial" w:cs="Arial" w:eastAsia="Arial" w:hAnsi="Arial"/>
          <w:b w:val="false"/>
          <w:bCs w:val="false"/>
          <w:sz w:val="20"/>
          <w:szCs w:val="20"/>
        </w:rPr>
        <w:t xml:space="preserve">	5</w:t>
      </w:r>
    </w:p>
    <w:p>
      <w:pPr>
        <w:tabs>
          <w:tab w:val="right" w:pos="8640"/>
        </w:tabs>
        <w:spacing w:after="40" w:before="40"/>
      </w:pPr>
      <w:r>
        <w:rPr>
          <w:rFonts w:ascii="Arial" w:cs="Arial" w:eastAsia="Arial" w:hAnsi="Arial"/>
          <w:b w:val="false"/>
          <w:bCs w:val="false"/>
          <w:color w:val="1A1A1A"/>
          <w:sz w:val="20"/>
          <w:szCs w:val="20"/>
        </w:rPr>
        <w:t xml:space="preserve">1.2    Vision, Mission &amp; Core Values</w:t>
      </w:r>
      <w:r>
        <w:rPr>
          <w:rFonts w:ascii="Arial" w:cs="Arial" w:eastAsia="Arial" w:hAnsi="Arial"/>
          <w:b w:val="false"/>
          <w:bCs w:val="false"/>
          <w:sz w:val="20"/>
          <w:szCs w:val="20"/>
        </w:rPr>
        <w:t xml:space="preserve">	6</w:t>
      </w:r>
    </w:p>
    <w:p>
      <w:pPr>
        <w:tabs>
          <w:tab w:val="right" w:pos="8640"/>
        </w:tabs>
        <w:spacing w:after="40" w:before="40"/>
      </w:pPr>
      <w:r>
        <w:rPr>
          <w:rFonts w:ascii="Arial" w:cs="Arial" w:eastAsia="Arial" w:hAnsi="Arial"/>
          <w:b w:val="false"/>
          <w:bCs w:val="false"/>
          <w:color w:val="1A1A1A"/>
          <w:sz w:val="20"/>
          <w:szCs w:val="20"/>
        </w:rPr>
        <w:t xml:space="preserve">1.3    Organisational Structure</w:t>
      </w:r>
      <w:r>
        <w:rPr>
          <w:rFonts w:ascii="Arial" w:cs="Arial" w:eastAsia="Arial" w:hAnsi="Arial"/>
          <w:b w:val="false"/>
          <w:bCs w:val="false"/>
          <w:sz w:val="20"/>
          <w:szCs w:val="20"/>
        </w:rPr>
        <w:t xml:space="preserve">	7</w:t>
      </w:r>
    </w:p>
    <w:p>
      <w:pPr>
        <w:tabs>
          <w:tab w:val="right" w:pos="8640"/>
        </w:tabs>
        <w:spacing w:after="40" w:before="40"/>
      </w:pPr>
      <w:r>
        <w:rPr>
          <w:rFonts w:ascii="Arial" w:cs="Arial" w:eastAsia="Arial" w:hAnsi="Arial"/>
          <w:b w:val="false"/>
          <w:bCs w:val="false"/>
          <w:color w:val="1A1A1A"/>
          <w:sz w:val="20"/>
          <w:szCs w:val="20"/>
        </w:rPr>
        <w:t xml:space="preserve">1.4    Business Lines &amp; Global Presence</w:t>
      </w:r>
      <w:r>
        <w:rPr>
          <w:rFonts w:ascii="Arial" w:cs="Arial" w:eastAsia="Arial" w:hAnsi="Arial"/>
          <w:b w:val="false"/>
          <w:bCs w:val="false"/>
          <w:sz w:val="20"/>
          <w:szCs w:val="20"/>
        </w:rPr>
        <w:t xml:space="preserve">	8</w:t>
      </w:r>
    </w:p>
    <w:p>
      <w:pPr>
        <w:tabs>
          <w:tab w:val="right" w:pos="8640"/>
        </w:tabs>
        <w:spacing w:after="60" w:before="120"/>
      </w:pPr>
      <w:r>
        <w:rPr>
          <w:rFonts w:ascii="Arial" w:cs="Arial" w:eastAsia="Arial" w:hAnsi="Arial"/>
          <w:b/>
          <w:bCs/>
          <w:color w:val="1B3A6B"/>
          <w:sz w:val="22"/>
          <w:szCs w:val="22"/>
        </w:rPr>
        <w:t xml:space="preserve">Part II    Code of Business Conduct &amp; Ethics</w:t>
      </w:r>
      <w:r>
        <w:rPr>
          <w:rFonts w:ascii="Arial" w:cs="Arial" w:eastAsia="Arial" w:hAnsi="Arial"/>
          <w:b/>
          <w:bCs/>
          <w:sz w:val="22"/>
          <w:szCs w:val="22"/>
        </w:rPr>
        <w:t xml:space="preserve">	10</w:t>
      </w:r>
    </w:p>
    <w:p>
      <w:pPr>
        <w:tabs>
          <w:tab w:val="right" w:pos="8640"/>
        </w:tabs>
        <w:spacing w:after="40" w:before="40"/>
      </w:pPr>
      <w:r>
        <w:rPr>
          <w:rFonts w:ascii="Arial" w:cs="Arial" w:eastAsia="Arial" w:hAnsi="Arial"/>
          <w:b w:val="false"/>
          <w:bCs w:val="false"/>
          <w:color w:val="1A1A1A"/>
          <w:sz w:val="20"/>
          <w:szCs w:val="20"/>
        </w:rPr>
        <w:t xml:space="preserve">2.1    Ethical Standards &amp; Expectations</w:t>
      </w:r>
      <w:r>
        <w:rPr>
          <w:rFonts w:ascii="Arial" w:cs="Arial" w:eastAsia="Arial" w:hAnsi="Arial"/>
          <w:b w:val="false"/>
          <w:bCs w:val="false"/>
          <w:sz w:val="20"/>
          <w:szCs w:val="20"/>
        </w:rPr>
        <w:t xml:space="preserve">	10</w:t>
      </w:r>
    </w:p>
    <w:p>
      <w:pPr>
        <w:tabs>
          <w:tab w:val="right" w:pos="8640"/>
        </w:tabs>
        <w:spacing w:after="40" w:before="40"/>
      </w:pPr>
      <w:r>
        <w:rPr>
          <w:rFonts w:ascii="Arial" w:cs="Arial" w:eastAsia="Arial" w:hAnsi="Arial"/>
          <w:b w:val="false"/>
          <w:bCs w:val="false"/>
          <w:color w:val="1A1A1A"/>
          <w:sz w:val="20"/>
          <w:szCs w:val="20"/>
        </w:rPr>
        <w:t xml:space="preserve">2.2    Conflicts of Interest</w:t>
      </w:r>
      <w:r>
        <w:rPr>
          <w:rFonts w:ascii="Arial" w:cs="Arial" w:eastAsia="Arial" w:hAnsi="Arial"/>
          <w:b w:val="false"/>
          <w:bCs w:val="false"/>
          <w:sz w:val="20"/>
          <w:szCs w:val="20"/>
        </w:rPr>
        <w:t xml:space="preserve">	11</w:t>
      </w:r>
    </w:p>
    <w:p>
      <w:pPr>
        <w:tabs>
          <w:tab w:val="right" w:pos="8640"/>
        </w:tabs>
        <w:spacing w:after="40" w:before="40"/>
      </w:pPr>
      <w:r>
        <w:rPr>
          <w:rFonts w:ascii="Arial" w:cs="Arial" w:eastAsia="Arial" w:hAnsi="Arial"/>
          <w:b w:val="false"/>
          <w:bCs w:val="false"/>
          <w:color w:val="1A1A1A"/>
          <w:sz w:val="20"/>
          <w:szCs w:val="20"/>
        </w:rPr>
        <w:t xml:space="preserve">2.3    Gifts, Entertainment &amp; Anti-Bribery</w:t>
      </w:r>
      <w:r>
        <w:rPr>
          <w:rFonts w:ascii="Arial" w:cs="Arial" w:eastAsia="Arial" w:hAnsi="Arial"/>
          <w:b w:val="false"/>
          <w:bCs w:val="false"/>
          <w:sz w:val="20"/>
          <w:szCs w:val="20"/>
        </w:rPr>
        <w:t xml:space="preserve">	13</w:t>
      </w:r>
    </w:p>
    <w:p>
      <w:pPr>
        <w:tabs>
          <w:tab w:val="right" w:pos="8640"/>
        </w:tabs>
        <w:spacing w:after="40" w:before="40"/>
      </w:pPr>
      <w:r>
        <w:rPr>
          <w:rFonts w:ascii="Arial" w:cs="Arial" w:eastAsia="Arial" w:hAnsi="Arial"/>
          <w:b w:val="false"/>
          <w:bCs w:val="false"/>
          <w:color w:val="1A1A1A"/>
          <w:sz w:val="20"/>
          <w:szCs w:val="20"/>
        </w:rPr>
        <w:t xml:space="preserve">2.4    Insider Trading &amp; Securities Policy</w:t>
      </w:r>
      <w:r>
        <w:rPr>
          <w:rFonts w:ascii="Arial" w:cs="Arial" w:eastAsia="Arial" w:hAnsi="Arial"/>
          <w:b w:val="false"/>
          <w:bCs w:val="false"/>
          <w:sz w:val="20"/>
          <w:szCs w:val="20"/>
        </w:rPr>
        <w:t xml:space="preserve">	14</w:t>
      </w:r>
    </w:p>
    <w:p>
      <w:pPr>
        <w:tabs>
          <w:tab w:val="right" w:pos="8640"/>
        </w:tabs>
        <w:spacing w:after="40" w:before="40"/>
      </w:pPr>
      <w:r>
        <w:rPr>
          <w:rFonts w:ascii="Arial" w:cs="Arial" w:eastAsia="Arial" w:hAnsi="Arial"/>
          <w:b w:val="false"/>
          <w:bCs w:val="false"/>
          <w:color w:val="1A1A1A"/>
          <w:sz w:val="20"/>
          <w:szCs w:val="20"/>
        </w:rPr>
        <w:t xml:space="preserve">2.5    Whistleblower &amp; Non-Retaliation Policy</w:t>
      </w:r>
      <w:r>
        <w:rPr>
          <w:rFonts w:ascii="Arial" w:cs="Arial" w:eastAsia="Arial" w:hAnsi="Arial"/>
          <w:b w:val="false"/>
          <w:bCs w:val="false"/>
          <w:sz w:val="20"/>
          <w:szCs w:val="20"/>
        </w:rPr>
        <w:t xml:space="preserve">	15</w:t>
      </w:r>
    </w:p>
    <w:p>
      <w:pPr>
        <w:tabs>
          <w:tab w:val="right" w:pos="8640"/>
        </w:tabs>
        <w:spacing w:after="60" w:before="120"/>
      </w:pPr>
      <w:r>
        <w:rPr>
          <w:rFonts w:ascii="Arial" w:cs="Arial" w:eastAsia="Arial" w:hAnsi="Arial"/>
          <w:b/>
          <w:bCs/>
          <w:color w:val="1B3A6B"/>
          <w:sz w:val="22"/>
          <w:szCs w:val="22"/>
        </w:rPr>
        <w:t xml:space="preserve">Part III    Human Resources Policies</w:t>
      </w:r>
      <w:r>
        <w:rPr>
          <w:rFonts w:ascii="Arial" w:cs="Arial" w:eastAsia="Arial" w:hAnsi="Arial"/>
          <w:b/>
          <w:bCs/>
          <w:sz w:val="22"/>
          <w:szCs w:val="22"/>
        </w:rPr>
        <w:t xml:space="preserve">	17</w:t>
      </w:r>
    </w:p>
    <w:p>
      <w:pPr>
        <w:tabs>
          <w:tab w:val="right" w:pos="8640"/>
        </w:tabs>
        <w:spacing w:after="40" w:before="40"/>
      </w:pPr>
      <w:r>
        <w:rPr>
          <w:rFonts w:ascii="Arial" w:cs="Arial" w:eastAsia="Arial" w:hAnsi="Arial"/>
          <w:b w:val="false"/>
          <w:bCs w:val="false"/>
          <w:color w:val="1A1A1A"/>
          <w:sz w:val="20"/>
          <w:szCs w:val="20"/>
        </w:rPr>
        <w:t xml:space="preserve">3.1    Recruitment, Selection &amp; Onboarding</w:t>
      </w:r>
      <w:r>
        <w:rPr>
          <w:rFonts w:ascii="Arial" w:cs="Arial" w:eastAsia="Arial" w:hAnsi="Arial"/>
          <w:b w:val="false"/>
          <w:bCs w:val="false"/>
          <w:sz w:val="20"/>
          <w:szCs w:val="20"/>
        </w:rPr>
        <w:t xml:space="preserve">	17</w:t>
      </w:r>
    </w:p>
    <w:p>
      <w:pPr>
        <w:tabs>
          <w:tab w:val="right" w:pos="8640"/>
        </w:tabs>
        <w:spacing w:after="40" w:before="40"/>
      </w:pPr>
      <w:r>
        <w:rPr>
          <w:rFonts w:ascii="Arial" w:cs="Arial" w:eastAsia="Arial" w:hAnsi="Arial"/>
          <w:b w:val="false"/>
          <w:bCs w:val="false"/>
          <w:color w:val="1A1A1A"/>
          <w:sz w:val="20"/>
          <w:szCs w:val="20"/>
        </w:rPr>
        <w:t xml:space="preserve">3.2    Employment Classifications</w:t>
      </w:r>
      <w:r>
        <w:rPr>
          <w:rFonts w:ascii="Arial" w:cs="Arial" w:eastAsia="Arial" w:hAnsi="Arial"/>
          <w:b w:val="false"/>
          <w:bCs w:val="false"/>
          <w:sz w:val="20"/>
          <w:szCs w:val="20"/>
        </w:rPr>
        <w:t xml:space="preserve">	19</w:t>
      </w:r>
    </w:p>
    <w:p>
      <w:pPr>
        <w:tabs>
          <w:tab w:val="right" w:pos="8640"/>
        </w:tabs>
        <w:spacing w:after="40" w:before="40"/>
      </w:pPr>
      <w:r>
        <w:rPr>
          <w:rFonts w:ascii="Arial" w:cs="Arial" w:eastAsia="Arial" w:hAnsi="Arial"/>
          <w:b w:val="false"/>
          <w:bCs w:val="false"/>
          <w:color w:val="1A1A1A"/>
          <w:sz w:val="20"/>
          <w:szCs w:val="20"/>
        </w:rPr>
        <w:t xml:space="preserve">3.3    Compensation, Payroll &amp; Overtime</w:t>
      </w:r>
      <w:r>
        <w:rPr>
          <w:rFonts w:ascii="Arial" w:cs="Arial" w:eastAsia="Arial" w:hAnsi="Arial"/>
          <w:b w:val="false"/>
          <w:bCs w:val="false"/>
          <w:sz w:val="20"/>
          <w:szCs w:val="20"/>
        </w:rPr>
        <w:t xml:space="preserve">	20</w:t>
      </w:r>
    </w:p>
    <w:p>
      <w:pPr>
        <w:tabs>
          <w:tab w:val="right" w:pos="8640"/>
        </w:tabs>
        <w:spacing w:after="40" w:before="40"/>
      </w:pPr>
      <w:r>
        <w:rPr>
          <w:rFonts w:ascii="Arial" w:cs="Arial" w:eastAsia="Arial" w:hAnsi="Arial"/>
          <w:b w:val="false"/>
          <w:bCs w:val="false"/>
          <w:color w:val="1A1A1A"/>
          <w:sz w:val="20"/>
          <w:szCs w:val="20"/>
        </w:rPr>
        <w:t xml:space="preserve">3.4    Benefits &amp; Employee Wellness</w:t>
      </w:r>
      <w:r>
        <w:rPr>
          <w:rFonts w:ascii="Arial" w:cs="Arial" w:eastAsia="Arial" w:hAnsi="Arial"/>
          <w:b w:val="false"/>
          <w:bCs w:val="false"/>
          <w:sz w:val="20"/>
          <w:szCs w:val="20"/>
        </w:rPr>
        <w:t xml:space="preserve">	22</w:t>
      </w:r>
    </w:p>
    <w:p>
      <w:pPr>
        <w:tabs>
          <w:tab w:val="right" w:pos="8640"/>
        </w:tabs>
        <w:spacing w:after="40" w:before="40"/>
      </w:pPr>
      <w:r>
        <w:rPr>
          <w:rFonts w:ascii="Arial" w:cs="Arial" w:eastAsia="Arial" w:hAnsi="Arial"/>
          <w:b w:val="false"/>
          <w:bCs w:val="false"/>
          <w:color w:val="1A1A1A"/>
          <w:sz w:val="20"/>
          <w:szCs w:val="20"/>
        </w:rPr>
        <w:t xml:space="preserve">3.5    Performance Management</w:t>
      </w:r>
      <w:r>
        <w:rPr>
          <w:rFonts w:ascii="Arial" w:cs="Arial" w:eastAsia="Arial" w:hAnsi="Arial"/>
          <w:b w:val="false"/>
          <w:bCs w:val="false"/>
          <w:sz w:val="20"/>
          <w:szCs w:val="20"/>
        </w:rPr>
        <w:t xml:space="preserve">	25</w:t>
      </w:r>
    </w:p>
    <w:p>
      <w:pPr>
        <w:tabs>
          <w:tab w:val="right" w:pos="8640"/>
        </w:tabs>
        <w:spacing w:after="40" w:before="40"/>
      </w:pPr>
      <w:r>
        <w:rPr>
          <w:rFonts w:ascii="Arial" w:cs="Arial" w:eastAsia="Arial" w:hAnsi="Arial"/>
          <w:b w:val="false"/>
          <w:bCs w:val="false"/>
          <w:color w:val="1A1A1A"/>
          <w:sz w:val="20"/>
          <w:szCs w:val="20"/>
        </w:rPr>
        <w:t xml:space="preserve">3.6    Learning &amp; Development</w:t>
      </w:r>
      <w:r>
        <w:rPr>
          <w:rFonts w:ascii="Arial" w:cs="Arial" w:eastAsia="Arial" w:hAnsi="Arial"/>
          <w:b w:val="false"/>
          <w:bCs w:val="false"/>
          <w:sz w:val="20"/>
          <w:szCs w:val="20"/>
        </w:rPr>
        <w:t xml:space="preserve">	27</w:t>
      </w:r>
    </w:p>
    <w:p>
      <w:pPr>
        <w:tabs>
          <w:tab w:val="right" w:pos="8640"/>
        </w:tabs>
        <w:spacing w:after="40" w:before="40"/>
      </w:pPr>
      <w:r>
        <w:rPr>
          <w:rFonts w:ascii="Arial" w:cs="Arial" w:eastAsia="Arial" w:hAnsi="Arial"/>
          <w:b w:val="false"/>
          <w:bCs w:val="false"/>
          <w:color w:val="1A1A1A"/>
          <w:sz w:val="20"/>
          <w:szCs w:val="20"/>
        </w:rPr>
        <w:t xml:space="preserve">3.7    Leave Management Policy</w:t>
      </w:r>
      <w:r>
        <w:rPr>
          <w:rFonts w:ascii="Arial" w:cs="Arial" w:eastAsia="Arial" w:hAnsi="Arial"/>
          <w:b w:val="false"/>
          <w:bCs w:val="false"/>
          <w:sz w:val="20"/>
          <w:szCs w:val="20"/>
        </w:rPr>
        <w:t xml:space="preserve">	29</w:t>
      </w:r>
    </w:p>
    <w:p>
      <w:pPr>
        <w:tabs>
          <w:tab w:val="right" w:pos="8640"/>
        </w:tabs>
        <w:spacing w:after="40" w:before="40"/>
      </w:pPr>
      <w:r>
        <w:rPr>
          <w:rFonts w:ascii="Arial" w:cs="Arial" w:eastAsia="Arial" w:hAnsi="Arial"/>
          <w:b w:val="false"/>
          <w:bCs w:val="false"/>
          <w:color w:val="1A1A1A"/>
          <w:sz w:val="20"/>
          <w:szCs w:val="20"/>
        </w:rPr>
        <w:t xml:space="preserve">3.8    Remote &amp; Hybrid Work Policy</w:t>
      </w:r>
      <w:r>
        <w:rPr>
          <w:rFonts w:ascii="Arial" w:cs="Arial" w:eastAsia="Arial" w:hAnsi="Arial"/>
          <w:b w:val="false"/>
          <w:bCs w:val="false"/>
          <w:sz w:val="20"/>
          <w:szCs w:val="20"/>
        </w:rPr>
        <w:t xml:space="preserve">	33</w:t>
      </w:r>
    </w:p>
    <w:p>
      <w:pPr>
        <w:tabs>
          <w:tab w:val="right" w:pos="8640"/>
        </w:tabs>
        <w:spacing w:after="40" w:before="40"/>
      </w:pPr>
      <w:r>
        <w:rPr>
          <w:rFonts w:ascii="Arial" w:cs="Arial" w:eastAsia="Arial" w:hAnsi="Arial"/>
          <w:b w:val="false"/>
          <w:bCs w:val="false"/>
          <w:color w:val="1A1A1A"/>
          <w:sz w:val="20"/>
          <w:szCs w:val="20"/>
        </w:rPr>
        <w:t xml:space="preserve">3.9    Attendance, Timekeeping &amp; Conduct</w:t>
      </w:r>
      <w:r>
        <w:rPr>
          <w:rFonts w:ascii="Arial" w:cs="Arial" w:eastAsia="Arial" w:hAnsi="Arial"/>
          <w:b w:val="false"/>
          <w:bCs w:val="false"/>
          <w:sz w:val="20"/>
          <w:szCs w:val="20"/>
        </w:rPr>
        <w:t xml:space="preserve">	35</w:t>
      </w:r>
    </w:p>
    <w:p>
      <w:pPr>
        <w:tabs>
          <w:tab w:val="right" w:pos="8640"/>
        </w:tabs>
        <w:spacing w:after="60" w:before="120"/>
      </w:pPr>
      <w:r>
        <w:rPr>
          <w:rFonts w:ascii="Arial" w:cs="Arial" w:eastAsia="Arial" w:hAnsi="Arial"/>
          <w:b/>
          <w:bCs/>
          <w:color w:val="1B3A6B"/>
          <w:sz w:val="22"/>
          <w:szCs w:val="22"/>
        </w:rPr>
        <w:t xml:space="preserve">Part IV    Anti-Harassment, Discrimination &amp; Equal Opportunity</w:t>
      </w:r>
      <w:r>
        <w:rPr>
          <w:rFonts w:ascii="Arial" w:cs="Arial" w:eastAsia="Arial" w:hAnsi="Arial"/>
          <w:b/>
          <w:bCs/>
          <w:sz w:val="22"/>
          <w:szCs w:val="22"/>
        </w:rPr>
        <w:t xml:space="preserve">	37</w:t>
      </w:r>
    </w:p>
    <w:p>
      <w:pPr>
        <w:tabs>
          <w:tab w:val="right" w:pos="8640"/>
        </w:tabs>
        <w:spacing w:after="40" w:before="40"/>
      </w:pPr>
      <w:r>
        <w:rPr>
          <w:rFonts w:ascii="Arial" w:cs="Arial" w:eastAsia="Arial" w:hAnsi="Arial"/>
          <w:b w:val="false"/>
          <w:bCs w:val="false"/>
          <w:color w:val="1A1A1A"/>
          <w:sz w:val="20"/>
          <w:szCs w:val="20"/>
        </w:rPr>
        <w:t xml:space="preserve">4.1    Equal Employment Opportunity (EEO) Statement</w:t>
      </w:r>
      <w:r>
        <w:rPr>
          <w:rFonts w:ascii="Arial" w:cs="Arial" w:eastAsia="Arial" w:hAnsi="Arial"/>
          <w:b w:val="false"/>
          <w:bCs w:val="false"/>
          <w:sz w:val="20"/>
          <w:szCs w:val="20"/>
        </w:rPr>
        <w:t xml:space="preserve">	37</w:t>
      </w:r>
    </w:p>
    <w:p>
      <w:pPr>
        <w:tabs>
          <w:tab w:val="right" w:pos="8640"/>
        </w:tabs>
        <w:spacing w:after="40" w:before="40"/>
      </w:pPr>
      <w:r>
        <w:rPr>
          <w:rFonts w:ascii="Arial" w:cs="Arial" w:eastAsia="Arial" w:hAnsi="Arial"/>
          <w:b w:val="false"/>
          <w:bCs w:val="false"/>
          <w:color w:val="1A1A1A"/>
          <w:sz w:val="20"/>
          <w:szCs w:val="20"/>
        </w:rPr>
        <w:t xml:space="preserve">4.2    Harassment &amp; Discrimination Defined</w:t>
      </w:r>
      <w:r>
        <w:rPr>
          <w:rFonts w:ascii="Arial" w:cs="Arial" w:eastAsia="Arial" w:hAnsi="Arial"/>
          <w:b w:val="false"/>
          <w:bCs w:val="false"/>
          <w:sz w:val="20"/>
          <w:szCs w:val="20"/>
        </w:rPr>
        <w:t xml:space="preserve">	38</w:t>
      </w:r>
    </w:p>
    <w:p>
      <w:pPr>
        <w:tabs>
          <w:tab w:val="right" w:pos="8640"/>
        </w:tabs>
        <w:spacing w:after="40" w:before="40"/>
      </w:pPr>
      <w:r>
        <w:rPr>
          <w:rFonts w:ascii="Arial" w:cs="Arial" w:eastAsia="Arial" w:hAnsi="Arial"/>
          <w:b w:val="false"/>
          <w:bCs w:val="false"/>
          <w:color w:val="1A1A1A"/>
          <w:sz w:val="20"/>
          <w:szCs w:val="20"/>
        </w:rPr>
        <w:t xml:space="preserve">4.3    Reporting &amp; Investigation Procedures</w:t>
      </w:r>
      <w:r>
        <w:rPr>
          <w:rFonts w:ascii="Arial" w:cs="Arial" w:eastAsia="Arial" w:hAnsi="Arial"/>
          <w:b w:val="false"/>
          <w:bCs w:val="false"/>
          <w:sz w:val="20"/>
          <w:szCs w:val="20"/>
        </w:rPr>
        <w:t xml:space="preserve">	40</w:t>
      </w:r>
    </w:p>
    <w:p>
      <w:pPr>
        <w:tabs>
          <w:tab w:val="right" w:pos="8640"/>
        </w:tabs>
        <w:spacing w:after="40" w:before="40"/>
      </w:pPr>
      <w:r>
        <w:rPr>
          <w:rFonts w:ascii="Arial" w:cs="Arial" w:eastAsia="Arial" w:hAnsi="Arial"/>
          <w:b w:val="false"/>
          <w:bCs w:val="false"/>
          <w:color w:val="1A1A1A"/>
          <w:sz w:val="20"/>
          <w:szCs w:val="20"/>
        </w:rPr>
        <w:t xml:space="preserve">4.4    Corrective Actions &amp; Consequences</w:t>
      </w:r>
      <w:r>
        <w:rPr>
          <w:rFonts w:ascii="Arial" w:cs="Arial" w:eastAsia="Arial" w:hAnsi="Arial"/>
          <w:b w:val="false"/>
          <w:bCs w:val="false"/>
          <w:sz w:val="20"/>
          <w:szCs w:val="20"/>
        </w:rPr>
        <w:t xml:space="preserve">	41</w:t>
      </w:r>
    </w:p>
    <w:p>
      <w:pPr>
        <w:tabs>
          <w:tab w:val="right" w:pos="8640"/>
        </w:tabs>
        <w:spacing w:after="60" w:before="120"/>
      </w:pPr>
      <w:r>
        <w:rPr>
          <w:rFonts w:ascii="Arial" w:cs="Arial" w:eastAsia="Arial" w:hAnsi="Arial"/>
          <w:b/>
          <w:bCs/>
          <w:color w:val="1B3A6B"/>
          <w:sz w:val="22"/>
          <w:szCs w:val="22"/>
        </w:rPr>
        <w:t xml:space="preserve">Part V    IT, Data &amp; Security Policies</w:t>
      </w:r>
      <w:r>
        <w:rPr>
          <w:rFonts w:ascii="Arial" w:cs="Arial" w:eastAsia="Arial" w:hAnsi="Arial"/>
          <w:b/>
          <w:bCs/>
          <w:sz w:val="22"/>
          <w:szCs w:val="22"/>
        </w:rPr>
        <w:t xml:space="preserve">	43</w:t>
      </w:r>
    </w:p>
    <w:p>
      <w:pPr>
        <w:tabs>
          <w:tab w:val="right" w:pos="8640"/>
        </w:tabs>
        <w:spacing w:after="40" w:before="40"/>
      </w:pPr>
      <w:r>
        <w:rPr>
          <w:rFonts w:ascii="Arial" w:cs="Arial" w:eastAsia="Arial" w:hAnsi="Arial"/>
          <w:b w:val="false"/>
          <w:bCs w:val="false"/>
          <w:color w:val="1A1A1A"/>
          <w:sz w:val="20"/>
          <w:szCs w:val="20"/>
        </w:rPr>
        <w:t xml:space="preserve">5.1    Acceptable Use of Technology</w:t>
      </w:r>
      <w:r>
        <w:rPr>
          <w:rFonts w:ascii="Arial" w:cs="Arial" w:eastAsia="Arial" w:hAnsi="Arial"/>
          <w:b w:val="false"/>
          <w:bCs w:val="false"/>
          <w:sz w:val="20"/>
          <w:szCs w:val="20"/>
        </w:rPr>
        <w:t xml:space="preserve">	43</w:t>
      </w:r>
    </w:p>
    <w:p>
      <w:pPr>
        <w:tabs>
          <w:tab w:val="right" w:pos="8640"/>
        </w:tabs>
        <w:spacing w:after="40" w:before="40"/>
      </w:pPr>
      <w:r>
        <w:rPr>
          <w:rFonts w:ascii="Arial" w:cs="Arial" w:eastAsia="Arial" w:hAnsi="Arial"/>
          <w:b w:val="false"/>
          <w:bCs w:val="false"/>
          <w:color w:val="1A1A1A"/>
          <w:sz w:val="20"/>
          <w:szCs w:val="20"/>
        </w:rPr>
        <w:t xml:space="preserve">5.2    Information Classification &amp; Handling</w:t>
      </w:r>
      <w:r>
        <w:rPr>
          <w:rFonts w:ascii="Arial" w:cs="Arial" w:eastAsia="Arial" w:hAnsi="Arial"/>
          <w:b w:val="false"/>
          <w:bCs w:val="false"/>
          <w:sz w:val="20"/>
          <w:szCs w:val="20"/>
        </w:rPr>
        <w:t xml:space="preserve">	45</w:t>
      </w:r>
    </w:p>
    <w:p>
      <w:pPr>
        <w:tabs>
          <w:tab w:val="right" w:pos="8640"/>
        </w:tabs>
        <w:spacing w:after="40" w:before="40"/>
      </w:pPr>
      <w:r>
        <w:rPr>
          <w:rFonts w:ascii="Arial" w:cs="Arial" w:eastAsia="Arial" w:hAnsi="Arial"/>
          <w:b w:val="false"/>
          <w:bCs w:val="false"/>
          <w:color w:val="1A1A1A"/>
          <w:sz w:val="20"/>
          <w:szCs w:val="20"/>
        </w:rPr>
        <w:t xml:space="preserve">5.3    Cybersecurity Incident Response</w:t>
      </w:r>
      <w:r>
        <w:rPr>
          <w:rFonts w:ascii="Arial" w:cs="Arial" w:eastAsia="Arial" w:hAnsi="Arial"/>
          <w:b w:val="false"/>
          <w:bCs w:val="false"/>
          <w:sz w:val="20"/>
          <w:szCs w:val="20"/>
        </w:rPr>
        <w:t xml:space="preserve">	47</w:t>
      </w:r>
    </w:p>
    <w:p>
      <w:pPr>
        <w:tabs>
          <w:tab w:val="right" w:pos="8640"/>
        </w:tabs>
        <w:spacing w:after="40" w:before="40"/>
      </w:pPr>
      <w:r>
        <w:rPr>
          <w:rFonts w:ascii="Arial" w:cs="Arial" w:eastAsia="Arial" w:hAnsi="Arial"/>
          <w:b w:val="false"/>
          <w:bCs w:val="false"/>
          <w:color w:val="1A1A1A"/>
          <w:sz w:val="20"/>
          <w:szCs w:val="20"/>
        </w:rPr>
        <w:t xml:space="preserve">5.4    Data Privacy (GDPR, CCPA &amp; Global)</w:t>
      </w:r>
      <w:r>
        <w:rPr>
          <w:rFonts w:ascii="Arial" w:cs="Arial" w:eastAsia="Arial" w:hAnsi="Arial"/>
          <w:b w:val="false"/>
          <w:bCs w:val="false"/>
          <w:sz w:val="20"/>
          <w:szCs w:val="20"/>
        </w:rPr>
        <w:t xml:space="preserve">	49</w:t>
      </w:r>
    </w:p>
    <w:p>
      <w:pPr>
        <w:tabs>
          <w:tab w:val="right" w:pos="8640"/>
        </w:tabs>
        <w:spacing w:after="60" w:before="120"/>
      </w:pPr>
      <w:r>
        <w:rPr>
          <w:rFonts w:ascii="Arial" w:cs="Arial" w:eastAsia="Arial" w:hAnsi="Arial"/>
          <w:b/>
          <w:bCs/>
          <w:color w:val="1B3A6B"/>
          <w:sz w:val="22"/>
          <w:szCs w:val="22"/>
        </w:rPr>
        <w:t xml:space="preserve">Part VI    Workplace Health &amp; Safety</w:t>
      </w:r>
      <w:r>
        <w:rPr>
          <w:rFonts w:ascii="Arial" w:cs="Arial" w:eastAsia="Arial" w:hAnsi="Arial"/>
          <w:b/>
          <w:bCs/>
          <w:sz w:val="22"/>
          <w:szCs w:val="22"/>
        </w:rPr>
        <w:t xml:space="preserve">	51</w:t>
      </w:r>
    </w:p>
    <w:p>
      <w:pPr>
        <w:tabs>
          <w:tab w:val="right" w:pos="8640"/>
        </w:tabs>
        <w:spacing w:after="40" w:before="40"/>
      </w:pPr>
      <w:r>
        <w:rPr>
          <w:rFonts w:ascii="Arial" w:cs="Arial" w:eastAsia="Arial" w:hAnsi="Arial"/>
          <w:b w:val="false"/>
          <w:bCs w:val="false"/>
          <w:color w:val="1A1A1A"/>
          <w:sz w:val="20"/>
          <w:szCs w:val="20"/>
        </w:rPr>
        <w:t xml:space="preserve">6.1    Safety Obligations &amp; Responsibilities</w:t>
      </w:r>
      <w:r>
        <w:rPr>
          <w:rFonts w:ascii="Arial" w:cs="Arial" w:eastAsia="Arial" w:hAnsi="Arial"/>
          <w:b w:val="false"/>
          <w:bCs w:val="false"/>
          <w:sz w:val="20"/>
          <w:szCs w:val="20"/>
        </w:rPr>
        <w:t xml:space="preserve">	51</w:t>
      </w:r>
    </w:p>
    <w:p>
      <w:pPr>
        <w:tabs>
          <w:tab w:val="right" w:pos="8640"/>
        </w:tabs>
        <w:spacing w:after="40" w:before="40"/>
      </w:pPr>
      <w:r>
        <w:rPr>
          <w:rFonts w:ascii="Arial" w:cs="Arial" w:eastAsia="Arial" w:hAnsi="Arial"/>
          <w:b w:val="false"/>
          <w:bCs w:val="false"/>
          <w:color w:val="1A1A1A"/>
          <w:sz w:val="20"/>
          <w:szCs w:val="20"/>
        </w:rPr>
        <w:t xml:space="preserve">6.2    Incident Reporting &amp; Investigation</w:t>
      </w:r>
      <w:r>
        <w:rPr>
          <w:rFonts w:ascii="Arial" w:cs="Arial" w:eastAsia="Arial" w:hAnsi="Arial"/>
          <w:b w:val="false"/>
          <w:bCs w:val="false"/>
          <w:sz w:val="20"/>
          <w:szCs w:val="20"/>
        </w:rPr>
        <w:t xml:space="preserve">	53</w:t>
      </w:r>
    </w:p>
    <w:p>
      <w:pPr>
        <w:tabs>
          <w:tab w:val="right" w:pos="8640"/>
        </w:tabs>
        <w:spacing w:after="40" w:before="40"/>
      </w:pPr>
      <w:r>
        <w:rPr>
          <w:rFonts w:ascii="Arial" w:cs="Arial" w:eastAsia="Arial" w:hAnsi="Arial"/>
          <w:b w:val="false"/>
          <w:bCs w:val="false"/>
          <w:color w:val="1A1A1A"/>
          <w:sz w:val="20"/>
          <w:szCs w:val="20"/>
        </w:rPr>
        <w:t xml:space="preserve">6.3    Substance Abuse &amp; Drug-Free Workplace</w:t>
      </w:r>
      <w:r>
        <w:rPr>
          <w:rFonts w:ascii="Arial" w:cs="Arial" w:eastAsia="Arial" w:hAnsi="Arial"/>
          <w:b w:val="false"/>
          <w:bCs w:val="false"/>
          <w:sz w:val="20"/>
          <w:szCs w:val="20"/>
        </w:rPr>
        <w:t xml:space="preserve">	55</w:t>
      </w:r>
    </w:p>
    <w:p>
      <w:pPr>
        <w:tabs>
          <w:tab w:val="right" w:pos="8640"/>
        </w:tabs>
        <w:spacing w:after="60" w:before="120"/>
      </w:pPr>
      <w:r>
        <w:rPr>
          <w:rFonts w:ascii="Arial" w:cs="Arial" w:eastAsia="Arial" w:hAnsi="Arial"/>
          <w:b/>
          <w:bCs/>
          <w:color w:val="1B3A6B"/>
          <w:sz w:val="22"/>
          <w:szCs w:val="22"/>
        </w:rPr>
        <w:t xml:space="preserve">Part VII    Travel, Expenses &amp; Procurement</w:t>
      </w:r>
      <w:r>
        <w:rPr>
          <w:rFonts w:ascii="Arial" w:cs="Arial" w:eastAsia="Arial" w:hAnsi="Arial"/>
          <w:b/>
          <w:bCs/>
          <w:sz w:val="22"/>
          <w:szCs w:val="22"/>
        </w:rPr>
        <w:t xml:space="preserve">	56</w:t>
      </w:r>
    </w:p>
    <w:p>
      <w:pPr>
        <w:tabs>
          <w:tab w:val="right" w:pos="8640"/>
        </w:tabs>
        <w:spacing w:after="40" w:before="40"/>
      </w:pPr>
      <w:r>
        <w:rPr>
          <w:rFonts w:ascii="Arial" w:cs="Arial" w:eastAsia="Arial" w:hAnsi="Arial"/>
          <w:b w:val="false"/>
          <w:bCs w:val="false"/>
          <w:color w:val="1A1A1A"/>
          <w:sz w:val="20"/>
          <w:szCs w:val="20"/>
        </w:rPr>
        <w:t xml:space="preserve">7.1    Business Travel Policy</w:t>
      </w:r>
      <w:r>
        <w:rPr>
          <w:rFonts w:ascii="Arial" w:cs="Arial" w:eastAsia="Arial" w:hAnsi="Arial"/>
          <w:b w:val="false"/>
          <w:bCs w:val="false"/>
          <w:sz w:val="20"/>
          <w:szCs w:val="20"/>
        </w:rPr>
        <w:t xml:space="preserve">	56</w:t>
      </w:r>
    </w:p>
    <w:p>
      <w:pPr>
        <w:tabs>
          <w:tab w:val="right" w:pos="8640"/>
        </w:tabs>
        <w:spacing w:after="40" w:before="40"/>
      </w:pPr>
      <w:r>
        <w:rPr>
          <w:rFonts w:ascii="Arial" w:cs="Arial" w:eastAsia="Arial" w:hAnsi="Arial"/>
          <w:b w:val="false"/>
          <w:bCs w:val="false"/>
          <w:color w:val="1A1A1A"/>
          <w:sz w:val="20"/>
          <w:szCs w:val="20"/>
        </w:rPr>
        <w:t xml:space="preserve">7.2    Expense Reimbursement</w:t>
      </w:r>
      <w:r>
        <w:rPr>
          <w:rFonts w:ascii="Arial" w:cs="Arial" w:eastAsia="Arial" w:hAnsi="Arial"/>
          <w:b w:val="false"/>
          <w:bCs w:val="false"/>
          <w:sz w:val="20"/>
          <w:szCs w:val="20"/>
        </w:rPr>
        <w:t xml:space="preserve">	58</w:t>
      </w:r>
    </w:p>
    <w:p>
      <w:pPr>
        <w:tabs>
          <w:tab w:val="right" w:pos="8640"/>
        </w:tabs>
        <w:spacing w:after="40" w:before="40"/>
      </w:pPr>
      <w:r>
        <w:rPr>
          <w:rFonts w:ascii="Arial" w:cs="Arial" w:eastAsia="Arial" w:hAnsi="Arial"/>
          <w:b w:val="false"/>
          <w:bCs w:val="false"/>
          <w:color w:val="1A1A1A"/>
          <w:sz w:val="20"/>
          <w:szCs w:val="20"/>
        </w:rPr>
        <w:t xml:space="preserve">7.3    Procurement &amp; Vendor Management</w:t>
      </w:r>
      <w:r>
        <w:rPr>
          <w:rFonts w:ascii="Arial" w:cs="Arial" w:eastAsia="Arial" w:hAnsi="Arial"/>
          <w:b w:val="false"/>
          <w:bCs w:val="false"/>
          <w:sz w:val="20"/>
          <w:szCs w:val="20"/>
        </w:rPr>
        <w:t xml:space="preserve">	60</w:t>
      </w:r>
    </w:p>
    <w:p>
      <w:pPr>
        <w:tabs>
          <w:tab w:val="right" w:pos="8640"/>
        </w:tabs>
        <w:spacing w:after="60" w:before="120"/>
      </w:pPr>
      <w:r>
        <w:rPr>
          <w:rFonts w:ascii="Arial" w:cs="Arial" w:eastAsia="Arial" w:hAnsi="Arial"/>
          <w:b/>
          <w:bCs/>
          <w:color w:val="1B3A6B"/>
          <w:sz w:val="22"/>
          <w:szCs w:val="22"/>
        </w:rPr>
        <w:t xml:space="preserve">Part VIII    Disciplinary &amp; Separation Procedures</w:t>
      </w:r>
      <w:r>
        <w:rPr>
          <w:rFonts w:ascii="Arial" w:cs="Arial" w:eastAsia="Arial" w:hAnsi="Arial"/>
          <w:b/>
          <w:bCs/>
          <w:sz w:val="22"/>
          <w:szCs w:val="22"/>
        </w:rPr>
        <w:t xml:space="preserve">	62</w:t>
      </w:r>
    </w:p>
    <w:p>
      <w:pPr>
        <w:tabs>
          <w:tab w:val="right" w:pos="8640"/>
        </w:tabs>
        <w:spacing w:after="40" w:before="40"/>
      </w:pPr>
      <w:r>
        <w:rPr>
          <w:rFonts w:ascii="Arial" w:cs="Arial" w:eastAsia="Arial" w:hAnsi="Arial"/>
          <w:b w:val="false"/>
          <w:bCs w:val="false"/>
          <w:color w:val="1A1A1A"/>
          <w:sz w:val="20"/>
          <w:szCs w:val="20"/>
        </w:rPr>
        <w:t xml:space="preserve">8.1    Progressive Discipline Framework</w:t>
      </w:r>
      <w:r>
        <w:rPr>
          <w:rFonts w:ascii="Arial" w:cs="Arial" w:eastAsia="Arial" w:hAnsi="Arial"/>
          <w:b w:val="false"/>
          <w:bCs w:val="false"/>
          <w:sz w:val="20"/>
          <w:szCs w:val="20"/>
        </w:rPr>
        <w:t xml:space="preserve">	62</w:t>
      </w:r>
    </w:p>
    <w:p>
      <w:pPr>
        <w:tabs>
          <w:tab w:val="right" w:pos="8640"/>
        </w:tabs>
        <w:spacing w:after="40" w:before="40"/>
      </w:pPr>
      <w:r>
        <w:rPr>
          <w:rFonts w:ascii="Arial" w:cs="Arial" w:eastAsia="Arial" w:hAnsi="Arial"/>
          <w:b w:val="false"/>
          <w:bCs w:val="false"/>
          <w:color w:val="1A1A1A"/>
          <w:sz w:val="20"/>
          <w:szCs w:val="20"/>
        </w:rPr>
        <w:t xml:space="preserve">8.2    Gross Misconduct &amp; Summary Dismissal</w:t>
      </w:r>
      <w:r>
        <w:rPr>
          <w:rFonts w:ascii="Arial" w:cs="Arial" w:eastAsia="Arial" w:hAnsi="Arial"/>
          <w:b w:val="false"/>
          <w:bCs w:val="false"/>
          <w:sz w:val="20"/>
          <w:szCs w:val="20"/>
        </w:rPr>
        <w:t xml:space="preserve">	64</w:t>
      </w:r>
    </w:p>
    <w:p>
      <w:pPr>
        <w:tabs>
          <w:tab w:val="right" w:pos="8640"/>
        </w:tabs>
        <w:spacing w:after="40" w:before="40"/>
      </w:pPr>
      <w:r>
        <w:rPr>
          <w:rFonts w:ascii="Arial" w:cs="Arial" w:eastAsia="Arial" w:hAnsi="Arial"/>
          <w:b w:val="false"/>
          <w:bCs w:val="false"/>
          <w:color w:val="1A1A1A"/>
          <w:sz w:val="20"/>
          <w:szCs w:val="20"/>
        </w:rPr>
        <w:t xml:space="preserve">8.3    Voluntary Resignation &amp; Retirement</w:t>
      </w:r>
      <w:r>
        <w:rPr>
          <w:rFonts w:ascii="Arial" w:cs="Arial" w:eastAsia="Arial" w:hAnsi="Arial"/>
          <w:b w:val="false"/>
          <w:bCs w:val="false"/>
          <w:sz w:val="20"/>
          <w:szCs w:val="20"/>
        </w:rPr>
        <w:t xml:space="preserve">	65</w:t>
      </w:r>
    </w:p>
    <w:p>
      <w:pPr>
        <w:tabs>
          <w:tab w:val="right" w:pos="8640"/>
        </w:tabs>
        <w:spacing w:after="40" w:before="40"/>
      </w:pPr>
      <w:r>
        <w:rPr>
          <w:rFonts w:ascii="Arial" w:cs="Arial" w:eastAsia="Arial" w:hAnsi="Arial"/>
          <w:b w:val="false"/>
          <w:bCs w:val="false"/>
          <w:color w:val="1A1A1A"/>
          <w:sz w:val="20"/>
          <w:szCs w:val="20"/>
        </w:rPr>
        <w:t xml:space="preserve">8.4    Reduction in Force (Layoffs)</w:t>
      </w:r>
      <w:r>
        <w:rPr>
          <w:rFonts w:ascii="Arial" w:cs="Arial" w:eastAsia="Arial" w:hAnsi="Arial"/>
          <w:b w:val="false"/>
          <w:bCs w:val="false"/>
          <w:sz w:val="20"/>
          <w:szCs w:val="20"/>
        </w:rPr>
        <w:t xml:space="preserve">	66</w:t>
      </w:r>
    </w:p>
    <w:p>
      <w:pPr>
        <w:tabs>
          <w:tab w:val="right" w:pos="8640"/>
        </w:tabs>
        <w:spacing w:after="40" w:before="40"/>
      </w:pPr>
      <w:r>
        <w:rPr>
          <w:rFonts w:ascii="Arial" w:cs="Arial" w:eastAsia="Arial" w:hAnsi="Arial"/>
          <w:b w:val="false"/>
          <w:bCs w:val="false"/>
          <w:color w:val="1A1A1A"/>
          <w:sz w:val="20"/>
          <w:szCs w:val="20"/>
        </w:rPr>
        <w:t xml:space="preserve">Appendices    Supporting Materials &amp; Forms</w:t>
      </w:r>
      <w:r>
        <w:rPr>
          <w:rFonts w:ascii="Arial" w:cs="Arial" w:eastAsia="Arial" w:hAnsi="Arial"/>
          <w:b w:val="false"/>
          <w:bCs w:val="false"/>
          <w:sz w:val="20"/>
          <w:szCs w:val="20"/>
        </w:rPr>
        <w:t xml:space="preserve">	68</w:t>
      </w:r>
    </w:p>
    <w:p>
      <w:pPr>
        <w:spacing w:after="0" w:before="0"/>
      </w:pPr>
      <w:r>
        <w:br w:type="page"/>
      </w:r>
    </w:p>
    <w:p>
      <w:pPr>
        <w:shd w:fill="1B3A6B" w:val="clear"/>
        <w:spacing w:after="300" w:before="500"/>
        <w:jc w:val="center"/>
      </w:pPr>
      <w:r>
        <w:rPr>
          <w:rFonts w:ascii="Arial" w:cs="Arial" w:eastAsia="Arial" w:hAnsi="Arial"/>
          <w:b/>
          <w:bCs/>
          <w:color w:val="FFFFFF"/>
          <w:sz w:val="32"/>
          <w:szCs w:val="32"/>
        </w:rPr>
        <w:t xml:space="preserve">  PART I — COMPANY OVERVIEW &amp; MISSION  </w:t>
      </w:r>
    </w:p>
    <w:p>
      <w:pPr>
        <w:spacing w:after="200" w:before="200"/>
      </w:pPr>
    </w:p>
    <w:p>
      <w:pPr>
        <w:pStyle w:val="Heading1"/>
        <w:pBdr>
          <w:bottom w:val="single" w:color="2E75B6" w:sz="8" w:space="4"/>
        </w:pBdr>
        <w:spacing w:after="200" w:before="400"/>
      </w:pPr>
      <w:r>
        <w:rPr>
          <w:rFonts w:ascii="Arial" w:cs="Arial" w:eastAsia="Arial" w:hAnsi="Arial"/>
          <w:b/>
          <w:bCs/>
          <w:color w:val="1B3A6B"/>
          <w:sz w:val="36"/>
          <w:szCs w:val="36"/>
        </w:rPr>
        <w:t xml:space="preserve">1. Company Overview &amp; Mission</w:t>
      </w:r>
    </w:p>
    <w:p>
      <w:pPr>
        <w:pStyle w:val="Heading2"/>
        <w:spacing w:after="140" w:before="300"/>
      </w:pPr>
      <w:r>
        <w:rPr>
          <w:rFonts w:ascii="Arial" w:cs="Arial" w:eastAsia="Arial" w:hAnsi="Arial"/>
          <w:b/>
          <w:bCs/>
          <w:color w:val="2E75B6"/>
          <w:sz w:val="28"/>
          <w:szCs w:val="28"/>
        </w:rPr>
        <w:t xml:space="preserve">1.1 Corporate History &amp; Identity</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Global was incorporated in 1992 in the State of Delaware as NexaSystems Inc., a boutique technology consulting firm serving regional financial institutions on the US West Coast. Under the founding leadership of Chief Executive Officer Elaine Hartwell and Chief Technology Officer Marcus Delgado, the company achieved rapid growth by pioneering enterprise resource planning (ERP) integrations at a time when most mid-market financial institutions still relied on proprietary mainframe systems.</w:t>
      </w:r>
    </w:p>
    <w:p>
      <w:pPr>
        <w:spacing w:after="100" w:before="80" w:line="276" w:lineRule="auto"/>
        <w:jc w:val="both"/>
      </w:pPr>
      <w:r>
        <w:rPr>
          <w:rFonts w:ascii="Arial" w:cs="Arial" w:eastAsia="Arial" w:hAnsi="Arial"/>
          <w:b w:val="false"/>
          <w:bCs w:val="false"/>
          <w:i w:val="false"/>
          <w:iCs w:val="false"/>
          <w:color w:val="1A1A1A"/>
          <w:sz w:val="22"/>
          <w:szCs w:val="22"/>
        </w:rPr>
        <w:t xml:space="preserve">Following a landmark Series C funding round of $120 million in 1999, the company rebranded as NexaCorp and expanded its product portfolio to include cloud-native analytics platforms. A pivotal acquisition of London-based DataStream Analytics in 2006 opened the European market and transformed NexaCorp into a truly global enterprise. Today, NexaCorp Global operates across 42 countries with more than 28,000 employees and reported annual revenues of $4.7 billion for fiscal year 2024.</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is publicly traded on the NASDAQ Global Select Market under the ticker symbol NXCP. The company is headquartered in San Francisco, California, with regional hubs in London (EMEA), Singapore (APAC), São Paulo (LATAM), and Dubai (MENA). Each regional hub operates as a semi-autonomous business unit reporting to the Global Executive Leadership Team.</w:t>
      </w:r>
    </w:p>
    <w:p>
      <w:pPr>
        <w:pStyle w:val="Heading3"/>
        <w:spacing w:after="100" w:before="220"/>
      </w:pPr>
      <w:r>
        <w:rPr>
          <w:rFonts w:ascii="Arial" w:cs="Arial" w:eastAsia="Arial" w:hAnsi="Arial"/>
          <w:b/>
          <w:bCs/>
          <w:color w:val="1B3A6B"/>
          <w:sz w:val="24"/>
          <w:szCs w:val="24"/>
        </w:rPr>
        <w:t xml:space="preserve">1.1.1 Key Corporate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800"/>
        <w:gridCol w:w="3360"/>
      </w:tblGrid>
      <w:tr>
        <w:trPr>
          <w:tblHeader/>
        </w:trPr>
        <w:tc>
          <w:tcPr>
            <w:tcW w:type="dxa" w:w="12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Year</w:t>
            </w:r>
          </w:p>
        </w:tc>
        <w:tc>
          <w:tcPr>
            <w:tcW w:type="dxa" w:w="48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Milestone</w:t>
            </w:r>
          </w:p>
        </w:tc>
        <w:tc>
          <w:tcPr>
            <w:tcW w:type="dxa" w:w="33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Impact</w:t>
            </w:r>
          </w:p>
        </w:tc>
      </w:tr>
      <w:tr>
        <w:tc>
          <w:tcPr>
            <w:tcW w:type="dxa" w:w="1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1992</w:t>
            </w:r>
          </w:p>
        </w:tc>
        <w:tc>
          <w:tcPr>
            <w:tcW w:type="dxa" w:w="4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Founded as NexaSystems Inc. in San Francisco</w:t>
            </w:r>
          </w:p>
        </w:tc>
        <w:tc>
          <w:tcPr>
            <w:tcW w:type="dxa" w:w="33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10 employees, seed capital $2M</w:t>
            </w:r>
          </w:p>
        </w:tc>
      </w:tr>
      <w:tr>
        <w:tc>
          <w:tcPr>
            <w:tcW w:type="dxa" w:w="12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1999</w:t>
            </w:r>
          </w:p>
        </w:tc>
        <w:tc>
          <w:tcPr>
            <w:tcW w:type="dxa" w:w="4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Series C funding, rebranded NexaCorp</w:t>
            </w:r>
          </w:p>
        </w:tc>
        <w:tc>
          <w:tcPr>
            <w:tcW w:type="dxa" w:w="33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Expansion to 12 US states</w:t>
            </w:r>
          </w:p>
        </w:tc>
      </w:tr>
      <w:tr>
        <w:tc>
          <w:tcPr>
            <w:tcW w:type="dxa" w:w="1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2002</w:t>
            </w:r>
          </w:p>
        </w:tc>
        <w:tc>
          <w:tcPr>
            <w:tcW w:type="dxa" w:w="4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NASDAQ IPO at $18/share</w:t>
            </w:r>
          </w:p>
        </w:tc>
        <w:tc>
          <w:tcPr>
            <w:tcW w:type="dxa" w:w="33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Market cap $340M at listing</w:t>
            </w:r>
          </w:p>
        </w:tc>
      </w:tr>
      <w:tr>
        <w:tc>
          <w:tcPr>
            <w:tcW w:type="dxa" w:w="12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2006</w:t>
            </w:r>
          </w:p>
        </w:tc>
        <w:tc>
          <w:tcPr>
            <w:tcW w:type="dxa" w:w="4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Acquisition of DataStream Analytics (UK)</w:t>
            </w:r>
          </w:p>
        </w:tc>
        <w:tc>
          <w:tcPr>
            <w:tcW w:type="dxa" w:w="33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Entry into European markets</w:t>
            </w:r>
          </w:p>
        </w:tc>
      </w:tr>
      <w:tr>
        <w:tc>
          <w:tcPr>
            <w:tcW w:type="dxa" w:w="1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2010</w:t>
            </w:r>
          </w:p>
        </w:tc>
        <w:tc>
          <w:tcPr>
            <w:tcW w:type="dxa" w:w="4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Launch of NexaCloud™ Platform v1.0</w:t>
            </w:r>
          </w:p>
        </w:tc>
        <w:tc>
          <w:tcPr>
            <w:tcW w:type="dxa" w:w="33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First SaaS revenue stream</w:t>
            </w:r>
          </w:p>
        </w:tc>
      </w:tr>
      <w:tr>
        <w:tc>
          <w:tcPr>
            <w:tcW w:type="dxa" w:w="12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2014</w:t>
            </w:r>
          </w:p>
        </w:tc>
        <w:tc>
          <w:tcPr>
            <w:tcW w:type="dxa" w:w="4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Singapore APAC HQ established</w:t>
            </w:r>
          </w:p>
        </w:tc>
        <w:tc>
          <w:tcPr>
            <w:tcW w:type="dxa" w:w="33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Asia-Pacific market penetration</w:t>
            </w:r>
          </w:p>
        </w:tc>
      </w:tr>
      <w:tr>
        <w:tc>
          <w:tcPr>
            <w:tcW w:type="dxa" w:w="1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2018</w:t>
            </w:r>
          </w:p>
        </w:tc>
        <w:tc>
          <w:tcPr>
            <w:tcW w:type="dxa" w:w="4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ISO 27001 &amp; SOC 2 Type II certified</w:t>
            </w:r>
          </w:p>
        </w:tc>
        <w:tc>
          <w:tcPr>
            <w:tcW w:type="dxa" w:w="33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Enterprise trust &amp; security benchmark</w:t>
            </w:r>
          </w:p>
        </w:tc>
      </w:tr>
      <w:tr>
        <w:tc>
          <w:tcPr>
            <w:tcW w:type="dxa" w:w="12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2020</w:t>
            </w:r>
          </w:p>
        </w:tc>
        <w:tc>
          <w:tcPr>
            <w:tcW w:type="dxa" w:w="4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COVID-19 response: 100% remote capability</w:t>
            </w:r>
          </w:p>
        </w:tc>
        <w:tc>
          <w:tcPr>
            <w:tcW w:type="dxa" w:w="33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Zero business continuity disruption</w:t>
            </w:r>
          </w:p>
        </w:tc>
      </w:tr>
      <w:tr>
        <w:tc>
          <w:tcPr>
            <w:tcW w:type="dxa" w:w="1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2022</w:t>
            </w:r>
          </w:p>
        </w:tc>
        <w:tc>
          <w:tcPr>
            <w:tcW w:type="dxa" w:w="4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Acquisition of Mumbai-based VelocityAI</w:t>
            </w:r>
          </w:p>
        </w:tc>
        <w:tc>
          <w:tcPr>
            <w:tcW w:type="dxa" w:w="33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AI/ML product line expansion</w:t>
            </w:r>
          </w:p>
        </w:tc>
      </w:tr>
      <w:tr>
        <w:tc>
          <w:tcPr>
            <w:tcW w:type="dxa" w:w="12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2024</w:t>
            </w:r>
          </w:p>
        </w:tc>
        <w:tc>
          <w:tcPr>
            <w:tcW w:type="dxa" w:w="4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Revenue milestone: $4.7B FY2024</w:t>
            </w:r>
          </w:p>
        </w:tc>
        <w:tc>
          <w:tcPr>
            <w:tcW w:type="dxa" w:w="33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28,000+ global employees</w:t>
            </w:r>
          </w:p>
        </w:tc>
      </w:tr>
    </w:tbl>
    <w:p>
      <w:pPr>
        <w:spacing w:after="120" w:before="120"/>
      </w:pPr>
    </w:p>
    <w:p>
      <w:pPr>
        <w:pStyle w:val="Heading2"/>
        <w:spacing w:after="140" w:before="300"/>
      </w:pPr>
      <w:r>
        <w:rPr>
          <w:rFonts w:ascii="Arial" w:cs="Arial" w:eastAsia="Arial" w:hAnsi="Arial"/>
          <w:b/>
          <w:bCs/>
          <w:color w:val="2E75B6"/>
          <w:sz w:val="28"/>
          <w:szCs w:val="28"/>
        </w:rPr>
        <w:t xml:space="preserve">1.2 Vision, Mission &amp; Core Values</w:t>
      </w:r>
    </w:p>
    <w:p>
      <w:pPr>
        <w:pStyle w:val="Heading3"/>
        <w:spacing w:after="100" w:before="220"/>
      </w:pPr>
      <w:r>
        <w:rPr>
          <w:rFonts w:ascii="Arial" w:cs="Arial" w:eastAsia="Arial" w:hAnsi="Arial"/>
          <w:b/>
          <w:bCs/>
          <w:color w:val="1B3A6B"/>
          <w:sz w:val="24"/>
          <w:szCs w:val="24"/>
        </w:rPr>
        <w:t xml:space="preserve">1.2.1 Our Vision</w:t>
      </w:r>
    </w:p>
    <w:p>
      <w:pPr>
        <w:spacing w:after="100" w:before="80" w:line="276" w:lineRule="auto"/>
        <w:jc w:val="both"/>
      </w:pPr>
      <w:r>
        <w:rPr>
          <w:rFonts w:ascii="Arial" w:cs="Arial" w:eastAsia="Arial" w:hAnsi="Arial"/>
          <w:b w:val="false"/>
          <w:bCs w:val="false"/>
          <w:i w:val="false"/>
          <w:iCs w:val="false"/>
          <w:color w:val="1A1A1A"/>
          <w:sz w:val="22"/>
          <w:szCs w:val="22"/>
        </w:rPr>
        <w:t xml:space="preserve">To be the most trusted and indispensable technology partner for enterprises navigating the complexities of a hyper-connected, data-driven global economy.</w:t>
      </w:r>
    </w:p>
    <w:p>
      <w:pPr>
        <w:pStyle w:val="Heading3"/>
        <w:spacing w:after="100" w:before="220"/>
      </w:pPr>
      <w:r>
        <w:rPr>
          <w:rFonts w:ascii="Arial" w:cs="Arial" w:eastAsia="Arial" w:hAnsi="Arial"/>
          <w:b/>
          <w:bCs/>
          <w:color w:val="1B3A6B"/>
          <w:sz w:val="24"/>
          <w:szCs w:val="24"/>
        </w:rPr>
        <w:t xml:space="preserve">1.2.2 Our Mission</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exists to empower organisations with intelligent, scalable, and secure technology solutions that unlock human potential, drive operational excellence, and create sustainable value for all stakeholders — employees, customers, shareholders, and communities alike.</w:t>
      </w:r>
    </w:p>
    <w:p>
      <w:pPr>
        <w:pStyle w:val="Heading3"/>
        <w:spacing w:after="100" w:before="220"/>
      </w:pPr>
      <w:r>
        <w:rPr>
          <w:rFonts w:ascii="Arial" w:cs="Arial" w:eastAsia="Arial" w:hAnsi="Arial"/>
          <w:b/>
          <w:bCs/>
          <w:color w:val="1B3A6B"/>
          <w:sz w:val="24"/>
          <w:szCs w:val="24"/>
        </w:rPr>
        <w:t xml:space="preserve">1.2.3 Core Values</w:t>
      </w:r>
    </w:p>
    <w:p>
      <w:pPr>
        <w:spacing w:after="100" w:before="80" w:line="276" w:lineRule="auto"/>
        <w:jc w:val="both"/>
      </w:pPr>
      <w:r>
        <w:rPr>
          <w:rFonts w:ascii="Arial" w:cs="Arial" w:eastAsia="Arial" w:hAnsi="Arial"/>
          <w:b w:val="false"/>
          <w:bCs w:val="false"/>
          <w:i w:val="false"/>
          <w:iCs w:val="false"/>
          <w:color w:val="1A1A1A"/>
          <w:sz w:val="22"/>
          <w:szCs w:val="22"/>
        </w:rPr>
        <w:t xml:space="preserve">Our seven core values are not aspirational posters on a wall. They are the behavioural standards against which every NexaCorp employee is evaluated, and they form the backbone of every policy in this handbook.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Value</w:t>
            </w:r>
          </w:p>
        </w:tc>
        <w:tc>
          <w:tcPr>
            <w:tcW w:type="dxa" w:w="69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What It Means in Practice</w:t>
            </w:r>
          </w:p>
        </w:tc>
      </w:tr>
      <w:tr>
        <w:tc>
          <w:tcPr>
            <w:tcW w:type="dxa" w:w="2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Integrity First</w:t>
            </w:r>
          </w:p>
        </w:tc>
        <w:tc>
          <w:tcPr>
            <w:tcW w:type="dxa" w:w="69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We act honestly and transparently even when it is difficult. We do not misrepresent data, timelines, or capabilities to clients, colleagues, or regulators.</w:t>
            </w:r>
          </w:p>
        </w:tc>
      </w:tr>
      <w:tr>
        <w:tc>
          <w:tcPr>
            <w:tcW w:type="dxa" w:w="2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Customer Obsession</w:t>
            </w:r>
          </w:p>
        </w:tc>
        <w:tc>
          <w:tcPr>
            <w:tcW w:type="dxa" w:w="69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Every decision is evaluated through the lens of long-term customer value. Short-term revenue that compromises customer trust is never acceptable.</w:t>
            </w:r>
          </w:p>
        </w:tc>
      </w:tr>
      <w:tr>
        <w:tc>
          <w:tcPr>
            <w:tcW w:type="dxa" w:w="2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Bold Innovation</w:t>
            </w:r>
          </w:p>
        </w:tc>
        <w:tc>
          <w:tcPr>
            <w:tcW w:type="dxa" w:w="69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We reward calculated risk-taking and intelligent failure. Bureaucracy that impedes experimentation must be challenged through proper channels.</w:t>
            </w:r>
          </w:p>
        </w:tc>
      </w:tr>
      <w:tr>
        <w:tc>
          <w:tcPr>
            <w:tcW w:type="dxa" w:w="2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Inclusive Excellence</w:t>
            </w:r>
          </w:p>
        </w:tc>
        <w:tc>
          <w:tcPr>
            <w:tcW w:type="dxa" w:w="69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Diversity is not a compliance exercise — it is a competitive advantage. We build teams that reflect the global communities we serve.</w:t>
            </w:r>
          </w:p>
        </w:tc>
      </w:tr>
      <w:tr>
        <w:tc>
          <w:tcPr>
            <w:tcW w:type="dxa" w:w="2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Ownership Mindset</w:t>
            </w:r>
          </w:p>
        </w:tc>
        <w:tc>
          <w:tcPr>
            <w:tcW w:type="dxa" w:w="69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Every employee takes responsibility for outcomes, not just activities. We do not hide behind process when results fall short.</w:t>
            </w:r>
          </w:p>
        </w:tc>
      </w:tr>
      <w:tr>
        <w:tc>
          <w:tcPr>
            <w:tcW w:type="dxa" w:w="2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Continuous Learning</w:t>
            </w:r>
          </w:p>
        </w:tc>
        <w:tc>
          <w:tcPr>
            <w:tcW w:type="dxa" w:w="69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The half-life of technical knowledge is shrinking. Investing in personal and team growth is a professional obligation, not an option.</w:t>
            </w:r>
          </w:p>
        </w:tc>
      </w:tr>
      <w:tr>
        <w:tc>
          <w:tcPr>
            <w:tcW w:type="dxa" w:w="2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Sustainable Impact</w:t>
            </w:r>
          </w:p>
        </w:tc>
        <w:tc>
          <w:tcPr>
            <w:tcW w:type="dxa" w:w="69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We measure success not only in revenue and profit, but in carbon footprint, community investment, and the ethical application of technology.</w:t>
            </w:r>
          </w:p>
        </w:tc>
      </w:tr>
    </w:tbl>
    <w:p>
      <w:pPr>
        <w:spacing w:after="120" w:before="120"/>
      </w:pPr>
    </w:p>
    <w:p>
      <w:pPr>
        <w:pStyle w:val="Heading2"/>
        <w:spacing w:after="140" w:before="300"/>
      </w:pPr>
      <w:r>
        <w:rPr>
          <w:rFonts w:ascii="Arial" w:cs="Arial" w:eastAsia="Arial" w:hAnsi="Arial"/>
          <w:b/>
          <w:bCs/>
          <w:color w:val="2E75B6"/>
          <w:sz w:val="28"/>
          <w:szCs w:val="28"/>
        </w:rPr>
        <w:t xml:space="preserve">1.3 Organisational Structure</w:t>
      </w:r>
    </w:p>
    <w:p>
      <w:pPr>
        <w:pStyle w:val="Heading3"/>
        <w:spacing w:after="100" w:before="220"/>
      </w:pPr>
      <w:r>
        <w:rPr>
          <w:rFonts w:ascii="Arial" w:cs="Arial" w:eastAsia="Arial" w:hAnsi="Arial"/>
          <w:b/>
          <w:bCs/>
          <w:color w:val="1B3A6B"/>
          <w:sz w:val="24"/>
          <w:szCs w:val="24"/>
        </w:rPr>
        <w:t xml:space="preserve">1.3.1 Executive Leadership Team (ELT)</w:t>
      </w:r>
    </w:p>
    <w:p>
      <w:pPr>
        <w:spacing w:after="100" w:before="80" w:line="276" w:lineRule="auto"/>
        <w:jc w:val="both"/>
      </w:pPr>
      <w:r>
        <w:rPr>
          <w:rFonts w:ascii="Arial" w:cs="Arial" w:eastAsia="Arial" w:hAnsi="Arial"/>
          <w:b w:val="false"/>
          <w:bCs w:val="false"/>
          <w:i w:val="false"/>
          <w:iCs w:val="false"/>
          <w:color w:val="1A1A1A"/>
          <w:sz w:val="22"/>
          <w:szCs w:val="22"/>
        </w:rPr>
        <w:t xml:space="preserve">The ELT is responsible for setting strategic direction, allocating capital, managing enterprise risk, and ensuring regulatory compliance. The ELT convenes monthly in person and weekly via video conference. All ELT members serve at the pleasure of the Board of Directors.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400"/>
        <w:gridCol w:w="3840"/>
      </w:tblGrid>
      <w:tr>
        <w:trPr>
          <w:tblHeader/>
        </w:trPr>
        <w:tc>
          <w:tcPr>
            <w:tcW w:type="dxa" w:w="31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Title</w:t>
            </w:r>
          </w:p>
        </w:tc>
        <w:tc>
          <w:tcPr>
            <w:tcW w:type="dxa" w:w="24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Current Incumbent</w:t>
            </w:r>
          </w:p>
        </w:tc>
        <w:tc>
          <w:tcPr>
            <w:tcW w:type="dxa" w:w="384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Key Responsibilities</w:t>
            </w:r>
          </w:p>
        </w:tc>
      </w:tr>
      <w:tr>
        <w:tc>
          <w:tcPr>
            <w:tcW w:type="dxa" w:w="31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Chief Executive Officer (CEO)</w:t>
            </w:r>
          </w:p>
        </w:tc>
        <w:tc>
          <w:tcPr>
            <w:tcW w:type="dxa" w:w="2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Elaine Hartwell</w:t>
            </w:r>
          </w:p>
        </w:tc>
        <w:tc>
          <w:tcPr>
            <w:tcW w:type="dxa" w:w="38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Overall corporate strategy, investor relations, public representation</w:t>
            </w:r>
          </w:p>
        </w:tc>
      </w:tr>
      <w:tr>
        <w:tc>
          <w:tcPr>
            <w:tcW w:type="dxa" w:w="31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Chief Financial Officer (CFO)</w:t>
            </w:r>
          </w:p>
        </w:tc>
        <w:tc>
          <w:tcPr>
            <w:tcW w:type="dxa" w:w="2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Rajiv Balasubramaniam</w:t>
            </w:r>
          </w:p>
        </w:tc>
        <w:tc>
          <w:tcPr>
            <w:tcW w:type="dxa" w:w="38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Financial reporting, treasury, M&amp;A, tax strategy</w:t>
            </w:r>
          </w:p>
        </w:tc>
      </w:tr>
      <w:tr>
        <w:tc>
          <w:tcPr>
            <w:tcW w:type="dxa" w:w="31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Chief People Officer (CPO)</w:t>
            </w:r>
          </w:p>
        </w:tc>
        <w:tc>
          <w:tcPr>
            <w:tcW w:type="dxa" w:w="2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Sofia Andersen</w:t>
            </w:r>
          </w:p>
        </w:tc>
        <w:tc>
          <w:tcPr>
            <w:tcW w:type="dxa" w:w="38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HR, talent, culture, D&amp;I, total rewards</w:t>
            </w:r>
          </w:p>
        </w:tc>
      </w:tr>
      <w:tr>
        <w:tc>
          <w:tcPr>
            <w:tcW w:type="dxa" w:w="31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Chief Technology Officer (CTO)</w:t>
            </w:r>
          </w:p>
        </w:tc>
        <w:tc>
          <w:tcPr>
            <w:tcW w:type="dxa" w:w="2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Dr. James Osei-Bonsu</w:t>
            </w:r>
          </w:p>
        </w:tc>
        <w:tc>
          <w:tcPr>
            <w:tcW w:type="dxa" w:w="38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Product engineering, platform architecture, R&amp;D</w:t>
            </w:r>
          </w:p>
        </w:tc>
      </w:tr>
      <w:tr>
        <w:tc>
          <w:tcPr>
            <w:tcW w:type="dxa" w:w="31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Chief Information Security Officer (CISO)</w:t>
            </w:r>
          </w:p>
        </w:tc>
        <w:tc>
          <w:tcPr>
            <w:tcW w:type="dxa" w:w="2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Ling Wei Chen</w:t>
            </w:r>
          </w:p>
        </w:tc>
        <w:tc>
          <w:tcPr>
            <w:tcW w:type="dxa" w:w="38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Cybersecurity, risk, compliance, data governance</w:t>
            </w:r>
          </w:p>
        </w:tc>
      </w:tr>
      <w:tr>
        <w:tc>
          <w:tcPr>
            <w:tcW w:type="dxa" w:w="31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Chief Legal Officer (CLO) / General Counsel</w:t>
            </w:r>
          </w:p>
        </w:tc>
        <w:tc>
          <w:tcPr>
            <w:tcW w:type="dxa" w:w="2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Priya Mehta</w:t>
            </w:r>
          </w:p>
        </w:tc>
        <w:tc>
          <w:tcPr>
            <w:tcW w:type="dxa" w:w="38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Legal, regulatory, IP, contracts, ethics</w:t>
            </w:r>
          </w:p>
        </w:tc>
      </w:tr>
      <w:tr>
        <w:tc>
          <w:tcPr>
            <w:tcW w:type="dxa" w:w="31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Chief Operating Officer (COO)</w:t>
            </w:r>
          </w:p>
        </w:tc>
        <w:tc>
          <w:tcPr>
            <w:tcW w:type="dxa" w:w="2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Lars Bergström</w:t>
            </w:r>
          </w:p>
        </w:tc>
        <w:tc>
          <w:tcPr>
            <w:tcW w:type="dxa" w:w="38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Global operations, supply chain, shared services</w:t>
            </w:r>
          </w:p>
        </w:tc>
      </w:tr>
      <w:tr>
        <w:tc>
          <w:tcPr>
            <w:tcW w:type="dxa" w:w="31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Chief Revenue Officer (CRO)</w:t>
            </w:r>
          </w:p>
        </w:tc>
        <w:tc>
          <w:tcPr>
            <w:tcW w:type="dxa" w:w="2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Amara Nwosu</w:t>
            </w:r>
          </w:p>
        </w:tc>
        <w:tc>
          <w:tcPr>
            <w:tcW w:type="dxa" w:w="38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Sales, marketing, partnerships, customer success</w:t>
            </w:r>
          </w:p>
        </w:tc>
      </w:tr>
    </w:tbl>
    <w:p>
      <w:pPr>
        <w:spacing w:after="120" w:before="120"/>
      </w:pPr>
    </w:p>
    <w:p>
      <w:pPr>
        <w:pStyle w:val="Heading3"/>
        <w:spacing w:after="100" w:before="220"/>
      </w:pPr>
      <w:r>
        <w:rPr>
          <w:rFonts w:ascii="Arial" w:cs="Arial" w:eastAsia="Arial" w:hAnsi="Arial"/>
          <w:b/>
          <w:bCs/>
          <w:color w:val="1B3A6B"/>
          <w:sz w:val="24"/>
          <w:szCs w:val="24"/>
        </w:rPr>
        <w:t xml:space="preserve">1.3.2 Governance Committees</w:t>
      </w:r>
    </w:p>
    <w:p>
      <w:pPr>
        <w:spacing w:after="100" w:before="80" w:line="276" w:lineRule="auto"/>
        <w:jc w:val="both"/>
      </w:pPr>
      <w:r>
        <w:rPr>
          <w:rFonts w:ascii="Arial" w:cs="Arial" w:eastAsia="Arial" w:hAnsi="Arial"/>
          <w:b w:val="false"/>
          <w:bCs w:val="false"/>
          <w:i w:val="false"/>
          <w:iCs w:val="false"/>
          <w:color w:val="1A1A1A"/>
          <w:sz w:val="22"/>
          <w:szCs w:val="22"/>
        </w:rPr>
        <w:t xml:space="preserve">In addition to the ELT, the following standing committees provide oversight and governance across key domains: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Audit &amp; Risk Committee (ARC): Reports to the Board; oversees financial controls, internal audit, and enterprise risk management.</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Ethics &amp; Compliance Committee (ECC): Chaired by the CLO; oversees Code of Conduct enforcement and regulatory compliance.</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Data Governance Council (DGC): Chaired by the CISO; sets data classification, retention, and privacy standards.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Diversity, Equity &amp; Inclusion Council (DEIC): Chaired by the CPO; monitors DEI metrics and programme effectiveness.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Technology Architecture Review Board (TARB): Chaired by the CTO; approves all major platform and infrastructure decisions.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Investment &amp; M&amp;A Committee: Chaired by the CEO; evaluates acquisitions, divestitures, and major capital allocations.</w:t>
      </w:r>
    </w:p>
    <w:p>
      <w:pPr>
        <w:pStyle w:val="Heading2"/>
        <w:spacing w:after="140" w:before="300"/>
      </w:pPr>
      <w:r>
        <w:rPr>
          <w:rFonts w:ascii="Arial" w:cs="Arial" w:eastAsia="Arial" w:hAnsi="Arial"/>
          <w:b/>
          <w:bCs/>
          <w:color w:val="2E75B6"/>
          <w:sz w:val="28"/>
          <w:szCs w:val="28"/>
        </w:rPr>
        <w:t xml:space="preserve">1.4 Business Lines &amp; Global Presence</w:t>
      </w:r>
    </w:p>
    <w:p>
      <w:pPr>
        <w:pStyle w:val="Heading3"/>
        <w:spacing w:after="100" w:before="220"/>
      </w:pPr>
      <w:r>
        <w:rPr>
          <w:rFonts w:ascii="Arial" w:cs="Arial" w:eastAsia="Arial" w:hAnsi="Arial"/>
          <w:b/>
          <w:bCs/>
          <w:color w:val="1B3A6B"/>
          <w:sz w:val="24"/>
          <w:szCs w:val="24"/>
        </w:rPr>
        <w:t xml:space="preserve">1.4.1 Core Business Units</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operates through four distinct business units (BUs), each with its own P&amp;L responsibility and leadership team:</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NexaCloud™ Platform — Enterprise SaaS products for financial services, healthcare, and logistics verticals. Revenue: $1.9B (FY2024).</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NexaData™ Analytics — Business intelligence, data warehousing, and AI/ML professional services. Revenue: $1.2B (FY2024).</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NexaSecure™ — Managed security operations, penetration testing, and GRC consulting. Revenue: $880M (FY2024).</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NexaConsult™ — Digital transformation advisory and programme management. Revenue: $720M (FY2024).</w:t>
      </w:r>
    </w:p>
    <w:p>
      <w:pPr>
        <w:pStyle w:val="Heading3"/>
        <w:spacing w:after="100" w:before="220"/>
      </w:pPr>
      <w:r>
        <w:rPr>
          <w:rFonts w:ascii="Arial" w:cs="Arial" w:eastAsia="Arial" w:hAnsi="Arial"/>
          <w:b/>
          <w:bCs/>
          <w:color w:val="1B3A6B"/>
          <w:sz w:val="24"/>
          <w:szCs w:val="24"/>
        </w:rPr>
        <w:t xml:space="preserve">1.4.2 Geographic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1560"/>
        <w:gridCol w:w="3000"/>
      </w:tblGrid>
      <w:tr>
        <w:trPr>
          <w:tblHeader/>
        </w:trPr>
        <w:tc>
          <w:tcPr>
            <w:tcW w:type="dxa" w:w="18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Region</w:t>
            </w:r>
          </w:p>
        </w:tc>
        <w:tc>
          <w:tcPr>
            <w:tcW w:type="dxa" w:w="30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Countries</w:t>
            </w:r>
          </w:p>
        </w:tc>
        <w:tc>
          <w:tcPr>
            <w:tcW w:type="dxa" w:w="15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Headcount</w:t>
            </w:r>
          </w:p>
        </w:tc>
        <w:tc>
          <w:tcPr>
            <w:tcW w:type="dxa" w:w="30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Key Offices</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Americas (HQ)</w:t>
            </w:r>
          </w:p>
        </w:tc>
        <w:tc>
          <w:tcPr>
            <w:tcW w:type="dxa" w:w="30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USA, Canada, Brazil, Mexico, Colombia</w:t>
            </w:r>
          </w:p>
        </w:tc>
        <w:tc>
          <w:tcPr>
            <w:tcW w:type="dxa" w:w="15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12,400</w:t>
            </w:r>
          </w:p>
        </w:tc>
        <w:tc>
          <w:tcPr>
            <w:tcW w:type="dxa" w:w="30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San Francisco, New York, Toronto, São Paulo</w:t>
            </w:r>
          </w:p>
        </w:tc>
      </w:tr>
      <w:tr>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EMEA</w:t>
            </w:r>
          </w:p>
        </w:tc>
        <w:tc>
          <w:tcPr>
            <w:tcW w:type="dxa" w:w="30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UK, Germany, France, UAE, KSA, South Africa, 8 others</w:t>
            </w:r>
          </w:p>
        </w:tc>
        <w:tc>
          <w:tcPr>
            <w:tcW w:type="dxa" w:w="15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8,200</w:t>
            </w:r>
          </w:p>
        </w:tc>
        <w:tc>
          <w:tcPr>
            <w:tcW w:type="dxa" w:w="30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London, Frankfurt, Paris, Dubai</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APAC</w:t>
            </w:r>
          </w:p>
        </w:tc>
        <w:tc>
          <w:tcPr>
            <w:tcW w:type="dxa" w:w="30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Singapore, India, Japan, Australia, South Korea, 5 others</w:t>
            </w:r>
          </w:p>
        </w:tc>
        <w:tc>
          <w:tcPr>
            <w:tcW w:type="dxa" w:w="15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6,100</w:t>
            </w:r>
          </w:p>
        </w:tc>
        <w:tc>
          <w:tcPr>
            <w:tcW w:type="dxa" w:w="30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Singapore, Mumbai, Tokyo, Sydney</w:t>
            </w:r>
          </w:p>
        </w:tc>
      </w:tr>
      <w:tr>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MENA</w:t>
            </w:r>
          </w:p>
        </w:tc>
        <w:tc>
          <w:tcPr>
            <w:tcW w:type="dxa" w:w="30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UAE, KSA, Egypt, Qatar</w:t>
            </w:r>
          </w:p>
        </w:tc>
        <w:tc>
          <w:tcPr>
            <w:tcW w:type="dxa" w:w="15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1,300</w:t>
            </w:r>
          </w:p>
        </w:tc>
        <w:tc>
          <w:tcPr>
            <w:tcW w:type="dxa" w:w="30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Dubai (shared with EMEA hub)</w:t>
            </w:r>
          </w:p>
        </w:tc>
      </w:tr>
    </w:tbl>
    <w:p>
      <w:pPr>
        <w:spacing w:after="100" w:before="100"/>
      </w:pPr>
    </w:p>
    <w:p>
      <w:pPr>
        <w:pBdr>
          <w:left w:val="single" w:color="2E75B6" w:sz="12" w:space="8"/>
        </w:pBdr>
        <w:spacing w:after="120" w:before="120"/>
        <w:ind w:left="360" w:right="360"/>
      </w:pPr>
      <w:r>
        <w:rPr>
          <w:rFonts w:ascii="Arial" w:cs="Arial" w:eastAsia="Arial" w:hAnsi="Arial"/>
          <w:b/>
          <w:bCs/>
          <w:color w:val="2E75B6"/>
          <w:sz w:val="20"/>
          <w:szCs w:val="20"/>
        </w:rPr>
        <w:t xml:space="preserve">NOTE: </w:t>
      </w:r>
      <w:r>
        <w:rPr>
          <w:rFonts w:ascii="Arial" w:cs="Arial" w:eastAsia="Arial" w:hAnsi="Arial"/>
          <w:i/>
          <w:iCs/>
          <w:color w:val="1A1A1A"/>
          <w:sz w:val="20"/>
          <w:szCs w:val="20"/>
        </w:rPr>
        <w:t xml:space="preserve">Headcount figures are as of Q4 2024 and include all employment types (full-time, part-time, fixed-term contract). Contractor and vendor staff are excluded.</w:t>
      </w:r>
    </w:p>
    <w:p>
      <w:pPr>
        <w:spacing w:after="0" w:before="0"/>
      </w:pPr>
      <w:r>
        <w:br w:type="page"/>
      </w:r>
    </w:p>
    <w:p>
      <w:pPr>
        <w:shd w:fill="1B3A6B" w:val="clear"/>
        <w:spacing w:after="300" w:before="500"/>
        <w:jc w:val="center"/>
      </w:pPr>
      <w:r>
        <w:rPr>
          <w:rFonts w:ascii="Arial" w:cs="Arial" w:eastAsia="Arial" w:hAnsi="Arial"/>
          <w:b/>
          <w:bCs/>
          <w:color w:val="FFFFFF"/>
          <w:sz w:val="32"/>
          <w:szCs w:val="32"/>
        </w:rPr>
        <w:t xml:space="preserve">  PART II — CODE OF BUSINESS CONDUCT &amp; ETHICS  </w:t>
      </w:r>
    </w:p>
    <w:p>
      <w:pPr>
        <w:spacing w:after="200" w:before="200"/>
      </w:pPr>
    </w:p>
    <w:p>
      <w:pPr>
        <w:pStyle w:val="Heading1"/>
        <w:pBdr>
          <w:bottom w:val="single" w:color="2E75B6" w:sz="8" w:space="4"/>
        </w:pBdr>
        <w:spacing w:after="200" w:before="400"/>
      </w:pPr>
      <w:r>
        <w:rPr>
          <w:rFonts w:ascii="Arial" w:cs="Arial" w:eastAsia="Arial" w:hAnsi="Arial"/>
          <w:b/>
          <w:bCs/>
          <w:color w:val="1B3A6B"/>
          <w:sz w:val="36"/>
          <w:szCs w:val="36"/>
        </w:rPr>
        <w:t xml:space="preserve">2. Code of Business Conduct &amp; Ethics</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NexaCorp's reputation for integrity is one of its most valuable and irreplaceable assets. Every employee, contractor, board member, and agent acting on NexaCorp's behalf is expected to uphold the highest ethical standards in every interaction. This Code of Business Conduct &amp; Ethics (the 'Code') establishes minimum standards. Where local law, professional ethics rules, or client contractual requirements impose a higher standard, that higher standard shall apply.</w:t>
      </w:r>
    </w:p>
    <w:p>
      <w:pPr>
        <w:pBdr>
          <w:left w:val="single" w:color="C00000" w:sz="12" w:space="8"/>
        </w:pBdr>
        <w:spacing w:after="120" w:before="120"/>
        <w:ind w:left="360" w:right="360"/>
      </w:pPr>
      <w:r>
        <w:rPr>
          <w:rFonts w:ascii="Arial" w:cs="Arial" w:eastAsia="Arial" w:hAnsi="Arial"/>
          <w:b/>
          <w:bCs/>
          <w:color w:val="C00000"/>
          <w:sz w:val="20"/>
          <w:szCs w:val="20"/>
        </w:rPr>
        <w:t xml:space="preserve">IMPORTANT: </w:t>
      </w:r>
      <w:r>
        <w:rPr>
          <w:rFonts w:ascii="Arial" w:cs="Arial" w:eastAsia="Arial" w:hAnsi="Arial"/>
          <w:i/>
          <w:iCs/>
          <w:color w:val="1A1A1A"/>
          <w:sz w:val="20"/>
          <w:szCs w:val="20"/>
        </w:rPr>
        <w:t xml:space="preserve">The Code applies to NexaCorp Global, Inc. and all its wholly-owned subsidiaries, joint ventures where NexaCorp holds a controlling interest, and any individual or entity acting in an authorised capacity on NexaCorp's behalf.</w:t>
      </w:r>
    </w:p>
    <w:p>
      <w:pPr>
        <w:pStyle w:val="Heading2"/>
        <w:spacing w:after="140" w:before="300"/>
      </w:pPr>
      <w:r>
        <w:rPr>
          <w:rFonts w:ascii="Arial" w:cs="Arial" w:eastAsia="Arial" w:hAnsi="Arial"/>
          <w:b/>
          <w:bCs/>
          <w:color w:val="2E75B6"/>
          <w:sz w:val="28"/>
          <w:szCs w:val="28"/>
        </w:rPr>
        <w:t xml:space="preserve">2.1 Ethical Standards &amp; Expectations</w:t>
      </w:r>
    </w:p>
    <w:p>
      <w:pPr>
        <w:pStyle w:val="Heading3"/>
        <w:spacing w:after="100" w:before="220"/>
      </w:pPr>
      <w:r>
        <w:rPr>
          <w:rFonts w:ascii="Arial" w:cs="Arial" w:eastAsia="Arial" w:hAnsi="Arial"/>
          <w:b/>
          <w:bCs/>
          <w:color w:val="1B3A6B"/>
          <w:sz w:val="24"/>
          <w:szCs w:val="24"/>
        </w:rPr>
        <w:t xml:space="preserve">2.1.1 General Principles</w:t>
      </w:r>
    </w:p>
    <w:p>
      <w:pPr>
        <w:spacing w:after="100" w:before="80" w:line="276" w:lineRule="auto"/>
        <w:jc w:val="both"/>
      </w:pPr>
      <w:r>
        <w:rPr>
          <w:rFonts w:ascii="Arial" w:cs="Arial" w:eastAsia="Arial" w:hAnsi="Arial"/>
          <w:b w:val="false"/>
          <w:bCs w:val="false"/>
          <w:i w:val="false"/>
          <w:iCs w:val="false"/>
          <w:color w:val="1A1A1A"/>
          <w:sz w:val="22"/>
          <w:szCs w:val="22"/>
        </w:rPr>
        <w:t xml:space="preserve">All NexaCorp personnel are expected to:</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Act with honesty, transparency, and fairness in all professional dealings, including interactions with clients, vendors, regulators, and colleagues.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Comply fully with all applicable laws, regulations, and NexaCorp policies in every jurisdiction where the company operates.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Promptly report actual or suspected violations of this Code through the designated reporting channels (see Section 2.5).</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Exercise sound judgment and seek guidance when uncertain about the ethical or legal implications of a business decision.</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Avoid actions that could create even the appearance of impropriety, regardless of intent.</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Protect confidential information, trade secrets, and intellectual property belonging to NexaCorp, its clients, partners, and employees.</w:t>
      </w:r>
    </w:p>
    <w:p>
      <w:pPr>
        <w:pStyle w:val="Heading3"/>
        <w:spacing w:after="100" w:before="220"/>
      </w:pPr>
      <w:r>
        <w:rPr>
          <w:rFonts w:ascii="Arial" w:cs="Arial" w:eastAsia="Arial" w:hAnsi="Arial"/>
          <w:b/>
          <w:bCs/>
          <w:color w:val="1B3A6B"/>
          <w:sz w:val="24"/>
          <w:szCs w:val="24"/>
        </w:rPr>
        <w:t xml:space="preserve">2.1.2 Personal Conduct Standards</w:t>
      </w:r>
    </w:p>
    <w:p>
      <w:pPr>
        <w:spacing w:after="100" w:before="80" w:line="276" w:lineRule="auto"/>
        <w:jc w:val="both"/>
      </w:pPr>
      <w:r>
        <w:rPr>
          <w:rFonts w:ascii="Arial" w:cs="Arial" w:eastAsia="Arial" w:hAnsi="Arial"/>
          <w:b w:val="false"/>
          <w:bCs w:val="false"/>
          <w:i w:val="false"/>
          <w:iCs w:val="false"/>
          <w:color w:val="1A1A1A"/>
          <w:sz w:val="22"/>
          <w:szCs w:val="22"/>
        </w:rPr>
        <w:t xml:space="preserve">Professional conduct is expected both within NexaCorp premises and in any external context where an employee's actions could reasonably be associated with or reflect upon the company. This includes but is not limited to: client sites, industry conferences, business travel, company-sponsored social events, and public-facing social media activity.</w:t>
      </w:r>
    </w:p>
    <w:p>
      <w:pPr>
        <w:spacing w:after="100" w:before="80" w:line="276" w:lineRule="auto"/>
        <w:jc w:val="both"/>
      </w:pPr>
      <w:r>
        <w:rPr>
          <w:rFonts w:ascii="Arial" w:cs="Arial" w:eastAsia="Arial" w:hAnsi="Arial"/>
          <w:b w:val="false"/>
          <w:bCs w:val="false"/>
          <w:i w:val="false"/>
          <w:iCs w:val="false"/>
          <w:color w:val="1A1A1A"/>
          <w:sz w:val="22"/>
          <w:szCs w:val="22"/>
        </w:rPr>
        <w:t xml:space="preserve">Employees must not engage in any conduct that undermines team cohesion, destroys client confidence, or brings NexaCorp into disrepute. Behaviour that is lawful but inconsistent with NexaCorp's values may still result in disciplinary action if it materially affects the company's reputation or business relationships.</w:t>
      </w:r>
    </w:p>
    <w:p>
      <w:pPr>
        <w:pStyle w:val="Heading2"/>
        <w:spacing w:after="140" w:before="300"/>
      </w:pPr>
      <w:r>
        <w:rPr>
          <w:rFonts w:ascii="Arial" w:cs="Arial" w:eastAsia="Arial" w:hAnsi="Arial"/>
          <w:b/>
          <w:bCs/>
          <w:color w:val="2E75B6"/>
          <w:sz w:val="28"/>
          <w:szCs w:val="28"/>
        </w:rPr>
        <w:t xml:space="preserve">2.2 Conflicts of Interest</w:t>
      </w:r>
    </w:p>
    <w:p>
      <w:pPr>
        <w:pStyle w:val="Heading3"/>
        <w:spacing w:after="100" w:before="220"/>
      </w:pPr>
      <w:r>
        <w:rPr>
          <w:rFonts w:ascii="Arial" w:cs="Arial" w:eastAsia="Arial" w:hAnsi="Arial"/>
          <w:b/>
          <w:bCs/>
          <w:color w:val="1B3A6B"/>
          <w:sz w:val="24"/>
          <w:szCs w:val="24"/>
        </w:rPr>
        <w:t xml:space="preserve">2.2.1 Definition</w:t>
      </w:r>
    </w:p>
    <w:p>
      <w:pPr>
        <w:spacing w:after="100" w:before="80" w:line="276" w:lineRule="auto"/>
        <w:jc w:val="both"/>
      </w:pPr>
      <w:r>
        <w:rPr>
          <w:rFonts w:ascii="Arial" w:cs="Arial" w:eastAsia="Arial" w:hAnsi="Arial"/>
          <w:b w:val="false"/>
          <w:bCs w:val="false"/>
          <w:i w:val="false"/>
          <w:iCs w:val="false"/>
          <w:color w:val="1A1A1A"/>
          <w:sz w:val="22"/>
          <w:szCs w:val="22"/>
        </w:rPr>
        <w:t xml:space="preserve">A conflict of interest arises when an employee's personal interests, financial interests, or outside relationships interfere — or could reasonably appear to interfere — with their ability to act in the best interests of NexaCorp and its clients. Conflicts of interest are not automatically prohibited, but they must be promptly disclosed and managed in accordance with this policy.</w:t>
      </w:r>
    </w:p>
    <w:p>
      <w:pPr>
        <w:pStyle w:val="Heading3"/>
        <w:spacing w:after="100" w:before="220"/>
      </w:pPr>
      <w:r>
        <w:rPr>
          <w:rFonts w:ascii="Arial" w:cs="Arial" w:eastAsia="Arial" w:hAnsi="Arial"/>
          <w:b/>
          <w:bCs/>
          <w:color w:val="1B3A6B"/>
          <w:sz w:val="24"/>
          <w:szCs w:val="24"/>
        </w:rPr>
        <w:t xml:space="preserve">2.2.2 Common Conflict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2040"/>
        <w:gridCol w:w="3360"/>
      </w:tblGrid>
      <w:tr>
        <w:trPr>
          <w:tblHeader/>
        </w:trPr>
        <w:tc>
          <w:tcPr>
            <w:tcW w:type="dxa" w:w="39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Scenario</w:t>
            </w:r>
          </w:p>
        </w:tc>
        <w:tc>
          <w:tcPr>
            <w:tcW w:type="dxa" w:w="204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Disclosure Required?</w:t>
            </w:r>
          </w:p>
        </w:tc>
        <w:tc>
          <w:tcPr>
            <w:tcW w:type="dxa" w:w="33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Approval Required?</w:t>
            </w:r>
          </w:p>
        </w:tc>
      </w:tr>
      <w:tr>
        <w:tc>
          <w:tcPr>
            <w:tcW w:type="dxa" w:w="39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Owning &gt;1% equity in a NexaCorp competitor</w:t>
            </w:r>
          </w:p>
        </w:tc>
        <w:tc>
          <w:tcPr>
            <w:tcW w:type="dxa" w:w="20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Yes — Immediate</w:t>
            </w:r>
          </w:p>
        </w:tc>
        <w:tc>
          <w:tcPr>
            <w:tcW w:type="dxa" w:w="33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Yes — CLO + CPO</w:t>
            </w:r>
          </w:p>
        </w:tc>
      </w:tr>
      <w:tr>
        <w:tc>
          <w:tcPr>
            <w:tcW w:type="dxa" w:w="39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Spouse or domestic partner employed by a key vendor</w:t>
            </w:r>
          </w:p>
        </w:tc>
        <w:tc>
          <w:tcPr>
            <w:tcW w:type="dxa" w:w="20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Yes — Within 30 days</w:t>
            </w:r>
          </w:p>
        </w:tc>
        <w:tc>
          <w:tcPr>
            <w:tcW w:type="dxa" w:w="33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Yes — Direct Manager + HR</w:t>
            </w:r>
          </w:p>
        </w:tc>
      </w:tr>
      <w:tr>
        <w:tc>
          <w:tcPr>
            <w:tcW w:type="dxa" w:w="39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Serving on a non-profit board</w:t>
            </w:r>
          </w:p>
        </w:tc>
        <w:tc>
          <w:tcPr>
            <w:tcW w:type="dxa" w:w="20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Yes — Prior to acceptance</w:t>
            </w:r>
          </w:p>
        </w:tc>
        <w:tc>
          <w:tcPr>
            <w:tcW w:type="dxa" w:w="33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No — Notification sufficient</w:t>
            </w:r>
          </w:p>
        </w:tc>
      </w:tr>
      <w:tr>
        <w:tc>
          <w:tcPr>
            <w:tcW w:type="dxa" w:w="39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Serving on a for-profit board</w:t>
            </w:r>
          </w:p>
        </w:tc>
        <w:tc>
          <w:tcPr>
            <w:tcW w:type="dxa" w:w="20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Yes — Prior to acceptance</w:t>
            </w:r>
          </w:p>
        </w:tc>
        <w:tc>
          <w:tcPr>
            <w:tcW w:type="dxa" w:w="33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Yes — CEO + CLO</w:t>
            </w:r>
          </w:p>
        </w:tc>
      </w:tr>
      <w:tr>
        <w:tc>
          <w:tcPr>
            <w:tcW w:type="dxa" w:w="39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Referring a family member for a NexaCorp position</w:t>
            </w:r>
          </w:p>
        </w:tc>
        <w:tc>
          <w:tcPr>
            <w:tcW w:type="dxa" w:w="20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Yes — Before referral</w:t>
            </w:r>
          </w:p>
        </w:tc>
        <w:tc>
          <w:tcPr>
            <w:tcW w:type="dxa" w:w="33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Yes — HR must approve hiring process</w:t>
            </w:r>
          </w:p>
        </w:tc>
      </w:tr>
      <w:tr>
        <w:tc>
          <w:tcPr>
            <w:tcW w:type="dxa" w:w="39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Personal investment in a client company (&lt;$10K)</w:t>
            </w:r>
          </w:p>
        </w:tc>
        <w:tc>
          <w:tcPr>
            <w:tcW w:type="dxa" w:w="20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Yes — Within 14 days</w:t>
            </w:r>
          </w:p>
        </w:tc>
        <w:tc>
          <w:tcPr>
            <w:tcW w:type="dxa" w:w="33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No — Monitoring sufficient</w:t>
            </w:r>
          </w:p>
        </w:tc>
      </w:tr>
      <w:tr>
        <w:tc>
          <w:tcPr>
            <w:tcW w:type="dxa" w:w="39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Receiving unsolicited gifts &gt;$100 in value</w:t>
            </w:r>
          </w:p>
        </w:tc>
        <w:tc>
          <w:tcPr>
            <w:tcW w:type="dxa" w:w="20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Yes — Within 7 days</w:t>
            </w:r>
          </w:p>
        </w:tc>
        <w:tc>
          <w:tcPr>
            <w:tcW w:type="dxa" w:w="33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See Gift Policy (2.3)</w:t>
            </w:r>
          </w:p>
        </w:tc>
      </w:tr>
      <w:tr>
        <w:tc>
          <w:tcPr>
            <w:tcW w:type="dxa" w:w="39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Freelance work for a NexaCorp client</w:t>
            </w:r>
          </w:p>
        </w:tc>
        <w:tc>
          <w:tcPr>
            <w:tcW w:type="dxa" w:w="20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Yes — Before commencing</w:t>
            </w:r>
          </w:p>
        </w:tc>
        <w:tc>
          <w:tcPr>
            <w:tcW w:type="dxa" w:w="33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Yes — CPO approval required</w:t>
            </w:r>
          </w:p>
        </w:tc>
      </w:tr>
    </w:tbl>
    <w:p>
      <w:pPr>
        <w:spacing w:after="100" w:before="100"/>
      </w:pPr>
    </w:p>
    <w:p>
      <w:pPr>
        <w:pStyle w:val="Heading3"/>
        <w:spacing w:after="100" w:before="220"/>
      </w:pPr>
      <w:r>
        <w:rPr>
          <w:rFonts w:ascii="Arial" w:cs="Arial" w:eastAsia="Arial" w:hAnsi="Arial"/>
          <w:b/>
          <w:bCs/>
          <w:color w:val="1B3A6B"/>
          <w:sz w:val="24"/>
          <w:szCs w:val="24"/>
        </w:rPr>
        <w:t xml:space="preserve">2.2.3 Disclosure &amp; Recusal Process</w:t>
      </w:r>
    </w:p>
    <w:p>
      <w:pPr>
        <w:spacing w:after="100" w:before="80" w:line="276" w:lineRule="auto"/>
        <w:jc w:val="both"/>
      </w:pPr>
      <w:r>
        <w:rPr>
          <w:rFonts w:ascii="Arial" w:cs="Arial" w:eastAsia="Arial" w:hAnsi="Arial"/>
          <w:b w:val="false"/>
          <w:bCs w:val="false"/>
          <w:i w:val="false"/>
          <w:iCs w:val="false"/>
          <w:color w:val="1A1A1A"/>
          <w:sz w:val="22"/>
          <w:szCs w:val="22"/>
        </w:rPr>
        <w:t xml:space="preserve">Employees who identify a potential conflict of interest must complete a Conflict of Interest Disclosure Form (COIDF-001) available on the HR portal within the applicable timeframe listed above. Upon submission, the following process applies:</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The Ethics &amp; Compliance Committee (ECC) will review the disclosure within ten (10) business days.</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A written determination will be issued classifying the conflict as (a) No Conflict, (b) Manageable Conflict with Conditions, or (c) Disqualifying Conflict.</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Where conditions are imposed, they may include recusal from specific decisions, divestiture of financial interests, or restructuring of reporting relationships.</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The employee must sign an acknowledgement of the conditions and maintain compliance throughout their employment.</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Annual re-certification of conflict disclosures is required as part of the Ethics Acknowledgement process.</w:t>
      </w:r>
    </w:p>
    <w:p>
      <w:pPr>
        <w:pBdr>
          <w:left w:val="single" w:color="E36B00" w:sz="12" w:space="8"/>
        </w:pBdr>
        <w:spacing w:after="120" w:before="120"/>
        <w:ind w:left="360" w:right="360"/>
      </w:pPr>
      <w:r>
        <w:rPr>
          <w:rFonts w:ascii="Arial" w:cs="Arial" w:eastAsia="Arial" w:hAnsi="Arial"/>
          <w:b/>
          <w:bCs/>
          <w:color w:val="E36B00"/>
          <w:sz w:val="20"/>
          <w:szCs w:val="20"/>
        </w:rPr>
        <w:t xml:space="preserve">WARNING: </w:t>
      </w:r>
      <w:r>
        <w:rPr>
          <w:rFonts w:ascii="Arial" w:cs="Arial" w:eastAsia="Arial" w:hAnsi="Arial"/>
          <w:i/>
          <w:iCs/>
          <w:color w:val="1A1A1A"/>
          <w:sz w:val="20"/>
          <w:szCs w:val="20"/>
        </w:rPr>
        <w:t xml:space="preserve">Failure to disclose a known conflict of interest is itself a material violation of this Code and may result in termination of employment, regardless of whether any actual harm resulted.</w:t>
      </w:r>
    </w:p>
    <w:p>
      <w:pPr>
        <w:pStyle w:val="Heading2"/>
        <w:spacing w:after="140" w:before="300"/>
      </w:pPr>
      <w:r>
        <w:rPr>
          <w:rFonts w:ascii="Arial" w:cs="Arial" w:eastAsia="Arial" w:hAnsi="Arial"/>
          <w:b/>
          <w:bCs/>
          <w:color w:val="2E75B6"/>
          <w:sz w:val="28"/>
          <w:szCs w:val="28"/>
        </w:rPr>
        <w:t xml:space="preserve">2.3 Gifts, Entertainment &amp; Anti-Bribery</w:t>
      </w:r>
    </w:p>
    <w:p>
      <w:pPr>
        <w:pStyle w:val="Heading3"/>
        <w:spacing w:after="100" w:before="220"/>
      </w:pPr>
      <w:r>
        <w:rPr>
          <w:rFonts w:ascii="Arial" w:cs="Arial" w:eastAsia="Arial" w:hAnsi="Arial"/>
          <w:b/>
          <w:bCs/>
          <w:color w:val="1B3A6B"/>
          <w:sz w:val="24"/>
          <w:szCs w:val="24"/>
        </w:rPr>
        <w:t xml:space="preserve">2.3.1 Policy Purpose</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prohibits bribery and corruption in all forms and in every jurisdiction without exception. This prohibition applies whether or not the relevant country's local law contains equivalent protections. NexaCorp's obligations include, but are not limited to, compliance with the US Foreign Corrupt Practices Act (FCPA), the UK Bribery Act 2010, and applicable OECD Anti-Bribery Convention standards.</w:t>
      </w:r>
    </w:p>
    <w:p>
      <w:pPr>
        <w:pStyle w:val="Heading3"/>
        <w:spacing w:after="100" w:before="220"/>
      </w:pPr>
      <w:r>
        <w:rPr>
          <w:rFonts w:ascii="Arial" w:cs="Arial" w:eastAsia="Arial" w:hAnsi="Arial"/>
          <w:b/>
          <w:bCs/>
          <w:color w:val="1B3A6B"/>
          <w:sz w:val="24"/>
          <w:szCs w:val="24"/>
        </w:rPr>
        <w:t xml:space="preserve">2.3.2 Gifts — Employees May Accept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rPr>
          <w:tblHeader/>
        </w:trPr>
        <w:tc>
          <w:tcPr>
            <w:tcW w:type="dxa" w:w="36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Gift Type</w:t>
            </w:r>
          </w:p>
        </w:tc>
        <w:tc>
          <w:tcPr>
            <w:tcW w:type="dxa" w:w="21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Max Value (USD)</w:t>
            </w:r>
          </w:p>
        </w:tc>
        <w:tc>
          <w:tcPr>
            <w:tcW w:type="dxa" w:w="36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Conditions</w:t>
            </w:r>
          </w:p>
        </w:tc>
      </w:tr>
      <w:tr>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Branded merchandise (pens, mugs, bags)</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$75</w:t>
            </w:r>
          </w:p>
        </w:tc>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No disclosure required</w:t>
            </w:r>
          </w:p>
        </w:tc>
      </w:tr>
      <w:tr>
        <w:tc>
          <w:tcPr>
            <w:tcW w:type="dxa" w:w="36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Meals hosted by vendor/client</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$150 per person</w:t>
            </w:r>
          </w:p>
        </w:tc>
        <w:tc>
          <w:tcPr>
            <w:tcW w:type="dxa" w:w="36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Must be business-related; manager notification</w:t>
            </w:r>
          </w:p>
        </w:tc>
      </w:tr>
      <w:tr>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Event tickets (cultural, sporting)</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$200 per event</w:t>
            </w:r>
          </w:p>
        </w:tc>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Supervisor pre-approval; COIDF if recurring</w:t>
            </w:r>
          </w:p>
        </w:tc>
      </w:tr>
      <w:tr>
        <w:tc>
          <w:tcPr>
            <w:tcW w:type="dxa" w:w="36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Holiday gift baskets</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$100</w:t>
            </w:r>
          </w:p>
        </w:tc>
        <w:tc>
          <w:tcPr>
            <w:tcW w:type="dxa" w:w="36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Departmental disclosure only</w:t>
            </w:r>
          </w:p>
        </w:tc>
      </w:tr>
      <w:tr>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Travel, hotel, or accommodation</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$0 — Prohibited</w:t>
            </w:r>
          </w:p>
        </w:tc>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No exceptions without ELT + CLO approval</w:t>
            </w:r>
          </w:p>
        </w:tc>
      </w:tr>
      <w:tr>
        <w:tc>
          <w:tcPr>
            <w:tcW w:type="dxa" w:w="36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Cash or cash equivalents (gift cards)</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$0 — Prohibited</w:t>
            </w:r>
          </w:p>
        </w:tc>
        <w:tc>
          <w:tcPr>
            <w:tcW w:type="dxa" w:w="36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Absolute prohibition; no exceptions</w:t>
            </w:r>
          </w:p>
        </w:tc>
      </w:tr>
      <w:tr>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Gifts from regulated industry clients</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$0 — Prohibited</w:t>
            </w:r>
          </w:p>
        </w:tc>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Subject to more restrictive client rules</w:t>
            </w:r>
          </w:p>
        </w:tc>
      </w:tr>
    </w:tbl>
    <w:p>
      <w:pPr>
        <w:spacing w:after="100" w:before="100"/>
      </w:pPr>
    </w:p>
    <w:p>
      <w:pPr>
        <w:pBdr>
          <w:left w:val="single" w:color="2E75B6" w:sz="12" w:space="8"/>
        </w:pBdr>
        <w:spacing w:after="120" w:before="120"/>
        <w:ind w:left="360" w:right="360"/>
      </w:pPr>
      <w:r>
        <w:rPr>
          <w:rFonts w:ascii="Arial" w:cs="Arial" w:eastAsia="Arial" w:hAnsi="Arial"/>
          <w:b/>
          <w:bCs/>
          <w:color w:val="2E75B6"/>
          <w:sz w:val="20"/>
          <w:szCs w:val="20"/>
        </w:rPr>
        <w:t xml:space="preserve">NOTE: </w:t>
      </w:r>
      <w:r>
        <w:rPr>
          <w:rFonts w:ascii="Arial" w:cs="Arial" w:eastAsia="Arial" w:hAnsi="Arial"/>
          <w:i/>
          <w:iCs/>
          <w:color w:val="1A1A1A"/>
          <w:sz w:val="20"/>
          <w:szCs w:val="20"/>
        </w:rPr>
        <w:t xml:space="preserve">Gifts received above the stated thresholds must be returned to the sender with a polite explanation citing company policy, or surrendered to the Office Manager for charitable donation. A record must be submitted to the Ethics Hotline portal within 7 days.</w:t>
      </w:r>
    </w:p>
    <w:p>
      <w:pPr>
        <w:pStyle w:val="Heading3"/>
        <w:spacing w:after="100" w:before="220"/>
      </w:pPr>
      <w:r>
        <w:rPr>
          <w:rFonts w:ascii="Arial" w:cs="Arial" w:eastAsia="Arial" w:hAnsi="Arial"/>
          <w:b/>
          <w:bCs/>
          <w:color w:val="1B3A6B"/>
          <w:sz w:val="24"/>
          <w:szCs w:val="24"/>
        </w:rPr>
        <w:t xml:space="preserve">2.3.3 Government Officials — Zero Tolerance</w:t>
      </w:r>
    </w:p>
    <w:p>
      <w:pPr>
        <w:spacing w:after="100" w:before="80" w:line="276" w:lineRule="auto"/>
        <w:jc w:val="both"/>
      </w:pPr>
      <w:r>
        <w:rPr>
          <w:rFonts w:ascii="Arial" w:cs="Arial" w:eastAsia="Arial" w:hAnsi="Arial"/>
          <w:b w:val="false"/>
          <w:bCs w:val="false"/>
          <w:i w:val="false"/>
          <w:iCs w:val="false"/>
          <w:color w:val="1A1A1A"/>
          <w:sz w:val="22"/>
          <w:szCs w:val="22"/>
        </w:rPr>
        <w:t xml:space="preserve">No gift, meal, entertainment, travel, or payment of any value may be offered to any government official, public sector employee, or member of a ruling royal family without prior written approval from the CLO and, where required, external legal counsel in the relevant jurisdiction. This prohibition applies globally and covers officials at every level of government — local, state/provincial, national, and supranational.</w:t>
      </w:r>
    </w:p>
    <w:p>
      <w:pPr>
        <w:pStyle w:val="Heading2"/>
        <w:spacing w:after="140" w:before="300"/>
      </w:pPr>
      <w:r>
        <w:rPr>
          <w:rFonts w:ascii="Arial" w:cs="Arial" w:eastAsia="Arial" w:hAnsi="Arial"/>
          <w:b/>
          <w:bCs/>
          <w:color w:val="2E75B6"/>
          <w:sz w:val="28"/>
          <w:szCs w:val="28"/>
        </w:rPr>
        <w:t xml:space="preserve">2.4 Insider Trading &amp; Securities Policy</w:t>
      </w:r>
    </w:p>
    <w:p>
      <w:pPr>
        <w:pStyle w:val="Heading3"/>
        <w:spacing w:after="100" w:before="220"/>
      </w:pPr>
      <w:r>
        <w:rPr>
          <w:rFonts w:ascii="Arial" w:cs="Arial" w:eastAsia="Arial" w:hAnsi="Arial"/>
          <w:b/>
          <w:bCs/>
          <w:color w:val="1B3A6B"/>
          <w:sz w:val="24"/>
          <w:szCs w:val="24"/>
        </w:rPr>
        <w:t xml:space="preserve">2.4.1 Scope &amp; Definition</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NexaCorp's securities policy applies to all employees, officers, directors, and contractors who in the course of their work may come into possession of material non-public information (MNPI) about NexaCorp or any publicly traded company with which NexaCorp has a business relationship. MNPI is any information that (a) has not been publicly disclosed through official channels, and (b) a reasonable investor would consider important in deciding whether to buy, sell, or hold securities.</w:t>
      </w:r>
    </w:p>
    <w:p>
      <w:pPr>
        <w:pStyle w:val="Heading3"/>
        <w:spacing w:after="100" w:before="220"/>
      </w:pPr>
      <w:r>
        <w:rPr>
          <w:rFonts w:ascii="Arial" w:cs="Arial" w:eastAsia="Arial" w:hAnsi="Arial"/>
          <w:b/>
          <w:bCs/>
          <w:color w:val="1B3A6B"/>
          <w:sz w:val="24"/>
          <w:szCs w:val="24"/>
        </w:rPr>
        <w:t xml:space="preserve">2.4.2 Prohibited Activities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Trading in NexaCorp securities while in possession of MNPI, regardless of whether the information was obtained through employment or other means.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Tipping — sharing MNPI with any third party (family, friends, professional advisors) who may trade on the basis of such information.</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Trading in the securities of any NexaCorp client, partner, or acquisition target while in possession of MNPI relating to that entity.</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Short-selling NexaCorp stock or purchasing put options on NexaCorp stock at any time.</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Participating in speculative trading strategies (hedging, margin accounts) using NexaCorp securities.</w:t>
      </w:r>
    </w:p>
    <w:p>
      <w:pPr>
        <w:pStyle w:val="Heading3"/>
        <w:spacing w:after="100" w:before="220"/>
      </w:pPr>
      <w:r>
        <w:rPr>
          <w:rFonts w:ascii="Arial" w:cs="Arial" w:eastAsia="Arial" w:hAnsi="Arial"/>
          <w:b/>
          <w:bCs/>
          <w:color w:val="1B3A6B"/>
          <w:sz w:val="24"/>
          <w:szCs w:val="24"/>
        </w:rPr>
        <w:t xml:space="preserve">2.4.3 Trading Windows &amp; Pre-Clearance</w:t>
      </w:r>
    </w:p>
    <w:p>
      <w:pPr>
        <w:spacing w:after="100" w:before="80" w:line="276" w:lineRule="auto"/>
        <w:jc w:val="both"/>
      </w:pPr>
      <w:r>
        <w:rPr>
          <w:rFonts w:ascii="Arial" w:cs="Arial" w:eastAsia="Arial" w:hAnsi="Arial"/>
          <w:b w:val="false"/>
          <w:bCs w:val="false"/>
          <w:i w:val="false"/>
          <w:iCs w:val="false"/>
          <w:color w:val="1A1A1A"/>
          <w:sz w:val="22"/>
          <w:szCs w:val="22"/>
        </w:rPr>
        <w:t xml:space="preserve">Designated Insiders (DIs) — comprising all ELT members, vice presidents, and employees in Finance, Legal, Strategy, and M&amp;A — are subject to mandatory trading windows. Trading windows open on the second business day following each quarterly earnings release and close 14 calendar days before the end of the subsequent quarter. All DI trades must be pre-cleared through the CLO's office at least 48 hours in advance.</w:t>
      </w:r>
    </w:p>
    <w:p>
      <w:pPr>
        <w:pBdr>
          <w:left w:val="single" w:color="E36B00" w:sz="12" w:space="8"/>
        </w:pBdr>
        <w:spacing w:after="120" w:before="120"/>
        <w:ind w:left="360" w:right="360"/>
      </w:pPr>
      <w:r>
        <w:rPr>
          <w:rFonts w:ascii="Arial" w:cs="Arial" w:eastAsia="Arial" w:hAnsi="Arial"/>
          <w:b/>
          <w:bCs/>
          <w:color w:val="E36B00"/>
          <w:sz w:val="20"/>
          <w:szCs w:val="20"/>
        </w:rPr>
        <w:t xml:space="preserve">WARNING: </w:t>
      </w:r>
      <w:r>
        <w:rPr>
          <w:rFonts w:ascii="Arial" w:cs="Arial" w:eastAsia="Arial" w:hAnsi="Arial"/>
          <w:i/>
          <w:iCs/>
          <w:color w:val="1A1A1A"/>
          <w:sz w:val="20"/>
          <w:szCs w:val="20"/>
        </w:rPr>
        <w:t xml:space="preserve">Non-DI employees are not subject to trading windows but remain bound by the prohibition on trading while in possession of MNPI. When in doubt, do not trade and seek guidance from the Legal department.</w:t>
      </w:r>
    </w:p>
    <w:p>
      <w:pPr>
        <w:pStyle w:val="Heading2"/>
        <w:spacing w:after="140" w:before="300"/>
      </w:pPr>
      <w:r>
        <w:rPr>
          <w:rFonts w:ascii="Arial" w:cs="Arial" w:eastAsia="Arial" w:hAnsi="Arial"/>
          <w:b/>
          <w:bCs/>
          <w:color w:val="2E75B6"/>
          <w:sz w:val="28"/>
          <w:szCs w:val="28"/>
        </w:rPr>
        <w:t xml:space="preserve">2.5 Whistleblower &amp; Non-Retaliation Policy</w:t>
      </w:r>
    </w:p>
    <w:p>
      <w:pPr>
        <w:pStyle w:val="Heading3"/>
        <w:spacing w:after="100" w:before="220"/>
      </w:pPr>
      <w:r>
        <w:rPr>
          <w:rFonts w:ascii="Arial" w:cs="Arial" w:eastAsia="Arial" w:hAnsi="Arial"/>
          <w:b/>
          <w:bCs/>
          <w:color w:val="1B3A6B"/>
          <w:sz w:val="24"/>
          <w:szCs w:val="24"/>
        </w:rPr>
        <w:t xml:space="preserve">2.5.1 Reporting Channels</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is committed to providing safe, confidential, and accessible channels through which employees can report concerns about actual or suspected violations of law, regulation, or company policy. The following reporting channels are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520"/>
        <w:gridCol w:w="1800"/>
        <w:gridCol w:w="2880"/>
      </w:tblGrid>
      <w:tr>
        <w:trPr>
          <w:tblHeader/>
        </w:trPr>
        <w:tc>
          <w:tcPr>
            <w:tcW w:type="dxa" w:w="21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Channel</w:t>
            </w:r>
          </w:p>
        </w:tc>
        <w:tc>
          <w:tcPr>
            <w:tcW w:type="dxa" w:w="25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Contact / Access</w:t>
            </w:r>
          </w:p>
        </w:tc>
        <w:tc>
          <w:tcPr>
            <w:tcW w:type="dxa" w:w="18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Availability</w:t>
            </w:r>
          </w:p>
        </w:tc>
        <w:tc>
          <w:tcPr>
            <w:tcW w:type="dxa" w:w="288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Anonymity</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Ethics Hotline (Telephone)</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+1-800-NEX-ETIX</w:t>
            </w:r>
          </w:p>
        </w:tc>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24/7/365</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Yes</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Ethics Web Portal</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ethics.nexacorp.com (internal)</w:t>
            </w:r>
          </w:p>
        </w:tc>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24/7/365</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Yes</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Direct Report to Manager</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Verbal or written</w:t>
            </w:r>
          </w:p>
        </w:tc>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Business hours</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No</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HR Business Partner</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hr@nexacorp.com</w:t>
            </w:r>
          </w:p>
        </w:tc>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Business hours</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Conditional</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General Counsel's Office</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legal-ethics@nexacorp.com</w:t>
            </w:r>
          </w:p>
        </w:tc>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Business hours</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Conditional</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External Regulator (SEC, FCA, etc.)</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Regulator's published channels</w:t>
            </w:r>
          </w:p>
        </w:tc>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Varies</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Per regulator policy</w:t>
            </w:r>
          </w:p>
        </w:tc>
      </w:tr>
    </w:tbl>
    <w:p>
      <w:pPr>
        <w:spacing w:after="100" w:before="100"/>
      </w:pPr>
    </w:p>
    <w:p>
      <w:pPr>
        <w:pStyle w:val="Heading3"/>
        <w:spacing w:after="100" w:before="220"/>
      </w:pPr>
      <w:r>
        <w:rPr>
          <w:rFonts w:ascii="Arial" w:cs="Arial" w:eastAsia="Arial" w:hAnsi="Arial"/>
          <w:b/>
          <w:bCs/>
          <w:color w:val="1B3A6B"/>
          <w:sz w:val="24"/>
          <w:szCs w:val="24"/>
        </w:rPr>
        <w:t xml:space="preserve">2.5.2 Non-Retaliation Guarantee</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strictly prohibits retaliation against any employee who in good faith reports a concern, participates in an investigation, or refuses to participate in conduct that they believe violates this Code or applicable law. Retaliation includes, but is not limited to: termination, demotion, disciplinary action, negative performance reviews, exclusion from projects, threats, harassment, or any other adverse employment action motivated by the employee's protected reporting activity.</w:t>
      </w:r>
    </w:p>
    <w:p>
      <w:pPr>
        <w:spacing w:after="100" w:before="80" w:line="276" w:lineRule="auto"/>
        <w:jc w:val="both"/>
      </w:pPr>
      <w:r>
        <w:rPr>
          <w:rFonts w:ascii="Arial" w:cs="Arial" w:eastAsia="Arial" w:hAnsi="Arial"/>
          <w:b w:val="false"/>
          <w:bCs w:val="false"/>
          <w:i w:val="false"/>
          <w:iCs w:val="false"/>
          <w:color w:val="1A1A1A"/>
          <w:sz w:val="22"/>
          <w:szCs w:val="22"/>
        </w:rPr>
        <w:t xml:space="preserve">Any manager or employee found to have engaged in retaliation against a whistleblower will be subject to immediate disciplinary action up to and including termination of employment, regardless of seniority or tenure.</w:t>
      </w:r>
    </w:p>
    <w:p>
      <w:pPr>
        <w:pBdr>
          <w:left w:val="single" w:color="2E75B6" w:sz="12" w:space="8"/>
        </w:pBdr>
        <w:spacing w:after="120" w:before="120"/>
        <w:ind w:left="360" w:right="360"/>
      </w:pPr>
      <w:r>
        <w:rPr>
          <w:rFonts w:ascii="Arial" w:cs="Arial" w:eastAsia="Arial" w:hAnsi="Arial"/>
          <w:b/>
          <w:bCs/>
          <w:color w:val="2E75B6"/>
          <w:sz w:val="20"/>
          <w:szCs w:val="20"/>
        </w:rPr>
        <w:t xml:space="preserve">NOTE: </w:t>
      </w:r>
      <w:r>
        <w:rPr>
          <w:rFonts w:ascii="Arial" w:cs="Arial" w:eastAsia="Arial" w:hAnsi="Arial"/>
          <w:i/>
          <w:iCs/>
          <w:color w:val="1A1A1A"/>
          <w:sz w:val="20"/>
          <w:szCs w:val="20"/>
        </w:rPr>
        <w:t xml:space="preserve">Good faith reporting does not mean the report must turn out to be correct. It means the reporter genuinely believed the information to indicate a potential violation. Bad faith or malicious false reports are not protected and may themselves result in disciplinary action.</w:t>
      </w:r>
    </w:p>
    <w:p>
      <w:pPr>
        <w:pStyle w:val="Heading3"/>
        <w:spacing w:after="100" w:before="220"/>
      </w:pPr>
      <w:r>
        <w:rPr>
          <w:rFonts w:ascii="Arial" w:cs="Arial" w:eastAsia="Arial" w:hAnsi="Arial"/>
          <w:b/>
          <w:bCs/>
          <w:color w:val="1B3A6B"/>
          <w:sz w:val="24"/>
          <w:szCs w:val="24"/>
        </w:rPr>
        <w:t xml:space="preserve">2.5.3 Investigation Process</w:t>
      </w:r>
    </w:p>
    <w:p>
      <w:pPr>
        <w:spacing w:after="100" w:before="80" w:line="276" w:lineRule="auto"/>
        <w:jc w:val="both"/>
      </w:pPr>
      <w:r>
        <w:rPr>
          <w:rFonts w:ascii="Arial" w:cs="Arial" w:eastAsia="Arial" w:hAnsi="Arial"/>
          <w:b w:val="false"/>
          <w:bCs w:val="false"/>
          <w:i w:val="false"/>
          <w:iCs w:val="false"/>
          <w:color w:val="1A1A1A"/>
          <w:sz w:val="22"/>
          <w:szCs w:val="22"/>
        </w:rPr>
        <w:t xml:space="preserve">All reports received through Ethics channels are triaged by the Ethics &amp; Compliance Committee within 3 business days. Investigations are conducted by qualified personnel independent of the subject of the complaint. Findings are documented and reported to the Audit &amp; Risk Committee. Reporters may request an update on the status of their report every 30 days.</w:t>
      </w:r>
    </w:p>
    <w:p>
      <w:pPr>
        <w:spacing w:after="0" w:before="0"/>
      </w:pPr>
      <w:r>
        <w:br w:type="page"/>
      </w:r>
    </w:p>
    <w:p>
      <w:pPr>
        <w:shd w:fill="1B3A6B" w:val="clear"/>
        <w:spacing w:after="300" w:before="500"/>
        <w:jc w:val="center"/>
      </w:pPr>
      <w:r>
        <w:rPr>
          <w:rFonts w:ascii="Arial" w:cs="Arial" w:eastAsia="Arial" w:hAnsi="Arial"/>
          <w:b/>
          <w:bCs/>
          <w:color w:val="FFFFFF"/>
          <w:sz w:val="32"/>
          <w:szCs w:val="32"/>
        </w:rPr>
        <w:t xml:space="preserve">  PART III — HUMAN RESOURCES POLICIES  </w:t>
      </w:r>
    </w:p>
    <w:p>
      <w:pPr>
        <w:spacing w:after="200" w:before="200"/>
      </w:pPr>
    </w:p>
    <w:p>
      <w:pPr>
        <w:pStyle w:val="Heading1"/>
        <w:pBdr>
          <w:bottom w:val="single" w:color="2E75B6" w:sz="8" w:space="4"/>
        </w:pBdr>
        <w:spacing w:after="200" w:before="400"/>
      </w:pPr>
      <w:r>
        <w:rPr>
          <w:rFonts w:ascii="Arial" w:cs="Arial" w:eastAsia="Arial" w:hAnsi="Arial"/>
          <w:b/>
          <w:bCs/>
          <w:color w:val="1B3A6B"/>
          <w:sz w:val="36"/>
          <w:szCs w:val="36"/>
        </w:rPr>
        <w:t xml:space="preserve">3. Human Resources Policies</w:t>
      </w:r>
    </w:p>
    <w:p>
      <w:pPr>
        <w:spacing w:after="100" w:before="80" w:line="276" w:lineRule="auto"/>
        <w:jc w:val="both"/>
      </w:pPr>
      <w:r>
        <w:rPr>
          <w:rFonts w:ascii="Arial" w:cs="Arial" w:eastAsia="Arial" w:hAnsi="Arial"/>
          <w:b w:val="false"/>
          <w:bCs w:val="false"/>
          <w:i w:val="false"/>
          <w:iCs w:val="false"/>
          <w:color w:val="1A1A1A"/>
          <w:sz w:val="22"/>
          <w:szCs w:val="22"/>
        </w:rPr>
        <w:t xml:space="preserve">This Part establishes NexaCorp's human resources policies applicable to all employees globally. Country-specific addenda attached to this handbook address legal variances at the jurisdiction level. In the event of a conflict, the more employee-protective provision shall prevail subject to applicable law.</w:t>
      </w:r>
    </w:p>
    <w:p>
      <w:pPr>
        <w:pStyle w:val="Heading2"/>
        <w:spacing w:after="140" w:before="300"/>
      </w:pPr>
      <w:r>
        <w:rPr>
          <w:rFonts w:ascii="Arial" w:cs="Arial" w:eastAsia="Arial" w:hAnsi="Arial"/>
          <w:b/>
          <w:bCs/>
          <w:color w:val="2E75B6"/>
          <w:sz w:val="28"/>
          <w:szCs w:val="28"/>
        </w:rPr>
        <w:t xml:space="preserve">3.1 Recruitment, Selection &amp; Onboarding</w:t>
      </w:r>
    </w:p>
    <w:p>
      <w:pPr>
        <w:pStyle w:val="Heading3"/>
        <w:spacing w:after="100" w:before="220"/>
      </w:pPr>
      <w:r>
        <w:rPr>
          <w:rFonts w:ascii="Arial" w:cs="Arial" w:eastAsia="Arial" w:hAnsi="Arial"/>
          <w:b/>
          <w:bCs/>
          <w:color w:val="1B3A6B"/>
          <w:sz w:val="24"/>
          <w:szCs w:val="24"/>
        </w:rPr>
        <w:t xml:space="preserve">3.1.1 Commitment to Fair Hiring</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is an equal opportunity employer and makes all hiring decisions on the basis of qualifications, skills, experience, and demonstrated potential — without regard to race, colour, religion, gender, gender identity or expression, sexual orientation, national origin, disability, age, veteran status, or any other characteristic protected by applicable law. All job postings must be reviewed and approved by HR prior to publication.</w:t>
      </w:r>
    </w:p>
    <w:p>
      <w:pPr>
        <w:pStyle w:val="Heading3"/>
        <w:spacing w:after="100" w:before="220"/>
      </w:pPr>
      <w:r>
        <w:rPr>
          <w:rFonts w:ascii="Arial" w:cs="Arial" w:eastAsia="Arial" w:hAnsi="Arial"/>
          <w:b/>
          <w:bCs/>
          <w:color w:val="1B3A6B"/>
          <w:sz w:val="24"/>
          <w:szCs w:val="24"/>
        </w:rPr>
        <w:t xml:space="preserve">3.1.2 Recruitment Process</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Hiring Manager submits an approved headcount request (HC-REQ form) through HRIS, attaching an updated role profile aligned to the NexaCorp Job Architecture Framework (JAF).</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HR Talent Acquisition (TA) assigns a dedicated recruiter who develops a sourcing strategy within 5 business days of HC-REQ approval.</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Job postings are published simultaneously on the internal career portal (minimum 5 business days) and external job boards. Internal candidates must be given equal consideration.</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All shortlisted candidates undergo a structured interview process using NexaCorp's Competency-Based Interview (CBI) methodology. A minimum of 3 interviewers is required for any roles at Grade 6 and above.</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Reference checks (minimum 2 professional references) are mandatory for all external hires. Background screening (criminal, education, employment verification) is conducted in compliance with local law.</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Offers of employment are extended exclusively in writing through the HRIS platform. Verbal offers are non-binding.</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Candidates must not commence work until a signed offer letter and all mandatory pre-employment checks have been satisfactorily completed.</w:t>
      </w:r>
    </w:p>
    <w:p>
      <w:pPr>
        <w:pStyle w:val="Heading3"/>
        <w:spacing w:after="100" w:before="220"/>
      </w:pPr>
      <w:r>
        <w:rPr>
          <w:rFonts w:ascii="Arial" w:cs="Arial" w:eastAsia="Arial" w:hAnsi="Arial"/>
          <w:b/>
          <w:bCs/>
          <w:color w:val="1B3A6B"/>
          <w:sz w:val="24"/>
          <w:szCs w:val="24"/>
        </w:rPr>
        <w:t xml:space="preserve">3.1.3 Onboarding Programme</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NexaCorp's structured onboarding programme (NexaStart™) is designed to ensure new hires are productive, culturally integrated, and compliant within their first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160"/>
        <w:gridCol w:w="5400"/>
      </w:tblGrid>
      <w:tr>
        <w:trPr>
          <w:tblHeader/>
        </w:trPr>
        <w:tc>
          <w:tcPr>
            <w:tcW w:type="dxa" w:w="18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21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Timeline</w:t>
            </w:r>
          </w:p>
        </w:tc>
        <w:tc>
          <w:tcPr>
            <w:tcW w:type="dxa" w:w="54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Key Activities</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Pre-Arrival</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5+ days before Day 1</w:t>
            </w:r>
          </w:p>
        </w:tc>
        <w:tc>
          <w:tcPr>
            <w:tcW w:type="dxa" w:w="5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Offer letter countersigned, equipment ordered, system accounts provisioned, buddy assigned</w:t>
            </w:r>
          </w:p>
        </w:tc>
      </w:tr>
      <w:tr>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Welcome Week</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Days 1–5</w:t>
            </w:r>
          </w:p>
        </w:tc>
        <w:tc>
          <w:tcPr>
            <w:tcW w:type="dxa" w:w="5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Orientation, culture sessions, benefits enrolment, IT setup, manager 1:1, team introductions</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Immersion</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Weeks 2–4</w:t>
            </w:r>
          </w:p>
        </w:tc>
        <w:tc>
          <w:tcPr>
            <w:tcW w:type="dxa" w:w="5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Role-specific technical training, NexaAcademy™ mandatory modules, shadow assignments</w:t>
            </w:r>
          </w:p>
        </w:tc>
      </w:tr>
      <w:tr>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Integration</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Months 2–3</w:t>
            </w:r>
          </w:p>
        </w:tc>
        <w:tc>
          <w:tcPr>
            <w:tcW w:type="dxa" w:w="5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First project assignment, 30-day check-in with HR BP, peer mentoring begins</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Consolidation</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End of Month 3</w:t>
            </w:r>
          </w:p>
        </w:tc>
        <w:tc>
          <w:tcPr>
            <w:tcW w:type="dxa" w:w="5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90-day performance conversation, confirmation of employment (where applicable)</w:t>
            </w:r>
          </w:p>
        </w:tc>
      </w:tr>
    </w:tbl>
    <w:p>
      <w:pPr>
        <w:spacing w:after="100" w:before="100"/>
      </w:pPr>
    </w:p>
    <w:p>
      <w:pPr>
        <w:pBdr>
          <w:left w:val="single" w:color="E36B00" w:sz="12" w:space="8"/>
        </w:pBdr>
        <w:spacing w:after="120" w:before="120"/>
        <w:ind w:left="360" w:right="360"/>
      </w:pPr>
      <w:r>
        <w:rPr>
          <w:rFonts w:ascii="Arial" w:cs="Arial" w:eastAsia="Arial" w:hAnsi="Arial"/>
          <w:b/>
          <w:bCs/>
          <w:color w:val="E36B00"/>
          <w:sz w:val="20"/>
          <w:szCs w:val="20"/>
        </w:rPr>
        <w:t xml:space="preserve">WARNING: </w:t>
      </w:r>
      <w:r>
        <w:rPr>
          <w:rFonts w:ascii="Arial" w:cs="Arial" w:eastAsia="Arial" w:hAnsi="Arial"/>
          <w:i/>
          <w:iCs/>
          <w:color w:val="1A1A1A"/>
          <w:sz w:val="20"/>
          <w:szCs w:val="20"/>
        </w:rPr>
        <w:t xml:space="preserve">Hiring managers are responsible for completing the Manager Onboarding Checklist within the HRIS system within 48 hours of the new hire's start date. Failure to do so will be flagged in the quarterly HR Compliance Report.</w:t>
      </w:r>
    </w:p>
    <w:p>
      <w:pPr>
        <w:pStyle w:val="Heading2"/>
        <w:spacing w:after="140" w:before="300"/>
      </w:pPr>
      <w:r>
        <w:rPr>
          <w:rFonts w:ascii="Arial" w:cs="Arial" w:eastAsia="Arial" w:hAnsi="Arial"/>
          <w:b/>
          <w:bCs/>
          <w:color w:val="2E75B6"/>
          <w:sz w:val="28"/>
          <w:szCs w:val="28"/>
        </w:rPr>
        <w:t xml:space="preserve">3.2 Employment Classifications</w:t>
      </w:r>
    </w:p>
    <w:p>
      <w:pPr>
        <w:pStyle w:val="Heading3"/>
        <w:spacing w:after="100" w:before="220"/>
      </w:pPr>
      <w:r>
        <w:rPr>
          <w:rFonts w:ascii="Arial" w:cs="Arial" w:eastAsia="Arial" w:hAnsi="Arial"/>
          <w:b/>
          <w:bCs/>
          <w:color w:val="1B3A6B"/>
          <w:sz w:val="24"/>
          <w:szCs w:val="24"/>
        </w:rPr>
        <w:t xml:space="preserve">3.2.1 Classification Types</w:t>
      </w:r>
    </w:p>
    <w:p>
      <w:pPr>
        <w:spacing w:after="100" w:before="80" w:line="276" w:lineRule="auto"/>
        <w:jc w:val="both"/>
      </w:pPr>
      <w:r>
        <w:rPr>
          <w:rFonts w:ascii="Arial" w:cs="Arial" w:eastAsia="Arial" w:hAnsi="Arial"/>
          <w:b w:val="false"/>
          <w:bCs w:val="false"/>
          <w:i w:val="false"/>
          <w:iCs w:val="false"/>
          <w:color w:val="1A1A1A"/>
          <w:sz w:val="22"/>
          <w:szCs w:val="22"/>
        </w:rPr>
        <w:t xml:space="preserve">Employment classifications determine benefits eligibility, overtime entitlement, and applicable HR policies. Misclassification of workers (particularly the improper classification of employees as independent contractors) creates significant legal, tax, and reputational risk. All classification decisions must be made by HR in conjunction with Finance and Legal.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1800"/>
        <w:gridCol w:w="2160"/>
      </w:tblGrid>
      <w:tr>
        <w:trPr>
          <w:tblHeader/>
        </w:trPr>
        <w:tc>
          <w:tcPr>
            <w:tcW w:type="dxa" w:w="24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Classification</w:t>
            </w:r>
          </w:p>
        </w:tc>
        <w:tc>
          <w:tcPr>
            <w:tcW w:type="dxa" w:w="30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Definition</w:t>
            </w:r>
          </w:p>
        </w:tc>
        <w:tc>
          <w:tcPr>
            <w:tcW w:type="dxa" w:w="18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Benefits Eligible?</w:t>
            </w:r>
          </w:p>
        </w:tc>
        <w:tc>
          <w:tcPr>
            <w:tcW w:type="dxa" w:w="21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FLSA Overtime?</w:t>
            </w:r>
          </w:p>
        </w:tc>
      </w:tr>
      <w:tr>
        <w:tc>
          <w:tcPr>
            <w:tcW w:type="dxa" w:w="2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Full-Time Employee (FTE)</w:t>
            </w:r>
          </w:p>
        </w:tc>
        <w:tc>
          <w:tcPr>
            <w:tcW w:type="dxa" w:w="30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Works scheduled ≥40 hrs/week on indefinite contract</w:t>
            </w:r>
          </w:p>
        </w:tc>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Full benefits</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If non-exempt</w:t>
            </w:r>
          </w:p>
        </w:tc>
      </w:tr>
      <w:tr>
        <w:tc>
          <w:tcPr>
            <w:tcW w:type="dxa" w:w="2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Part-Time Employee (PTE)</w:t>
            </w:r>
          </w:p>
        </w:tc>
        <w:tc>
          <w:tcPr>
            <w:tcW w:type="dxa" w:w="30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Works scheduled &lt;30 hrs/week on indefinite contract</w:t>
            </w:r>
          </w:p>
        </w:tc>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Prorated benefits</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If non-exempt</w:t>
            </w:r>
          </w:p>
        </w:tc>
      </w:tr>
      <w:tr>
        <w:tc>
          <w:tcPr>
            <w:tcW w:type="dxa" w:w="2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Fixed-Term Contract (FTC)</w:t>
            </w:r>
          </w:p>
        </w:tc>
        <w:tc>
          <w:tcPr>
            <w:tcW w:type="dxa" w:w="30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Employment for a defined period or project</w:t>
            </w:r>
          </w:p>
        </w:tc>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Prorated benefits</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If non-exempt</w:t>
            </w:r>
          </w:p>
        </w:tc>
      </w:tr>
      <w:tr>
        <w:tc>
          <w:tcPr>
            <w:tcW w:type="dxa" w:w="2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Temporary Employee</w:t>
            </w:r>
          </w:p>
        </w:tc>
        <w:tc>
          <w:tcPr>
            <w:tcW w:type="dxa" w:w="30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Engaged via staffing agency; not direct NexaCorp employees</w:t>
            </w:r>
          </w:p>
        </w:tc>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None (agency)</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Per agency contract</w:t>
            </w:r>
          </w:p>
        </w:tc>
      </w:tr>
      <w:tr>
        <w:tc>
          <w:tcPr>
            <w:tcW w:type="dxa" w:w="2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Independent Contractor</w:t>
            </w:r>
          </w:p>
        </w:tc>
        <w:tc>
          <w:tcPr>
            <w:tcW w:type="dxa" w:w="30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Self-employed; project-based; no employment relationship</w:t>
            </w:r>
          </w:p>
        </w:tc>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None</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N/A</w:t>
            </w:r>
          </w:p>
        </w:tc>
      </w:tr>
      <w:tr>
        <w:tc>
          <w:tcPr>
            <w:tcW w:type="dxa" w:w="2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Intern / Graduate Trainee</w:t>
            </w:r>
          </w:p>
        </w:tc>
        <w:tc>
          <w:tcPr>
            <w:tcW w:type="dxa" w:w="30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Structured programme of &lt;12 months duration</w:t>
            </w:r>
          </w:p>
        </w:tc>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Limited (see HR-INT-01)</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If non-exempt</w:t>
            </w:r>
          </w:p>
        </w:tc>
      </w:tr>
    </w:tbl>
    <w:p>
      <w:pPr>
        <w:spacing w:after="100" w:before="100"/>
      </w:pPr>
    </w:p>
    <w:p>
      <w:pPr>
        <w:pStyle w:val="Heading3"/>
        <w:spacing w:after="100" w:before="220"/>
      </w:pPr>
      <w:r>
        <w:rPr>
          <w:rFonts w:ascii="Arial" w:cs="Arial" w:eastAsia="Arial" w:hAnsi="Arial"/>
          <w:b/>
          <w:bCs/>
          <w:color w:val="1B3A6B"/>
          <w:sz w:val="24"/>
          <w:szCs w:val="24"/>
        </w:rPr>
        <w:t xml:space="preserve">3.2.2 Contractor Classification Test</w:t>
      </w:r>
    </w:p>
    <w:p>
      <w:pPr>
        <w:spacing w:after="100" w:before="80" w:line="276" w:lineRule="auto"/>
        <w:jc w:val="both"/>
      </w:pPr>
      <w:r>
        <w:rPr>
          <w:rFonts w:ascii="Arial" w:cs="Arial" w:eastAsia="Arial" w:hAnsi="Arial"/>
          <w:b w:val="false"/>
          <w:bCs w:val="false"/>
          <w:i w:val="false"/>
          <w:iCs w:val="false"/>
          <w:color w:val="1A1A1A"/>
          <w:sz w:val="22"/>
          <w:szCs w:val="22"/>
        </w:rPr>
        <w:t xml:space="preserve">Before engaging any individual as an independent contractor rather than as an employee, the hiring department must complete a Worker Classification Assessment (WCA) through the Legal department. The following factors are evaluated as part of the test, broadly aligned with IRS Common Law Rules and applicable state tests (including California AB5 where applicable):</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Behavioural Control: Does the company control how the worker performs tasks, or only the result?</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Financial Control: Does the worker have significant investment in tools, work for multiple clients, and bear the risk of profit/loss?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Type of Relationship: Is there a written contract, provision of employee-type benefits, and is the relationship indefinite or project-specific?</w:t>
      </w:r>
    </w:p>
    <w:p>
      <w:pPr>
        <w:pBdr>
          <w:left w:val="single" w:color="C00000" w:sz="12" w:space="8"/>
        </w:pBdr>
        <w:spacing w:after="120" w:before="120"/>
        <w:ind w:left="360" w:right="360"/>
      </w:pPr>
      <w:r>
        <w:rPr>
          <w:rFonts w:ascii="Arial" w:cs="Arial" w:eastAsia="Arial" w:hAnsi="Arial"/>
          <w:b/>
          <w:bCs/>
          <w:color w:val="C00000"/>
          <w:sz w:val="20"/>
          <w:szCs w:val="20"/>
        </w:rPr>
        <w:t xml:space="preserve">IMPORTANT: </w:t>
      </w:r>
      <w:r>
        <w:rPr>
          <w:rFonts w:ascii="Arial" w:cs="Arial" w:eastAsia="Arial" w:hAnsi="Arial"/>
          <w:i/>
          <w:iCs/>
          <w:color w:val="1A1A1A"/>
          <w:sz w:val="20"/>
          <w:szCs w:val="20"/>
        </w:rPr>
        <w:t xml:space="preserve">In California, the ABC test under AB5 applies to most occupational classifications and creates a strong presumption of employee status. All California contractor engagements require mandatory pre-approval by the CLO's office.</w:t>
      </w:r>
    </w:p>
    <w:p>
      <w:pPr>
        <w:pStyle w:val="Heading2"/>
        <w:spacing w:after="140" w:before="300"/>
      </w:pPr>
      <w:r>
        <w:rPr>
          <w:rFonts w:ascii="Arial" w:cs="Arial" w:eastAsia="Arial" w:hAnsi="Arial"/>
          <w:b/>
          <w:bCs/>
          <w:color w:val="2E75B6"/>
          <w:sz w:val="28"/>
          <w:szCs w:val="28"/>
        </w:rPr>
        <w:t xml:space="preserve">3.3 Compensation, Payroll &amp; Overtime</w:t>
      </w:r>
    </w:p>
    <w:p>
      <w:pPr>
        <w:pStyle w:val="Heading3"/>
        <w:spacing w:after="100" w:before="220"/>
      </w:pPr>
      <w:r>
        <w:rPr>
          <w:rFonts w:ascii="Arial" w:cs="Arial" w:eastAsia="Arial" w:hAnsi="Arial"/>
          <w:b/>
          <w:bCs/>
          <w:color w:val="1B3A6B"/>
          <w:sz w:val="24"/>
          <w:szCs w:val="24"/>
        </w:rPr>
        <w:t xml:space="preserve">3.3.1 Compensation Philosophy</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NexaCorp's compensation philosophy is designed to attract, retain, and motivate high-calibre talent by offering market-competitive total compensation packages. Total compensation comprises base salary, variable pay (short-term and long-term incentives), and benefits. NexaCorp targets the 65th percentile of the relevant talent market for base salary for employees performing at-expectation levels, rising to the 75th percentile for sustained high performers.</w:t>
      </w:r>
    </w:p>
    <w:p>
      <w:pPr>
        <w:spacing w:after="100" w:before="80" w:line="276" w:lineRule="auto"/>
        <w:jc w:val="both"/>
      </w:pPr>
      <w:r>
        <w:rPr>
          <w:rFonts w:ascii="Arial" w:cs="Arial" w:eastAsia="Arial" w:hAnsi="Arial"/>
          <w:b w:val="false"/>
          <w:bCs w:val="false"/>
          <w:i w:val="false"/>
          <w:iCs w:val="false"/>
          <w:color w:val="1A1A1A"/>
          <w:sz w:val="22"/>
          <w:szCs w:val="22"/>
        </w:rPr>
        <w:t xml:space="preserve">The relevant talent market is defined annually by the People Analytics team based on industry sector, role type, geographic location, and company size peer group. NexaCorp participates in and purchases data from at least three (3) recognised third-party compensation surveys annually.</w:t>
      </w:r>
    </w:p>
    <w:p>
      <w:pPr>
        <w:pStyle w:val="Heading3"/>
        <w:spacing w:after="100" w:before="220"/>
      </w:pPr>
      <w:r>
        <w:rPr>
          <w:rFonts w:ascii="Arial" w:cs="Arial" w:eastAsia="Arial" w:hAnsi="Arial"/>
          <w:b/>
          <w:bCs/>
          <w:color w:val="1B3A6B"/>
          <w:sz w:val="24"/>
          <w:szCs w:val="24"/>
        </w:rPr>
        <w:t xml:space="preserve">3.3.2 Grade &amp; Pay Band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160"/>
        <w:gridCol w:w="2880"/>
        <w:gridCol w:w="3600"/>
      </w:tblGrid>
      <w:tr>
        <w:trPr>
          <w:tblHeader/>
        </w:trPr>
        <w:tc>
          <w:tcPr>
            <w:tcW w:type="dxa" w:w="7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Grade</w:t>
            </w:r>
          </w:p>
        </w:tc>
        <w:tc>
          <w:tcPr>
            <w:tcW w:type="dxa" w:w="21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Job Level</w:t>
            </w:r>
          </w:p>
        </w:tc>
        <w:tc>
          <w:tcPr>
            <w:tcW w:type="dxa" w:w="288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Typical Titles</w:t>
            </w:r>
          </w:p>
        </w:tc>
        <w:tc>
          <w:tcPr>
            <w:tcW w:type="dxa" w:w="36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Base Salary Range (USD, US Market)</w:t>
            </w:r>
          </w:p>
        </w:tc>
      </w:tr>
      <w:tr>
        <w:tc>
          <w:tcPr>
            <w:tcW w:type="dxa" w:w="7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1–2</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Junior Individual Contributor</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Analyst I/II, Associate I/II</w:t>
            </w:r>
          </w:p>
        </w:tc>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$55,000 – $80,000</w:t>
            </w:r>
          </w:p>
        </w:tc>
      </w:tr>
      <w:tr>
        <w:tc>
          <w:tcPr>
            <w:tcW w:type="dxa" w:w="7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3–4</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Senior Individual Contributor</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Senior Analyst, Specialist, Engineer</w:t>
            </w:r>
          </w:p>
        </w:tc>
        <w:tc>
          <w:tcPr>
            <w:tcW w:type="dxa" w:w="36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$80,000 – $115,000</w:t>
            </w:r>
          </w:p>
        </w:tc>
      </w:tr>
      <w:tr>
        <w:tc>
          <w:tcPr>
            <w:tcW w:type="dxa" w:w="7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5–6</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Lead / Principal</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Lead Engineer, Principal Consultant, Senior Specialist</w:t>
            </w:r>
          </w:p>
        </w:tc>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$115,000 – $165,000</w:t>
            </w:r>
          </w:p>
        </w:tc>
      </w:tr>
      <w:tr>
        <w:tc>
          <w:tcPr>
            <w:tcW w:type="dxa" w:w="7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7–8</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Manager / Director</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Manager, Senior Manager, Director</w:t>
            </w:r>
          </w:p>
        </w:tc>
        <w:tc>
          <w:tcPr>
            <w:tcW w:type="dxa" w:w="36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$150,000 – $220,000</w:t>
            </w:r>
          </w:p>
        </w:tc>
      </w:tr>
      <w:tr>
        <w:tc>
          <w:tcPr>
            <w:tcW w:type="dxa" w:w="7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9–10</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Senior Director / VP</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Senior Director, Vice President</w:t>
            </w:r>
          </w:p>
        </w:tc>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$210,000 – $330,000</w:t>
            </w:r>
          </w:p>
        </w:tc>
      </w:tr>
      <w:tr>
        <w:tc>
          <w:tcPr>
            <w:tcW w:type="dxa" w:w="7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11–12</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ELT / C-Suite</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SVP, EVP, C-Suite Officers</w:t>
            </w:r>
          </w:p>
        </w:tc>
        <w:tc>
          <w:tcPr>
            <w:tcW w:type="dxa" w:w="36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$310,000+ (plus long-term incentives)</w:t>
            </w:r>
          </w:p>
        </w:tc>
      </w:tr>
    </w:tbl>
    <w:p>
      <w:pPr>
        <w:spacing w:after="100" w:before="100"/>
      </w:pPr>
    </w:p>
    <w:p>
      <w:pPr>
        <w:pBdr>
          <w:left w:val="single" w:color="2E75B6" w:sz="12" w:space="8"/>
        </w:pBdr>
        <w:spacing w:after="120" w:before="120"/>
        <w:ind w:left="360" w:right="360"/>
      </w:pPr>
      <w:r>
        <w:rPr>
          <w:rFonts w:ascii="Arial" w:cs="Arial" w:eastAsia="Arial" w:hAnsi="Arial"/>
          <w:b/>
          <w:bCs/>
          <w:color w:val="2E75B6"/>
          <w:sz w:val="20"/>
          <w:szCs w:val="20"/>
        </w:rPr>
        <w:t xml:space="preserve">NOTE: </w:t>
      </w:r>
      <w:r>
        <w:rPr>
          <w:rFonts w:ascii="Arial" w:cs="Arial" w:eastAsia="Arial" w:hAnsi="Arial"/>
          <w:i/>
          <w:iCs/>
          <w:color w:val="1A1A1A"/>
          <w:sz w:val="20"/>
          <w:szCs w:val="20"/>
        </w:rPr>
        <w:t xml:space="preserve">Pay bands are reviewed annually and may be adjusted based on market movement, internal equity analysis, and company financial performance. All salary changes must be approved through the HRIS system with dual approval (Manager + HR Business Partner) before communication to the employee.</w:t>
      </w:r>
    </w:p>
    <w:p>
      <w:pPr>
        <w:pStyle w:val="Heading3"/>
        <w:spacing w:after="100" w:before="220"/>
      </w:pPr>
      <w:r>
        <w:rPr>
          <w:rFonts w:ascii="Arial" w:cs="Arial" w:eastAsia="Arial" w:hAnsi="Arial"/>
          <w:b/>
          <w:bCs/>
          <w:color w:val="1B3A6B"/>
          <w:sz w:val="24"/>
          <w:szCs w:val="24"/>
        </w:rPr>
        <w:t xml:space="preserve">3.3.3 Variable Pay — Short-Term Incentive (STI)</w:t>
      </w:r>
    </w:p>
    <w:p>
      <w:pPr>
        <w:spacing w:after="100" w:before="80" w:line="276" w:lineRule="auto"/>
        <w:jc w:val="both"/>
      </w:pPr>
      <w:r>
        <w:rPr>
          <w:rFonts w:ascii="Arial" w:cs="Arial" w:eastAsia="Arial" w:hAnsi="Arial"/>
          <w:b w:val="false"/>
          <w:bCs w:val="false"/>
          <w:i w:val="false"/>
          <w:iCs w:val="false"/>
          <w:color w:val="1A1A1A"/>
          <w:sz w:val="22"/>
          <w:szCs w:val="22"/>
        </w:rPr>
        <w:t xml:space="preserve">The STI programme (NexaBonus™) is an annual cash incentive plan available to all employees at Grade 3 and above. STI targets are expressed as a percentage of annual base salary and increase with seniority. Final STI payouts are determined by the product of Company Performance Multiplier (CPM) and Individual Performance Rating (IPR).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4680"/>
      </w:tblGrid>
      <w:tr>
        <w:trPr>
          <w:tblHeader/>
        </w:trPr>
        <w:tc>
          <w:tcPr>
            <w:tcW w:type="dxa" w:w="18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Grade</w:t>
            </w:r>
          </w:p>
        </w:tc>
        <w:tc>
          <w:tcPr>
            <w:tcW w:type="dxa" w:w="288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STI Target % of Base</w:t>
            </w:r>
          </w:p>
        </w:tc>
        <w:tc>
          <w:tcPr>
            <w:tcW w:type="dxa" w:w="468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Max STI Payout (200% CPM + Exceptional IPR)</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3–4</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10%</w:t>
            </w:r>
          </w:p>
        </w:tc>
        <w:tc>
          <w:tcPr>
            <w:tcW w:type="dxa" w:w="46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20% of base salary</w:t>
            </w:r>
          </w:p>
        </w:tc>
      </w:tr>
      <w:tr>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5–6</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15%</w:t>
            </w:r>
          </w:p>
        </w:tc>
        <w:tc>
          <w:tcPr>
            <w:tcW w:type="dxa" w:w="46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30% of base salary</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7–8</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25%</w:t>
            </w:r>
          </w:p>
        </w:tc>
        <w:tc>
          <w:tcPr>
            <w:tcW w:type="dxa" w:w="46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50% of base salary</w:t>
            </w:r>
          </w:p>
        </w:tc>
      </w:tr>
      <w:tr>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9–10</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40%</w:t>
            </w:r>
          </w:p>
        </w:tc>
        <w:tc>
          <w:tcPr>
            <w:tcW w:type="dxa" w:w="46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80% of base salary</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11–12</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60–100%</w:t>
            </w:r>
          </w:p>
        </w:tc>
        <w:tc>
          <w:tcPr>
            <w:tcW w:type="dxa" w:w="46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120–200% of base salary</w:t>
            </w:r>
          </w:p>
        </w:tc>
      </w:tr>
    </w:tbl>
    <w:p>
      <w:pPr>
        <w:spacing w:after="100" w:before="100"/>
      </w:pPr>
    </w:p>
    <w:p>
      <w:pPr>
        <w:pStyle w:val="Heading3"/>
        <w:spacing w:after="100" w:before="220"/>
      </w:pPr>
      <w:r>
        <w:rPr>
          <w:rFonts w:ascii="Arial" w:cs="Arial" w:eastAsia="Arial" w:hAnsi="Arial"/>
          <w:b/>
          <w:bCs/>
          <w:color w:val="1B3A6B"/>
          <w:sz w:val="24"/>
          <w:szCs w:val="24"/>
        </w:rPr>
        <w:t xml:space="preserve">3.3.4 Long-Term Incentive (LTI) Programme</w:t>
      </w:r>
    </w:p>
    <w:p>
      <w:pPr>
        <w:spacing w:after="100" w:before="80" w:line="276" w:lineRule="auto"/>
        <w:jc w:val="both"/>
      </w:pPr>
      <w:r>
        <w:rPr>
          <w:rFonts w:ascii="Arial" w:cs="Arial" w:eastAsia="Arial" w:hAnsi="Arial"/>
          <w:b w:val="false"/>
          <w:bCs w:val="false"/>
          <w:i w:val="false"/>
          <w:iCs w:val="false"/>
          <w:color w:val="1A1A1A"/>
          <w:sz w:val="22"/>
          <w:szCs w:val="22"/>
        </w:rPr>
        <w:t xml:space="preserve">The NexaEquity™ LTI programme provides eligible employees (Grade 7 and above) with equity-based compensation in the form of Restricted Stock Units (RSUs) that vest over a four-year period using a 1-year cliff followed by quarterly vesting (25% after Year 1, then 6.25% per quarter for 12 additional quarters). LTI awards are discretionary and are made annually in February following the prior year's performance review cycle.</w:t>
      </w:r>
    </w:p>
    <w:p>
      <w:pPr>
        <w:pStyle w:val="Heading3"/>
        <w:spacing w:after="100" w:before="220"/>
      </w:pPr>
      <w:r>
        <w:rPr>
          <w:rFonts w:ascii="Arial" w:cs="Arial" w:eastAsia="Arial" w:hAnsi="Arial"/>
          <w:b/>
          <w:bCs/>
          <w:color w:val="1B3A6B"/>
          <w:sz w:val="24"/>
          <w:szCs w:val="24"/>
        </w:rPr>
        <w:t xml:space="preserve">3.3.5 Payroll Administration</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processes payroll on a semi-monthly basis (on the 15th and last business day of each month for salaried employees). Hourly employees are paid bi-weekly. Direct deposit is mandatory for all US employees. Employees must maintain current bank account information in the HRIS self-service portal. NexaCorp is not responsible for delays caused by employee-provided incorrect banking information.</w:t>
      </w:r>
    </w:p>
    <w:p>
      <w:pPr>
        <w:spacing w:after="100" w:before="80" w:line="276" w:lineRule="auto"/>
        <w:jc w:val="both"/>
      </w:pPr>
      <w:r>
        <w:rPr>
          <w:rFonts w:ascii="Arial" w:cs="Arial" w:eastAsia="Arial" w:hAnsi="Arial"/>
          <w:b w:val="false"/>
          <w:bCs w:val="false"/>
          <w:i w:val="false"/>
          <w:iCs w:val="false"/>
          <w:color w:val="1A1A1A"/>
          <w:sz w:val="22"/>
          <w:szCs w:val="22"/>
        </w:rPr>
        <w:t xml:space="preserve">All changes to bank account details must be verified through a two-step authentication process and approved by HR Operations within 3 business days. This safeguard exists to prevent payroll fraud and social engineering attacks.</w:t>
      </w:r>
    </w:p>
    <w:p>
      <w:pPr>
        <w:pStyle w:val="Heading3"/>
        <w:spacing w:after="100" w:before="220"/>
      </w:pPr>
      <w:r>
        <w:rPr>
          <w:rFonts w:ascii="Arial" w:cs="Arial" w:eastAsia="Arial" w:hAnsi="Arial"/>
          <w:b/>
          <w:bCs/>
          <w:color w:val="1B3A6B"/>
          <w:sz w:val="24"/>
          <w:szCs w:val="24"/>
        </w:rPr>
        <w:t xml:space="preserve">3.3.6 Overtime Policy</w:t>
      </w:r>
    </w:p>
    <w:p>
      <w:pPr>
        <w:spacing w:after="100" w:before="80" w:line="276" w:lineRule="auto"/>
        <w:jc w:val="both"/>
      </w:pPr>
      <w:r>
        <w:rPr>
          <w:rFonts w:ascii="Arial" w:cs="Arial" w:eastAsia="Arial" w:hAnsi="Arial"/>
          <w:b w:val="false"/>
          <w:bCs w:val="false"/>
          <w:i w:val="false"/>
          <w:iCs w:val="false"/>
          <w:color w:val="1A1A1A"/>
          <w:sz w:val="22"/>
          <w:szCs w:val="22"/>
        </w:rPr>
        <w:t xml:space="preserve">Non-exempt employees who work more than 40 hours in any workweek are entitled to overtime pay at the rate of 1.5 times their regular rate of pay for all hours in excess of 40. In California and other applicable states, daily overtime (hours in excess of 8 per day) and double-time rules apply as mandated by state law. All overtime must be pre-approved in writing by the employee's direct manager before the hours are worked. Retroactive overtime approval is permitted only in documented emergency situations.</w:t>
      </w:r>
    </w:p>
    <w:p>
      <w:pPr>
        <w:pBdr>
          <w:left w:val="single" w:color="E36B00" w:sz="12" w:space="8"/>
        </w:pBdr>
        <w:spacing w:after="120" w:before="120"/>
        <w:ind w:left="360" w:right="360"/>
      </w:pPr>
      <w:r>
        <w:rPr>
          <w:rFonts w:ascii="Arial" w:cs="Arial" w:eastAsia="Arial" w:hAnsi="Arial"/>
          <w:b/>
          <w:bCs/>
          <w:color w:val="E36B00"/>
          <w:sz w:val="20"/>
          <w:szCs w:val="20"/>
        </w:rPr>
        <w:t xml:space="preserve">WARNING: </w:t>
      </w:r>
      <w:r>
        <w:rPr>
          <w:rFonts w:ascii="Arial" w:cs="Arial" w:eastAsia="Arial" w:hAnsi="Arial"/>
          <w:i/>
          <w:iCs/>
          <w:color w:val="1A1A1A"/>
          <w:sz w:val="20"/>
          <w:szCs w:val="20"/>
        </w:rPr>
        <w:t xml:space="preserve">Managers who systematically discourage employees from recording all hours worked — including through indirect means such as cultural pressure — are in violation of the FLSA and NexaCorp policy and will be subject to immediate disciplinary action.</w:t>
      </w:r>
    </w:p>
    <w:p>
      <w:pPr>
        <w:pStyle w:val="Heading2"/>
        <w:spacing w:after="140" w:before="300"/>
      </w:pPr>
      <w:r>
        <w:rPr>
          <w:rFonts w:ascii="Arial" w:cs="Arial" w:eastAsia="Arial" w:hAnsi="Arial"/>
          <w:b/>
          <w:bCs/>
          <w:color w:val="2E75B6"/>
          <w:sz w:val="28"/>
          <w:szCs w:val="28"/>
        </w:rPr>
        <w:t xml:space="preserve">3.4 Benefits &amp; Employee Wellness</w:t>
      </w:r>
    </w:p>
    <w:p>
      <w:pPr>
        <w:pStyle w:val="Heading3"/>
        <w:spacing w:after="100" w:before="220"/>
      </w:pPr>
      <w:r>
        <w:rPr>
          <w:rFonts w:ascii="Arial" w:cs="Arial" w:eastAsia="Arial" w:hAnsi="Arial"/>
          <w:b/>
          <w:bCs/>
          <w:color w:val="1B3A6B"/>
          <w:sz w:val="24"/>
          <w:szCs w:val="24"/>
        </w:rPr>
        <w:t xml:space="preserve">3.4.1 Benefits Philosophy</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NexaCorp's benefits package is designed to support the whole employee — physical health, mental wellbeing, financial security, and family needs. The company reviews its benefits offerings annually and benchmarks against the top quartile of technology sector employers in each market. Benefits eligibility is determined by employment classification and geography. The following applies to US-based full-time employees unless otherwise stated.</w:t>
      </w:r>
    </w:p>
    <w:p>
      <w:pPr>
        <w:pStyle w:val="Heading3"/>
        <w:spacing w:after="100" w:before="220"/>
      </w:pPr>
      <w:r>
        <w:rPr>
          <w:rFonts w:ascii="Arial" w:cs="Arial" w:eastAsia="Arial" w:hAnsi="Arial"/>
          <w:b/>
          <w:bCs/>
          <w:color w:val="1B3A6B"/>
          <w:sz w:val="24"/>
          <w:szCs w:val="24"/>
        </w:rPr>
        <w:t xml:space="preserve">3.4.2 Medical, Dental &amp; Vision Benefits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60"/>
        <w:gridCol w:w="1560"/>
        <w:gridCol w:w="1560"/>
        <w:gridCol w:w="1440"/>
        <w:gridCol w:w="1840"/>
      </w:tblGrid>
      <w:tr>
        <w:trPr>
          <w:tblHeader/>
        </w:trPr>
        <w:tc>
          <w:tcPr>
            <w:tcW w:type="dxa" w:w="24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Plan</w:t>
            </w:r>
          </w:p>
        </w:tc>
        <w:tc>
          <w:tcPr>
            <w:tcW w:type="dxa" w:w="15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Employee Premium (Monthly)</w:t>
            </w:r>
          </w:p>
        </w:tc>
        <w:tc>
          <w:tcPr>
            <w:tcW w:type="dxa" w:w="15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Employee+Spouse</w:t>
            </w:r>
          </w:p>
        </w:tc>
        <w:tc>
          <w:tcPr>
            <w:tcW w:type="dxa" w:w="15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Employee+Family</w:t>
            </w:r>
          </w:p>
        </w:tc>
        <w:tc>
          <w:tcPr>
            <w:tcW w:type="dxa" w:w="144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Deductible</w:t>
            </w:r>
          </w:p>
        </w:tc>
        <w:tc>
          <w:tcPr>
            <w:tcW w:type="dxa" w:w="184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Out-of-Pocket Max</w:t>
            </w:r>
          </w:p>
        </w:tc>
      </w:tr>
      <w:tr>
        <w:tc>
          <w:tcPr>
            <w:tcW w:type="dxa" w:w="2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NexaCare™ Premium PPO</w:t>
            </w:r>
          </w:p>
        </w:tc>
        <w:tc>
          <w:tcPr>
            <w:tcW w:type="dxa" w:w="15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$85</w:t>
            </w:r>
          </w:p>
        </w:tc>
        <w:tc>
          <w:tcPr>
            <w:tcW w:type="dxa" w:w="15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$215</w:t>
            </w:r>
          </w:p>
        </w:tc>
        <w:tc>
          <w:tcPr>
            <w:tcW w:type="dxa" w:w="15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$310</w:t>
            </w:r>
          </w:p>
        </w:tc>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$500 individual</w:t>
            </w:r>
          </w:p>
        </w:tc>
        <w:tc>
          <w:tcPr>
            <w:tcW w:type="dxa" w:w="18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$2,500 individual</w:t>
            </w:r>
          </w:p>
        </w:tc>
      </w:tr>
      <w:tr>
        <w:tc>
          <w:tcPr>
            <w:tcW w:type="dxa" w:w="2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NexaCare™ Value HMO</w:t>
            </w:r>
          </w:p>
        </w:tc>
        <w:tc>
          <w:tcPr>
            <w:tcW w:type="dxa" w:w="15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$35</w:t>
            </w:r>
          </w:p>
        </w:tc>
        <w:tc>
          <w:tcPr>
            <w:tcW w:type="dxa" w:w="15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$105</w:t>
            </w:r>
          </w:p>
        </w:tc>
        <w:tc>
          <w:tcPr>
            <w:tcW w:type="dxa" w:w="15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$155</w:t>
            </w:r>
          </w:p>
        </w:tc>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$250 individual</w:t>
            </w:r>
          </w:p>
        </w:tc>
        <w:tc>
          <w:tcPr>
            <w:tcW w:type="dxa" w:w="18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$1,500 individual</w:t>
            </w:r>
          </w:p>
        </w:tc>
      </w:tr>
      <w:tr>
        <w:tc>
          <w:tcPr>
            <w:tcW w:type="dxa" w:w="2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NexaCare™ HDHP + HSA</w:t>
            </w:r>
          </w:p>
        </w:tc>
        <w:tc>
          <w:tcPr>
            <w:tcW w:type="dxa" w:w="15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$0</w:t>
            </w:r>
          </w:p>
        </w:tc>
        <w:tc>
          <w:tcPr>
            <w:tcW w:type="dxa" w:w="15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$80</w:t>
            </w:r>
          </w:p>
        </w:tc>
        <w:tc>
          <w:tcPr>
            <w:tcW w:type="dxa" w:w="15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$120</w:t>
            </w:r>
          </w:p>
        </w:tc>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$1,400 individual</w:t>
            </w:r>
          </w:p>
        </w:tc>
        <w:tc>
          <w:tcPr>
            <w:tcW w:type="dxa" w:w="18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$3,200 individual</w:t>
            </w:r>
          </w:p>
        </w:tc>
      </w:tr>
      <w:tr>
        <w:tc>
          <w:tcPr>
            <w:tcW w:type="dxa" w:w="2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Delta Dental Plus</w:t>
            </w:r>
          </w:p>
        </w:tc>
        <w:tc>
          <w:tcPr>
            <w:tcW w:type="dxa" w:w="15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$12</w:t>
            </w:r>
          </w:p>
        </w:tc>
        <w:tc>
          <w:tcPr>
            <w:tcW w:type="dxa" w:w="15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$32</w:t>
            </w:r>
          </w:p>
        </w:tc>
        <w:tc>
          <w:tcPr>
            <w:tcW w:type="dxa" w:w="15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$55</w:t>
            </w:r>
          </w:p>
        </w:tc>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$50 per person</w:t>
            </w:r>
          </w:p>
        </w:tc>
        <w:tc>
          <w:tcPr>
            <w:tcW w:type="dxa" w:w="18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$1,500 annual max (100% preventive)</w:t>
            </w:r>
          </w:p>
        </w:tc>
      </w:tr>
      <w:tr>
        <w:tc>
          <w:tcPr>
            <w:tcW w:type="dxa" w:w="2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VSP Vision Select</w:t>
            </w:r>
          </w:p>
        </w:tc>
        <w:tc>
          <w:tcPr>
            <w:tcW w:type="dxa" w:w="15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$6</w:t>
            </w:r>
          </w:p>
        </w:tc>
        <w:tc>
          <w:tcPr>
            <w:tcW w:type="dxa" w:w="15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$14</w:t>
            </w:r>
          </w:p>
        </w:tc>
        <w:tc>
          <w:tcPr>
            <w:tcW w:type="dxa" w:w="15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$20</w:t>
            </w:r>
          </w:p>
        </w:tc>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$20 exam copay</w:t>
            </w:r>
          </w:p>
        </w:tc>
        <w:tc>
          <w:tcPr>
            <w:tcW w:type="dxa" w:w="18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$200 frames allowance</w:t>
            </w:r>
          </w:p>
        </w:tc>
      </w:tr>
    </w:tbl>
    <w:p>
      <w:pPr>
        <w:spacing w:after="100" w:before="100"/>
      </w:pPr>
    </w:p>
    <w:p>
      <w:pPr>
        <w:pBdr>
          <w:left w:val="single" w:color="2E75B6" w:sz="12" w:space="8"/>
        </w:pBdr>
        <w:spacing w:after="120" w:before="120"/>
        <w:ind w:left="360" w:right="360"/>
      </w:pPr>
      <w:r>
        <w:rPr>
          <w:rFonts w:ascii="Arial" w:cs="Arial" w:eastAsia="Arial" w:hAnsi="Arial"/>
          <w:b/>
          <w:bCs/>
          <w:color w:val="2E75B6"/>
          <w:sz w:val="20"/>
          <w:szCs w:val="20"/>
        </w:rPr>
        <w:t xml:space="preserve">NOTE: </w:t>
      </w:r>
      <w:r>
        <w:rPr>
          <w:rFonts w:ascii="Arial" w:cs="Arial" w:eastAsia="Arial" w:hAnsi="Arial"/>
          <w:i/>
          <w:iCs/>
          <w:color w:val="1A1A1A"/>
          <w:sz w:val="20"/>
          <w:szCs w:val="20"/>
        </w:rPr>
        <w:t xml:space="preserve">NexaCorp contributes $800/year to the HSA of employees enrolled in the HDHP plan. Unused HSA balances roll over year-to-year and are portable. Employees leaving NexaCorp retain their accumulated HSA balance.</w:t>
      </w:r>
    </w:p>
    <w:p>
      <w:pPr>
        <w:pStyle w:val="Heading3"/>
        <w:spacing w:after="100" w:before="220"/>
      </w:pPr>
      <w:r>
        <w:rPr>
          <w:rFonts w:ascii="Arial" w:cs="Arial" w:eastAsia="Arial" w:hAnsi="Arial"/>
          <w:b/>
          <w:bCs/>
          <w:color w:val="1B3A6B"/>
          <w:sz w:val="24"/>
          <w:szCs w:val="24"/>
        </w:rPr>
        <w:t xml:space="preserve">3.4.3 Retirement &amp; Financial Benefits</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offers a 401(k) plan with the following features: Employee contributions up to the IRS annual limit ($23,000 for 2025; $30,500 for employees age 50+); NexaCorp matches 100% of the first 4% of eligible compensation contributed by the employee, immediately vested; an additional discretionary profit-sharing contribution of up to 2% of eligible compensation based on company financial performance, subject to a 3-year graded vesting schedule (33%/67%/100%).</w:t>
      </w:r>
    </w:p>
    <w:p>
      <w:pPr>
        <w:spacing w:after="100" w:before="80" w:line="276" w:lineRule="auto"/>
        <w:jc w:val="both"/>
      </w:pPr>
      <w:r>
        <w:rPr>
          <w:rFonts w:ascii="Arial" w:cs="Arial" w:eastAsia="Arial" w:hAnsi="Arial"/>
          <w:b w:val="false"/>
          <w:bCs w:val="false"/>
          <w:i w:val="false"/>
          <w:iCs w:val="false"/>
          <w:color w:val="1A1A1A"/>
          <w:sz w:val="22"/>
          <w:szCs w:val="22"/>
        </w:rPr>
        <w:t xml:space="preserve">Additional financial wellness benefits include: Employee Stock Purchase Plan (ESPP) with a 15% discount on NexaCorp stock purchased at the lower of the beginning or end of each 6-month purchase period; Group Term Life Insurance at 2x base salary (up to $500,000) at no cost to the employee; Short-Term Disability coverage at 60% of base salary for up to 12 weeks; Long-Term Disability coverage at 60% of base salary to age 65 after a 90-day elimination period.</w:t>
      </w:r>
    </w:p>
    <w:p>
      <w:pPr>
        <w:pStyle w:val="Heading3"/>
        <w:spacing w:after="100" w:before="220"/>
      </w:pPr>
      <w:r>
        <w:rPr>
          <w:rFonts w:ascii="Arial" w:cs="Arial" w:eastAsia="Arial" w:hAnsi="Arial"/>
          <w:b/>
          <w:bCs/>
          <w:color w:val="1B3A6B"/>
          <w:sz w:val="24"/>
          <w:szCs w:val="24"/>
        </w:rPr>
        <w:t xml:space="preserve">3.4.4 Mental Health &amp; Wellbeing</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recognises that mental health is inseparable from professional performance and personal fulfilment. The following resources are available to all employees and their immediate household members at no cost:</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Employee Assistance Programme (EAP) via ComPsych® GuidanceResources: up to 8 free counselling sessions per issue per year; 24/7 crisis line; financial and legal consultation; childcare and eldercare referrals.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NexaMind™ App: Curated digital mental wellness platform with guided meditation, sleep content, stress assessments, and therapist video sessions ($0 copay for NexaCorp-enrolled employees).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Mental Health Days: 3 designated Mental Health Days per calendar year (in addition to PTO) that may be taken without medical documentation. Announced to manager same-day.</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Compassionate Leave: Up to 5 paid days per event for bereavement or family crisis, in addition to state-mandated bereavement entitlements.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Quarterly Wellbeing Stipend: $150/quarter reimbursable towards gym memberships, fitness equipment, nutrition coaching, or approved wellness expenditures.</w:t>
      </w:r>
    </w:p>
    <w:p>
      <w:pPr>
        <w:pStyle w:val="Heading3"/>
        <w:spacing w:after="100" w:before="220"/>
      </w:pPr>
      <w:r>
        <w:rPr>
          <w:rFonts w:ascii="Arial" w:cs="Arial" w:eastAsia="Arial" w:hAnsi="Arial"/>
          <w:b/>
          <w:bCs/>
          <w:color w:val="1B3A6B"/>
          <w:sz w:val="24"/>
          <w:szCs w:val="24"/>
        </w:rPr>
        <w:t xml:space="preserve">3.4.5 Family &amp; Parental Benefits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920"/>
        <w:gridCol w:w="2040"/>
        <w:gridCol w:w="2880"/>
      </w:tblGrid>
      <w:tr>
        <w:trPr>
          <w:tblHeader/>
        </w:trPr>
        <w:tc>
          <w:tcPr>
            <w:tcW w:type="dxa" w:w="25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Benefit</w:t>
            </w:r>
          </w:p>
        </w:tc>
        <w:tc>
          <w:tcPr>
            <w:tcW w:type="dxa" w:w="19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Entitlement</w:t>
            </w:r>
          </w:p>
        </w:tc>
        <w:tc>
          <w:tcPr>
            <w:tcW w:type="dxa" w:w="204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Eligibility</w:t>
            </w:r>
          </w:p>
        </w:tc>
        <w:tc>
          <w:tcPr>
            <w:tcW w:type="dxa" w:w="288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Notes</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Parental Leave — Primary Caregiver</w:t>
            </w:r>
          </w:p>
        </w:tc>
        <w:tc>
          <w:tcPr>
            <w:tcW w:type="dxa" w:w="1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20 weeks paid at 100% base</w:t>
            </w:r>
          </w:p>
        </w:tc>
        <w:tc>
          <w:tcPr>
            <w:tcW w:type="dxa" w:w="20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All full-time employees; 12 months tenure</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Inclusive of birth, adoption, foster placement</w:t>
            </w:r>
          </w:p>
        </w:tc>
      </w:tr>
      <w:tr>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Parental Leave — Secondary Caregiver</w:t>
            </w:r>
          </w:p>
        </w:tc>
        <w:tc>
          <w:tcPr>
            <w:tcW w:type="dxa" w:w="1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8 weeks paid at 100% base</w:t>
            </w:r>
          </w:p>
        </w:tc>
        <w:tc>
          <w:tcPr>
            <w:tcW w:type="dxa" w:w="20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All full-time employees; 12 months tenure</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Must commence within 12 months of qualifying event</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Fertility Treatment Support</w:t>
            </w:r>
          </w:p>
        </w:tc>
        <w:tc>
          <w:tcPr>
            <w:tcW w:type="dxa" w:w="1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$25,000 lifetime benefit</w:t>
            </w:r>
          </w:p>
        </w:tc>
        <w:tc>
          <w:tcPr>
            <w:tcW w:type="dxa" w:w="20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All insured employees</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IVF, egg freezing, surrogacy, adoption assistance</w:t>
            </w:r>
          </w:p>
        </w:tc>
      </w:tr>
      <w:tr>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Back-up Childcare</w:t>
            </w:r>
          </w:p>
        </w:tc>
        <w:tc>
          <w:tcPr>
            <w:tcW w:type="dxa" w:w="1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20 days/year via Bright Horizons</w:t>
            </w:r>
          </w:p>
        </w:tc>
        <w:tc>
          <w:tcPr>
            <w:tcW w:type="dxa" w:w="20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All full-time employees</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In-centre or in-home care; $10 copay per day</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Dependent Care FSA</w:t>
            </w:r>
          </w:p>
        </w:tc>
        <w:tc>
          <w:tcPr>
            <w:tcW w:type="dxa" w:w="1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Up to $5,000/year pre-tax</w:t>
            </w:r>
          </w:p>
        </w:tc>
        <w:tc>
          <w:tcPr>
            <w:tcW w:type="dxa" w:w="20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All benefits-eligible employees</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Use-it-or-lose-it with 2.5-month grace period</w:t>
            </w:r>
          </w:p>
        </w:tc>
      </w:tr>
      <w:tr>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Lactation Accommodation</w:t>
            </w:r>
          </w:p>
        </w:tc>
        <w:tc>
          <w:tcPr>
            <w:tcW w:type="dxa" w:w="1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Private space + break time</w:t>
            </w:r>
          </w:p>
        </w:tc>
        <w:tc>
          <w:tcPr>
            <w:tcW w:type="dxa" w:w="20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All nursing employees</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IT-enabled rooms with refrigeration in all offices</w:t>
            </w:r>
          </w:p>
        </w:tc>
      </w:tr>
    </w:tbl>
    <w:p>
      <w:pPr>
        <w:spacing w:after="100" w:before="100"/>
      </w:pPr>
    </w:p>
    <w:p>
      <w:pPr>
        <w:pStyle w:val="Heading2"/>
        <w:spacing w:after="140" w:before="300"/>
      </w:pPr>
      <w:r>
        <w:rPr>
          <w:rFonts w:ascii="Arial" w:cs="Arial" w:eastAsia="Arial" w:hAnsi="Arial"/>
          <w:b/>
          <w:bCs/>
          <w:color w:val="2E75B6"/>
          <w:sz w:val="28"/>
          <w:szCs w:val="28"/>
        </w:rPr>
        <w:t xml:space="preserve">3.5 Performance Management</w:t>
      </w:r>
    </w:p>
    <w:p>
      <w:pPr>
        <w:pStyle w:val="Heading3"/>
        <w:spacing w:after="100" w:before="220"/>
      </w:pPr>
      <w:r>
        <w:rPr>
          <w:rFonts w:ascii="Arial" w:cs="Arial" w:eastAsia="Arial" w:hAnsi="Arial"/>
          <w:b/>
          <w:bCs/>
          <w:color w:val="1B3A6B"/>
          <w:sz w:val="24"/>
          <w:szCs w:val="24"/>
        </w:rPr>
        <w:t xml:space="preserve">3.5.1 Performance Cycle Overview</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operates on an annual performance cycle aligned to the calendar year (January 1 – December 31). The cycle is designed to be an ongoing, forward-looking conversation rather than a once-a-year administrative event. Managers and employees are expected to engage in structured performance conversations at a minimum frequency defined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2880"/>
        <w:gridCol w:w="2520"/>
      </w:tblGrid>
      <w:tr>
        <w:trPr>
          <w:tblHeader/>
        </w:trPr>
        <w:tc>
          <w:tcPr>
            <w:tcW w:type="dxa" w:w="21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Checkpoint</w:t>
            </w:r>
          </w:p>
        </w:tc>
        <w:tc>
          <w:tcPr>
            <w:tcW w:type="dxa" w:w="18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Timing</w:t>
            </w:r>
          </w:p>
        </w:tc>
        <w:tc>
          <w:tcPr>
            <w:tcW w:type="dxa" w:w="288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Format</w:t>
            </w:r>
          </w:p>
        </w:tc>
        <w:tc>
          <w:tcPr>
            <w:tcW w:type="dxa" w:w="25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Documented in HRIS?</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Goal Setting</w:t>
            </w:r>
          </w:p>
        </w:tc>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January (within 30 days of new year)</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Manager-Employee 1:1 + HRIS OKR tool</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Yes — mandatory</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Mid-Year Check-In</w:t>
            </w:r>
          </w:p>
        </w:tc>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June–July</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Structured 1:1 conversation</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Yes — mandatory</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Informal Pulse Checks</w:t>
            </w:r>
          </w:p>
        </w:tc>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Monthly (recommended)</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Brief 1:1; no formal template</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Optional</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Year-End Review</w:t>
            </w:r>
          </w:p>
        </w:tc>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November–December</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Self-assessment + manager review + calibration</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Yes — mandatory</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Calibration Sessions</w:t>
            </w:r>
          </w:p>
        </w:tc>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December</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Manager cohort discussions facilitated by HR BP</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Summary documented</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Compensation Communication</w:t>
            </w:r>
          </w:p>
        </w:tc>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February (following year)</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Manager delivers individual letter</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Yes — via HRIS</w:t>
            </w:r>
          </w:p>
        </w:tc>
      </w:tr>
    </w:tbl>
    <w:p>
      <w:pPr>
        <w:spacing w:after="100" w:before="100"/>
      </w:pPr>
    </w:p>
    <w:p>
      <w:pPr>
        <w:pStyle w:val="Heading3"/>
        <w:spacing w:after="100" w:before="220"/>
      </w:pPr>
      <w:r>
        <w:rPr>
          <w:rFonts w:ascii="Arial" w:cs="Arial" w:eastAsia="Arial" w:hAnsi="Arial"/>
          <w:b/>
          <w:bCs/>
          <w:color w:val="1B3A6B"/>
          <w:sz w:val="24"/>
          <w:szCs w:val="24"/>
        </w:rPr>
        <w:t xml:space="preserve">3.5.2 Goal Framework (OKRs)</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uses the Objectives and Key Results (OKR) framework at all levels of the organisation. Each employee is expected to have 3–5 OKRs per year, of which at least one must align directly to team or business-unit level OKRs (cascaded goals). OKRs are set collaboratively between manager and employee and must be specific, measurable, achievable, relevant, and time-bound (SMART). Stretch goals are encouraged and should represent approximately 30% of an employee's OKR portfolio.</w:t>
      </w:r>
    </w:p>
    <w:p>
      <w:pPr>
        <w:pStyle w:val="Heading3"/>
        <w:spacing w:after="100" w:before="220"/>
      </w:pPr>
      <w:r>
        <w:rPr>
          <w:rFonts w:ascii="Arial" w:cs="Arial" w:eastAsia="Arial" w:hAnsi="Arial"/>
          <w:b/>
          <w:bCs/>
          <w:color w:val="1B3A6B"/>
          <w:sz w:val="24"/>
          <w:szCs w:val="24"/>
        </w:rPr>
        <w:t xml:space="preserve">3.5.3 Performance Ratings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160"/>
        <w:gridCol w:w="4200"/>
        <w:gridCol w:w="2280"/>
      </w:tblGrid>
      <w:tr>
        <w:trPr>
          <w:tblHeader/>
        </w:trPr>
        <w:tc>
          <w:tcPr>
            <w:tcW w:type="dxa" w:w="7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Rating</w:t>
            </w:r>
          </w:p>
        </w:tc>
        <w:tc>
          <w:tcPr>
            <w:tcW w:type="dxa" w:w="21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Label</w:t>
            </w:r>
          </w:p>
        </w:tc>
        <w:tc>
          <w:tcPr>
            <w:tcW w:type="dxa" w:w="42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228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Distribution (Guideline)</w:t>
            </w:r>
          </w:p>
        </w:tc>
      </w:tr>
      <w:tr>
        <w:tc>
          <w:tcPr>
            <w:tcW w:type="dxa" w:w="7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5</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Exceptional</w:t>
            </w:r>
          </w:p>
        </w:tc>
        <w:tc>
          <w:tcPr>
            <w:tcW w:type="dxa" w:w="4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Consistently exceeds all goals; role model; measurable impact beyond role scope</w:t>
            </w:r>
          </w:p>
        </w:tc>
        <w:tc>
          <w:tcPr>
            <w:tcW w:type="dxa" w:w="22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~5%</w:t>
            </w:r>
          </w:p>
        </w:tc>
      </w:tr>
      <w:tr>
        <w:tc>
          <w:tcPr>
            <w:tcW w:type="dxa" w:w="7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4</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Exceeds Expectations</w:t>
            </w:r>
          </w:p>
        </w:tc>
        <w:tc>
          <w:tcPr>
            <w:tcW w:type="dxa" w:w="42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Meets all goals and exceeds most; produces above-average results</w:t>
            </w:r>
          </w:p>
        </w:tc>
        <w:tc>
          <w:tcPr>
            <w:tcW w:type="dxa" w:w="22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~20%</w:t>
            </w:r>
          </w:p>
        </w:tc>
      </w:tr>
      <w:tr>
        <w:tc>
          <w:tcPr>
            <w:tcW w:type="dxa" w:w="7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3</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Meets Expectations</w:t>
            </w:r>
          </w:p>
        </w:tc>
        <w:tc>
          <w:tcPr>
            <w:tcW w:type="dxa" w:w="4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Fully meets all goals; solid, reliable contributor; consistent delivery</w:t>
            </w:r>
          </w:p>
        </w:tc>
        <w:tc>
          <w:tcPr>
            <w:tcW w:type="dxa" w:w="22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~55%</w:t>
            </w:r>
          </w:p>
        </w:tc>
      </w:tr>
      <w:tr>
        <w:tc>
          <w:tcPr>
            <w:tcW w:type="dxa" w:w="7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2</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Development Needed</w:t>
            </w:r>
          </w:p>
        </w:tc>
        <w:tc>
          <w:tcPr>
            <w:tcW w:type="dxa" w:w="42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Partially meets goals; improvement required in key areas; PIP may apply</w:t>
            </w:r>
          </w:p>
        </w:tc>
        <w:tc>
          <w:tcPr>
            <w:tcW w:type="dxa" w:w="22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~15%</w:t>
            </w:r>
          </w:p>
        </w:tc>
      </w:tr>
      <w:tr>
        <w:tc>
          <w:tcPr>
            <w:tcW w:type="dxa" w:w="7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Does Not Meet Expectations</w:t>
            </w:r>
          </w:p>
        </w:tc>
        <w:tc>
          <w:tcPr>
            <w:tcW w:type="dxa" w:w="4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Significantly misses goals; immediate corrective action required</w:t>
            </w:r>
          </w:p>
        </w:tc>
        <w:tc>
          <w:tcPr>
            <w:tcW w:type="dxa" w:w="22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~5%</w:t>
            </w:r>
          </w:p>
        </w:tc>
      </w:tr>
    </w:tbl>
    <w:p>
      <w:pPr>
        <w:spacing w:after="100" w:before="100"/>
      </w:pPr>
    </w:p>
    <w:p>
      <w:pPr>
        <w:pBdr>
          <w:left w:val="single" w:color="2E75B6" w:sz="12" w:space="8"/>
        </w:pBdr>
        <w:spacing w:after="120" w:before="120"/>
        <w:ind w:left="360" w:right="360"/>
      </w:pPr>
      <w:r>
        <w:rPr>
          <w:rFonts w:ascii="Arial" w:cs="Arial" w:eastAsia="Arial" w:hAnsi="Arial"/>
          <w:b/>
          <w:bCs/>
          <w:color w:val="2E75B6"/>
          <w:sz w:val="20"/>
          <w:szCs w:val="20"/>
        </w:rPr>
        <w:t xml:space="preserve">NOTE: </w:t>
      </w:r>
      <w:r>
        <w:rPr>
          <w:rFonts w:ascii="Arial" w:cs="Arial" w:eastAsia="Arial" w:hAnsi="Arial"/>
          <w:i/>
          <w:iCs/>
          <w:color w:val="1A1A1A"/>
          <w:sz w:val="20"/>
          <w:szCs w:val="20"/>
        </w:rPr>
        <w:t xml:space="preserve">Distribution guidelines are soft targets to inform calibration discussions, not rigid quotas. Forced ranking is prohibited. HR Business Partners will flag departments with distributions significantly outside guidelines for manager coaching.</w:t>
      </w:r>
    </w:p>
    <w:p>
      <w:pPr>
        <w:pStyle w:val="Heading3"/>
        <w:spacing w:after="100" w:before="220"/>
      </w:pPr>
      <w:r>
        <w:rPr>
          <w:rFonts w:ascii="Arial" w:cs="Arial" w:eastAsia="Arial" w:hAnsi="Arial"/>
          <w:b/>
          <w:bCs/>
          <w:color w:val="1B3A6B"/>
          <w:sz w:val="24"/>
          <w:szCs w:val="24"/>
        </w:rPr>
        <w:t xml:space="preserve">3.5.4 Performance Improvement Plans (PIPs)</w:t>
      </w:r>
    </w:p>
    <w:p>
      <w:pPr>
        <w:spacing w:after="100" w:before="80" w:line="276" w:lineRule="auto"/>
        <w:jc w:val="both"/>
      </w:pPr>
      <w:r>
        <w:rPr>
          <w:rFonts w:ascii="Arial" w:cs="Arial" w:eastAsia="Arial" w:hAnsi="Arial"/>
          <w:b w:val="false"/>
          <w:bCs w:val="false"/>
          <w:i w:val="false"/>
          <w:iCs w:val="false"/>
          <w:color w:val="1A1A1A"/>
          <w:sz w:val="22"/>
          <w:szCs w:val="22"/>
        </w:rPr>
        <w:t xml:space="preserve">A Performance Improvement Plan (PIP) is a structured, time-bound tool used to address documented and sustained performance deficiencies. PIPs are not punitive; their purpose is to give the employee a clear understanding of expectations, a realistic timeframe in which to demonstrate improvement, and documented support resources. A PIP is not a precursor to termination but may result in termination if performance does not improve as specified.</w:t>
      </w:r>
    </w:p>
    <w:p>
      <w:pPr>
        <w:spacing w:after="100" w:before="80" w:line="276" w:lineRule="auto"/>
        <w:jc w:val="both"/>
      </w:pPr>
      <w:r>
        <w:rPr>
          <w:rFonts w:ascii="Arial" w:cs="Arial" w:eastAsia="Arial" w:hAnsi="Arial"/>
          <w:b w:val="false"/>
          <w:bCs w:val="false"/>
          <w:i w:val="false"/>
          <w:iCs w:val="false"/>
          <w:color w:val="1A1A1A"/>
          <w:sz w:val="22"/>
          <w:szCs w:val="22"/>
        </w:rPr>
        <w:t xml:space="preserve">PIP requirements: Minimum 30-day duration (60-day for senior individual contributors and above); specific, measurable success criteria agreed upon in advance; bi-weekly documented check-ins; HR Business Partner involvement from initiation; right to union representation where applicable. If performance meets PIP criteria at conclusion, the PIP is closed with a documented success note. If criteria are not met, the company may extend the PIP, change the employee's role, or proceed with separation.</w:t>
      </w:r>
    </w:p>
    <w:p>
      <w:pPr>
        <w:pStyle w:val="Heading2"/>
        <w:spacing w:after="140" w:before="300"/>
      </w:pPr>
      <w:r>
        <w:rPr>
          <w:rFonts w:ascii="Arial" w:cs="Arial" w:eastAsia="Arial" w:hAnsi="Arial"/>
          <w:b/>
          <w:bCs/>
          <w:color w:val="2E75B6"/>
          <w:sz w:val="28"/>
          <w:szCs w:val="28"/>
        </w:rPr>
        <w:t xml:space="preserve">3.6 Learning &amp; Development</w:t>
      </w:r>
    </w:p>
    <w:p>
      <w:pPr>
        <w:pStyle w:val="Heading3"/>
        <w:spacing w:after="100" w:before="220"/>
      </w:pPr>
      <w:r>
        <w:rPr>
          <w:rFonts w:ascii="Arial" w:cs="Arial" w:eastAsia="Arial" w:hAnsi="Arial"/>
          <w:b/>
          <w:bCs/>
          <w:color w:val="1B3A6B"/>
          <w:sz w:val="24"/>
          <w:szCs w:val="24"/>
        </w:rPr>
        <w:t xml:space="preserve">3.6.1 Learning Philosophy</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invests approximately 3.2% of total payroll costs in employee learning and development — above the technology sector median of 2.1% (SHRM Benchmarking, 2024). The company believes that learning is a shared responsibility: NexaCorp provides the resources, time, and culture; employees take ownership of their own growth.</w:t>
      </w:r>
    </w:p>
    <w:p>
      <w:pPr>
        <w:pStyle w:val="Heading3"/>
        <w:spacing w:after="100" w:before="220"/>
      </w:pPr>
      <w:r>
        <w:rPr>
          <w:rFonts w:ascii="Arial" w:cs="Arial" w:eastAsia="Arial" w:hAnsi="Arial"/>
          <w:b/>
          <w:bCs/>
          <w:color w:val="1B3A6B"/>
          <w:sz w:val="24"/>
          <w:szCs w:val="24"/>
        </w:rPr>
        <w:t xml:space="preserve">3.6.2 NexaAcademy™ Learning Platform</w:t>
      </w:r>
    </w:p>
    <w:p>
      <w:pPr>
        <w:spacing w:after="100" w:before="80" w:line="276" w:lineRule="auto"/>
        <w:jc w:val="both"/>
      </w:pPr>
      <w:r>
        <w:rPr>
          <w:rFonts w:ascii="Arial" w:cs="Arial" w:eastAsia="Arial" w:hAnsi="Arial"/>
          <w:b w:val="false"/>
          <w:bCs w:val="false"/>
          <w:i w:val="false"/>
          <w:iCs w:val="false"/>
          <w:color w:val="1A1A1A"/>
          <w:sz w:val="22"/>
          <w:szCs w:val="22"/>
        </w:rPr>
        <w:t xml:space="preserve">All employees have access to NexaAcademy™, NexaCorp's proprietary learning management system (LMS), which aggregates 18,000+ learning resources from LinkedIn Learning, Coursera for Business, O'Reilly Technical Library, Harvard ManageMentor, and NexaCorp-developed content. Key features include AI-powered learning path recommendations based on role, grade, and career aspirations; peer cohort learning circles; and a verified skills passport that employees retain beyond their NexaCorp tenure.</w:t>
      </w:r>
    </w:p>
    <w:p>
      <w:pPr>
        <w:pStyle w:val="Heading3"/>
        <w:spacing w:after="100" w:before="220"/>
      </w:pPr>
      <w:r>
        <w:rPr>
          <w:rFonts w:ascii="Arial" w:cs="Arial" w:eastAsia="Arial" w:hAnsi="Arial"/>
          <w:b/>
          <w:bCs/>
          <w:color w:val="1B3A6B"/>
          <w:sz w:val="24"/>
          <w:szCs w:val="24"/>
        </w:rPr>
        <w:t xml:space="preserve">3.6.3 Mandatory Training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160"/>
        <w:gridCol w:w="1440"/>
        <w:gridCol w:w="2640"/>
      </w:tblGrid>
      <w:tr>
        <w:trPr>
          <w:tblHeader/>
        </w:trPr>
        <w:tc>
          <w:tcPr>
            <w:tcW w:type="dxa" w:w="31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Training Module</w:t>
            </w:r>
          </w:p>
        </w:tc>
        <w:tc>
          <w:tcPr>
            <w:tcW w:type="dxa" w:w="21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Audience</w:t>
            </w:r>
          </w:p>
        </w:tc>
        <w:tc>
          <w:tcPr>
            <w:tcW w:type="dxa" w:w="144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Frequency</w:t>
            </w:r>
          </w:p>
        </w:tc>
        <w:tc>
          <w:tcPr>
            <w:tcW w:type="dxa" w:w="264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Completion Deadline</w:t>
            </w:r>
          </w:p>
        </w:tc>
      </w:tr>
      <w:tr>
        <w:tc>
          <w:tcPr>
            <w:tcW w:type="dxa" w:w="31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Code of Conduct &amp; Ethics</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All employees</w:t>
            </w:r>
          </w:p>
        </w:tc>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Annual</w:t>
            </w:r>
          </w:p>
        </w:tc>
        <w:tc>
          <w:tcPr>
            <w:tcW w:type="dxa" w:w="26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January 31</w:t>
            </w:r>
          </w:p>
        </w:tc>
      </w:tr>
      <w:tr>
        <w:tc>
          <w:tcPr>
            <w:tcW w:type="dxa" w:w="31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Information Security Awareness</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All employees</w:t>
            </w:r>
          </w:p>
        </w:tc>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Annual + after major incidents</w:t>
            </w:r>
          </w:p>
        </w:tc>
        <w:tc>
          <w:tcPr>
            <w:tcW w:type="dxa" w:w="26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February 28</w:t>
            </w:r>
          </w:p>
        </w:tc>
      </w:tr>
      <w:tr>
        <w:tc>
          <w:tcPr>
            <w:tcW w:type="dxa" w:w="31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Data Privacy (GDPR/CCPA)</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All employees handling personal data</w:t>
            </w:r>
          </w:p>
        </w:tc>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Annual</w:t>
            </w:r>
          </w:p>
        </w:tc>
        <w:tc>
          <w:tcPr>
            <w:tcW w:type="dxa" w:w="26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March 31</w:t>
            </w:r>
          </w:p>
        </w:tc>
      </w:tr>
      <w:tr>
        <w:tc>
          <w:tcPr>
            <w:tcW w:type="dxa" w:w="31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Anti-Harassment &amp; Discrimination</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All employees (extended for managers)</w:t>
            </w:r>
          </w:p>
        </w:tc>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Biennial</w:t>
            </w:r>
          </w:p>
        </w:tc>
        <w:tc>
          <w:tcPr>
            <w:tcW w:type="dxa" w:w="26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June 30 (even years)</w:t>
            </w:r>
          </w:p>
        </w:tc>
      </w:tr>
      <w:tr>
        <w:tc>
          <w:tcPr>
            <w:tcW w:type="dxa" w:w="31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Insider Trading &amp; Securities Policy</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All DIs and Finance/Legal teams</w:t>
            </w:r>
          </w:p>
        </w:tc>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Annual</w:t>
            </w:r>
          </w:p>
        </w:tc>
        <w:tc>
          <w:tcPr>
            <w:tcW w:type="dxa" w:w="26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January 31</w:t>
            </w:r>
          </w:p>
        </w:tc>
      </w:tr>
      <w:tr>
        <w:tc>
          <w:tcPr>
            <w:tcW w:type="dxa" w:w="31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Health &amp; Safety Fundamentals</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All office-based employees</w:t>
            </w:r>
          </w:p>
        </w:tc>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Annual + new hire</w:t>
            </w:r>
          </w:p>
        </w:tc>
        <w:tc>
          <w:tcPr>
            <w:tcW w:type="dxa" w:w="26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Within 30 days of hire</w:t>
            </w:r>
          </w:p>
        </w:tc>
      </w:tr>
      <w:tr>
        <w:tc>
          <w:tcPr>
            <w:tcW w:type="dxa" w:w="31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Manager Essentials (NexaLead™)</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All people managers</w:t>
            </w:r>
          </w:p>
        </w:tc>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Once (new managers within 6 months)</w:t>
            </w:r>
          </w:p>
        </w:tc>
        <w:tc>
          <w:tcPr>
            <w:tcW w:type="dxa" w:w="26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Within 6 months of promotion</w:t>
            </w:r>
          </w:p>
        </w:tc>
      </w:tr>
      <w:tr>
        <w:tc>
          <w:tcPr>
            <w:tcW w:type="dxa" w:w="31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Export Controls &amp; Trade Compliance</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Sales, Engineering, Legal, Finance</w:t>
            </w:r>
          </w:p>
        </w:tc>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Annual</w:t>
            </w:r>
          </w:p>
        </w:tc>
        <w:tc>
          <w:tcPr>
            <w:tcW w:type="dxa" w:w="26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April 30</w:t>
            </w:r>
          </w:p>
        </w:tc>
      </w:tr>
    </w:tbl>
    <w:p>
      <w:pPr>
        <w:spacing w:after="100" w:before="100"/>
      </w:pPr>
    </w:p>
    <w:p>
      <w:pPr>
        <w:pStyle w:val="Heading3"/>
        <w:spacing w:after="100" w:before="220"/>
      </w:pPr>
      <w:r>
        <w:rPr>
          <w:rFonts w:ascii="Arial" w:cs="Arial" w:eastAsia="Arial" w:hAnsi="Arial"/>
          <w:b/>
          <w:bCs/>
          <w:color w:val="1B3A6B"/>
          <w:sz w:val="24"/>
          <w:szCs w:val="24"/>
        </w:rPr>
        <w:t xml:space="preserve">3.6.4 External Development Programmes</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supports employee participation in external professional development through the following programmes: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Annual Learning Stipend: $2,500 per FTE per calendar year for external courses, certifications, conferences, professional memberships, or approved books/subscriptions. Reimbursed via expense claim with receipts.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Tuition Assistance: Up to $10,000 per year for degree or graduate programmes directly relevant to the employee's role or career path. Requires 2-year service commitment post-completion; pro-rated clawback if employment ends within the commitment period.</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Conference Speaker Programme: Employees selected to present at industry conferences receive full expenses coverage and 2 days paid preparation leave.</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NexaFellow Programme: A 12-month intensive leadership development cohort for high-potential Grade 7–8 employees, including executive mentoring, an action-learning project, and an international rotation.</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Technical Certification Reimbursement: 100% reimbursement of exam fees for approved technical certifications (AWS, GCP, Azure, CISSP, PMP, CFA, etc.) up to 3 certifications per year.</w:t>
      </w:r>
    </w:p>
    <w:p>
      <w:pPr>
        <w:pStyle w:val="Heading2"/>
        <w:spacing w:after="140" w:before="300"/>
      </w:pPr>
      <w:r>
        <w:rPr>
          <w:rFonts w:ascii="Arial" w:cs="Arial" w:eastAsia="Arial" w:hAnsi="Arial"/>
          <w:b/>
          <w:bCs/>
          <w:color w:val="2E75B6"/>
          <w:sz w:val="28"/>
          <w:szCs w:val="28"/>
        </w:rPr>
        <w:t xml:space="preserve">3.7 Leave Management Policy</w:t>
      </w:r>
    </w:p>
    <w:p>
      <w:pPr>
        <w:pStyle w:val="Heading3"/>
        <w:spacing w:after="100" w:before="220"/>
      </w:pPr>
      <w:r>
        <w:rPr>
          <w:rFonts w:ascii="Arial" w:cs="Arial" w:eastAsia="Arial" w:hAnsi="Arial"/>
          <w:b/>
          <w:bCs/>
          <w:color w:val="1B3A6B"/>
          <w:sz w:val="24"/>
          <w:szCs w:val="24"/>
        </w:rPr>
        <w:t xml:space="preserve">3.7.1 Paid Time Off (PTO)</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operates a unified Paid Time Off (PTO) policy that consolidates vacation, personal days, and sick days into a single PTO bank. This approach gives employees maximum flexibility in managing their time away from work. PTO accrues from Day 1 of employment at the following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20"/>
        <w:gridCol w:w="2160"/>
        <w:gridCol w:w="2280"/>
      </w:tblGrid>
      <w:tr>
        <w:trPr>
          <w:tblHeader/>
        </w:trPr>
        <w:tc>
          <w:tcPr>
            <w:tcW w:type="dxa" w:w="24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Years of Service</w:t>
            </w:r>
          </w:p>
        </w:tc>
        <w:tc>
          <w:tcPr>
            <w:tcW w:type="dxa" w:w="25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Annual PTO Accrual (US)</w:t>
            </w:r>
          </w:p>
        </w:tc>
        <w:tc>
          <w:tcPr>
            <w:tcW w:type="dxa" w:w="21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Maximum Carry-Over</w:t>
            </w:r>
          </w:p>
        </w:tc>
        <w:tc>
          <w:tcPr>
            <w:tcW w:type="dxa" w:w="228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Max Accrual Cap</w:t>
            </w:r>
          </w:p>
        </w:tc>
      </w:tr>
      <w:tr>
        <w:tc>
          <w:tcPr>
            <w:tcW w:type="dxa" w:w="2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0–2 years</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20 days (160 hours)</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10 days</w:t>
            </w:r>
          </w:p>
        </w:tc>
        <w:tc>
          <w:tcPr>
            <w:tcW w:type="dxa" w:w="22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30 days</w:t>
            </w:r>
          </w:p>
        </w:tc>
      </w:tr>
      <w:tr>
        <w:tc>
          <w:tcPr>
            <w:tcW w:type="dxa" w:w="2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3–5 years</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23 days (184 hours)</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12 days</w:t>
            </w:r>
          </w:p>
        </w:tc>
        <w:tc>
          <w:tcPr>
            <w:tcW w:type="dxa" w:w="22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35 days</w:t>
            </w:r>
          </w:p>
        </w:tc>
      </w:tr>
      <w:tr>
        <w:tc>
          <w:tcPr>
            <w:tcW w:type="dxa" w:w="2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6–10 years</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26 days (208 hours)</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15 days</w:t>
            </w:r>
          </w:p>
        </w:tc>
        <w:tc>
          <w:tcPr>
            <w:tcW w:type="dxa" w:w="22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40 days</w:t>
            </w:r>
          </w:p>
        </w:tc>
      </w:tr>
      <w:tr>
        <w:tc>
          <w:tcPr>
            <w:tcW w:type="dxa" w:w="2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10+ years</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30 days (240 hours)</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15 days</w:t>
            </w:r>
          </w:p>
        </w:tc>
        <w:tc>
          <w:tcPr>
            <w:tcW w:type="dxa" w:w="22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45 days</w:t>
            </w:r>
          </w:p>
        </w:tc>
      </w:tr>
      <w:tr>
        <w:tc>
          <w:tcPr>
            <w:tcW w:type="dxa" w:w="2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ELT / VP and above</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Unlimited (managed)</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N/A</w:t>
            </w:r>
          </w:p>
        </w:tc>
        <w:tc>
          <w:tcPr>
            <w:tcW w:type="dxa" w:w="22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N/A</w:t>
            </w:r>
          </w:p>
        </w:tc>
      </w:tr>
    </w:tbl>
    <w:p>
      <w:pPr>
        <w:spacing w:after="100" w:before="100"/>
      </w:pPr>
    </w:p>
    <w:p>
      <w:pPr>
        <w:pBdr>
          <w:left w:val="single" w:color="2E75B6" w:sz="12" w:space="8"/>
        </w:pBdr>
        <w:spacing w:after="120" w:before="120"/>
        <w:ind w:left="360" w:right="360"/>
      </w:pPr>
      <w:r>
        <w:rPr>
          <w:rFonts w:ascii="Arial" w:cs="Arial" w:eastAsia="Arial" w:hAnsi="Arial"/>
          <w:b/>
          <w:bCs/>
          <w:color w:val="2E75B6"/>
          <w:sz w:val="20"/>
          <w:szCs w:val="20"/>
        </w:rPr>
        <w:t xml:space="preserve">NOTE: </w:t>
      </w:r>
      <w:r>
        <w:rPr>
          <w:rFonts w:ascii="Arial" w:cs="Arial" w:eastAsia="Arial" w:hAnsi="Arial"/>
          <w:i/>
          <w:iCs/>
          <w:color w:val="1A1A1A"/>
          <w:sz w:val="20"/>
          <w:szCs w:val="20"/>
        </w:rPr>
        <w:t xml:space="preserve">PTO must be pre-approved by the employee's manager, except for unplanned sick leave which must be reported by 9:00 AM on the first day of absence. For extended illness (3+ consecutive days), medical certification will be required.</w:t>
      </w:r>
    </w:p>
    <w:p>
      <w:pPr>
        <w:pStyle w:val="Heading3"/>
        <w:spacing w:after="100" w:before="220"/>
      </w:pPr>
      <w:r>
        <w:rPr>
          <w:rFonts w:ascii="Arial" w:cs="Arial" w:eastAsia="Arial" w:hAnsi="Arial"/>
          <w:b/>
          <w:bCs/>
          <w:color w:val="1B3A6B"/>
          <w:sz w:val="24"/>
          <w:szCs w:val="24"/>
        </w:rPr>
        <w:t xml:space="preserve">3.7.2 Paid Holidays</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observes the following paid holidays for US employees. Non-US employees observe their country's statutory public holidays as detailed in country-specific addenda.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760"/>
        <w:gridCol w:w="3000"/>
      </w:tblGrid>
      <w:tr>
        <w:trPr>
          <w:tblHeader/>
        </w:trPr>
        <w:tc>
          <w:tcPr>
            <w:tcW w:type="dxa" w:w="36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Holiday</w:t>
            </w:r>
          </w:p>
        </w:tc>
        <w:tc>
          <w:tcPr>
            <w:tcW w:type="dxa" w:w="27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Typical Date</w:t>
            </w:r>
          </w:p>
        </w:tc>
        <w:tc>
          <w:tcPr>
            <w:tcW w:type="dxa" w:w="30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Notes</w:t>
            </w:r>
          </w:p>
        </w:tc>
      </w:tr>
      <w:tr>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New Year's Day</w:t>
            </w:r>
          </w:p>
        </w:tc>
        <w:tc>
          <w:tcPr>
            <w:tcW w:type="dxa" w:w="2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January 1</w:t>
            </w:r>
          </w:p>
        </w:tc>
        <w:tc>
          <w:tcPr>
            <w:tcW w:type="dxa" w:w="30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Observed on nearest weekday if falls on weekend</w:t>
            </w:r>
          </w:p>
        </w:tc>
      </w:tr>
      <w:tr>
        <w:tc>
          <w:tcPr>
            <w:tcW w:type="dxa" w:w="36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Martin Luther King Jr. Day</w:t>
            </w:r>
          </w:p>
        </w:tc>
        <w:tc>
          <w:tcPr>
            <w:tcW w:type="dxa" w:w="2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Third Monday in January</w:t>
            </w:r>
          </w:p>
        </w:tc>
        <w:tc>
          <w:tcPr>
            <w:tcW w:type="dxa" w:w="30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
            </w:r>
          </w:p>
        </w:tc>
      </w:tr>
      <w:tr>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Presidents' Day</w:t>
            </w:r>
          </w:p>
        </w:tc>
        <w:tc>
          <w:tcPr>
            <w:tcW w:type="dxa" w:w="2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Third Monday in February</w:t>
            </w:r>
          </w:p>
        </w:tc>
        <w:tc>
          <w:tcPr>
            <w:tcW w:type="dxa" w:w="30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
            </w:r>
          </w:p>
        </w:tc>
      </w:tr>
      <w:tr>
        <w:tc>
          <w:tcPr>
            <w:tcW w:type="dxa" w:w="36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Memorial Day</w:t>
            </w:r>
          </w:p>
        </w:tc>
        <w:tc>
          <w:tcPr>
            <w:tcW w:type="dxa" w:w="2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Last Monday in May</w:t>
            </w:r>
          </w:p>
        </w:tc>
        <w:tc>
          <w:tcPr>
            <w:tcW w:type="dxa" w:w="30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
            </w:r>
          </w:p>
        </w:tc>
      </w:tr>
      <w:tr>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Juneteenth National Independence Day</w:t>
            </w:r>
          </w:p>
        </w:tc>
        <w:tc>
          <w:tcPr>
            <w:tcW w:type="dxa" w:w="2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June 19</w:t>
            </w:r>
          </w:p>
        </w:tc>
        <w:tc>
          <w:tcPr>
            <w:tcW w:type="dxa" w:w="30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
            </w:r>
          </w:p>
        </w:tc>
      </w:tr>
      <w:tr>
        <w:tc>
          <w:tcPr>
            <w:tcW w:type="dxa" w:w="36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Independence Day</w:t>
            </w:r>
          </w:p>
        </w:tc>
        <w:tc>
          <w:tcPr>
            <w:tcW w:type="dxa" w:w="2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July 4</w:t>
            </w:r>
          </w:p>
        </w:tc>
        <w:tc>
          <w:tcPr>
            <w:tcW w:type="dxa" w:w="30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
            </w:r>
          </w:p>
        </w:tc>
      </w:tr>
      <w:tr>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Labor Day</w:t>
            </w:r>
          </w:p>
        </w:tc>
        <w:tc>
          <w:tcPr>
            <w:tcW w:type="dxa" w:w="2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First Monday in September</w:t>
            </w:r>
          </w:p>
        </w:tc>
        <w:tc>
          <w:tcPr>
            <w:tcW w:type="dxa" w:w="30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
            </w:r>
          </w:p>
        </w:tc>
      </w:tr>
      <w:tr>
        <w:tc>
          <w:tcPr>
            <w:tcW w:type="dxa" w:w="36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Thanksgiving Day</w:t>
            </w:r>
          </w:p>
        </w:tc>
        <w:tc>
          <w:tcPr>
            <w:tcW w:type="dxa" w:w="2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Fourth Thursday in November</w:t>
            </w:r>
          </w:p>
        </w:tc>
        <w:tc>
          <w:tcPr>
            <w:tcW w:type="dxa" w:w="30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
            </w:r>
          </w:p>
        </w:tc>
      </w:tr>
      <w:tr>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Day After Thanksgiving</w:t>
            </w:r>
          </w:p>
        </w:tc>
        <w:tc>
          <w:tcPr>
            <w:tcW w:type="dxa" w:w="2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Friday following Thanksgiving</w:t>
            </w:r>
          </w:p>
        </w:tc>
        <w:tc>
          <w:tcPr>
            <w:tcW w:type="dxa" w:w="30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NexaCorp-designated day</w:t>
            </w:r>
          </w:p>
        </w:tc>
      </w:tr>
      <w:tr>
        <w:tc>
          <w:tcPr>
            <w:tcW w:type="dxa" w:w="36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Christmas Day</w:t>
            </w:r>
          </w:p>
        </w:tc>
        <w:tc>
          <w:tcPr>
            <w:tcW w:type="dxa" w:w="2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December 25</w:t>
            </w:r>
          </w:p>
        </w:tc>
        <w:tc>
          <w:tcPr>
            <w:tcW w:type="dxa" w:w="30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
            </w:r>
          </w:p>
        </w:tc>
      </w:tr>
      <w:tr>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NexaDay (Floating Holiday)</w:t>
            </w:r>
          </w:p>
        </w:tc>
        <w:tc>
          <w:tcPr>
            <w:tcW w:type="dxa" w:w="2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Employee's choice</w:t>
            </w:r>
          </w:p>
        </w:tc>
        <w:tc>
          <w:tcPr>
            <w:tcW w:type="dxa" w:w="30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May not be carried over; use by Dec 31</w:t>
            </w:r>
          </w:p>
        </w:tc>
      </w:tr>
    </w:tbl>
    <w:p>
      <w:pPr>
        <w:spacing w:after="100" w:before="100"/>
      </w:pPr>
    </w:p>
    <w:p>
      <w:pPr>
        <w:pStyle w:val="Heading3"/>
        <w:spacing w:after="100" w:before="220"/>
      </w:pPr>
      <w:r>
        <w:rPr>
          <w:rFonts w:ascii="Arial" w:cs="Arial" w:eastAsia="Arial" w:hAnsi="Arial"/>
          <w:b/>
          <w:bCs/>
          <w:color w:val="1B3A6B"/>
          <w:sz w:val="24"/>
          <w:szCs w:val="24"/>
        </w:rPr>
        <w:t xml:space="preserve">3.7.3 Leave of Absence Types</w:t>
      </w:r>
    </w:p>
    <w:p>
      <w:pPr>
        <w:spacing w:after="100" w:before="80" w:line="276" w:lineRule="auto"/>
        <w:jc w:val="both"/>
      </w:pPr>
      <w:r>
        <w:rPr>
          <w:rFonts w:ascii="Arial" w:cs="Arial" w:eastAsia="Arial" w:hAnsi="Arial"/>
          <w:b w:val="false"/>
          <w:bCs w:val="false"/>
          <w:i w:val="false"/>
          <w:iCs w:val="false"/>
          <w:color w:val="1A1A1A"/>
          <w:sz w:val="22"/>
          <w:szCs w:val="22"/>
        </w:rPr>
        <w:t xml:space="preserve">In addition to PTO and holidays, NexaCorp recognises the following formal leave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440"/>
        <w:gridCol w:w="1440"/>
        <w:gridCol w:w="1800"/>
        <w:gridCol w:w="2160"/>
      </w:tblGrid>
      <w:tr>
        <w:trPr>
          <w:tblHeader/>
        </w:trPr>
        <w:tc>
          <w:tcPr>
            <w:tcW w:type="dxa" w:w="25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Leave Type</w:t>
            </w:r>
          </w:p>
        </w:tc>
        <w:tc>
          <w:tcPr>
            <w:tcW w:type="dxa" w:w="144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Max Duration</w:t>
            </w:r>
          </w:p>
        </w:tc>
        <w:tc>
          <w:tcPr>
            <w:tcW w:type="dxa" w:w="144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Paid?</w:t>
            </w:r>
          </w:p>
        </w:tc>
        <w:tc>
          <w:tcPr>
            <w:tcW w:type="dxa" w:w="18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Notice Required</w:t>
            </w:r>
          </w:p>
        </w:tc>
        <w:tc>
          <w:tcPr>
            <w:tcW w:type="dxa" w:w="21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Documentation</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FMLA / Medical Leave</w:t>
            </w:r>
          </w:p>
        </w:tc>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12 weeks/year</w:t>
            </w:r>
          </w:p>
        </w:tc>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Partially (STD integration)</w:t>
            </w:r>
          </w:p>
        </w:tc>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30 days or ASAP</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Medical certification</w:t>
            </w:r>
          </w:p>
        </w:tc>
      </w:tr>
      <w:tr>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Parental Leave</w:t>
            </w:r>
          </w:p>
        </w:tc>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See Section 3.4.5</w:t>
            </w:r>
          </w:p>
        </w:tc>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Yes — 100%</w:t>
            </w:r>
          </w:p>
        </w:tc>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90 days preferred</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Birth/adoption record</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Military Leave (USERRA)</w:t>
            </w:r>
          </w:p>
        </w:tc>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Indefinite job protection</w:t>
            </w:r>
          </w:p>
        </w:tc>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14 days paid; USERRA thereafter</w:t>
            </w:r>
          </w:p>
        </w:tc>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Advance notice required</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Military orders</w:t>
            </w:r>
          </w:p>
        </w:tc>
      </w:tr>
      <w:tr>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Jury Duty Leave</w:t>
            </w:r>
          </w:p>
        </w:tc>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Duration of service</w:t>
            </w:r>
          </w:p>
        </w:tc>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Full pay to 10 days; unpaid thereafter</w:t>
            </w:r>
          </w:p>
        </w:tc>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Summons receipt</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Jury summons copy</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Bereavement Leave</w:t>
            </w:r>
          </w:p>
        </w:tc>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3–5 days</w:t>
            </w:r>
          </w:p>
        </w:tc>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Yes — 100%</w:t>
            </w:r>
          </w:p>
        </w:tc>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Same day</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Obituary/death cert. optional</w:t>
            </w:r>
          </w:p>
        </w:tc>
      </w:tr>
      <w:tr>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Volunteer Leave</w:t>
            </w:r>
          </w:p>
        </w:tc>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3 days/year</w:t>
            </w:r>
          </w:p>
        </w:tc>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Yes — 100%</w:t>
            </w:r>
          </w:p>
        </w:tc>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5 business days</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Org confirmation letter</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Sabbatical Leave</w:t>
            </w:r>
          </w:p>
        </w:tc>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1–3 months (unpaid)</w:t>
            </w:r>
          </w:p>
        </w:tc>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No</w:t>
            </w:r>
          </w:p>
        </w:tc>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6 months</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CPO approval required</w:t>
            </w:r>
          </w:p>
        </w:tc>
      </w:tr>
      <w:tr>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Personal / Unpaid Leave</w:t>
            </w:r>
          </w:p>
        </w:tc>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Up to 12 weeks</w:t>
            </w:r>
          </w:p>
        </w:tc>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No</w:t>
            </w:r>
          </w:p>
        </w:tc>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30 days</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Manager + HR BP approval</w:t>
            </w:r>
          </w:p>
        </w:tc>
      </w:tr>
    </w:tbl>
    <w:p>
      <w:pPr>
        <w:spacing w:after="100" w:before="100"/>
      </w:pPr>
    </w:p>
    <w:p>
      <w:pPr>
        <w:pStyle w:val="Heading3"/>
        <w:spacing w:after="100" w:before="220"/>
      </w:pPr>
      <w:r>
        <w:rPr>
          <w:rFonts w:ascii="Arial" w:cs="Arial" w:eastAsia="Arial" w:hAnsi="Arial"/>
          <w:b/>
          <w:bCs/>
          <w:color w:val="1B3A6B"/>
          <w:sz w:val="24"/>
          <w:szCs w:val="24"/>
        </w:rPr>
        <w:t xml:space="preserve">3.7.4 Sick Leave — State-Specific Accruals</w:t>
      </w:r>
    </w:p>
    <w:p>
      <w:pPr>
        <w:spacing w:after="100" w:before="80" w:line="276" w:lineRule="auto"/>
        <w:jc w:val="both"/>
      </w:pPr>
      <w:r>
        <w:rPr>
          <w:rFonts w:ascii="Arial" w:cs="Arial" w:eastAsia="Arial" w:hAnsi="Arial"/>
          <w:b w:val="false"/>
          <w:bCs w:val="false"/>
          <w:i w:val="false"/>
          <w:iCs w:val="false"/>
          <w:color w:val="1A1A1A"/>
          <w:sz w:val="22"/>
          <w:szCs w:val="22"/>
        </w:rPr>
        <w:t xml:space="preserve">In jurisdictions where state or local law mandates separate sick leave accruals (e.g., California, New York, New Jersey, Colorado, Washington), NexaCorp's unified PTO bank satisfies and exceeds the statutory minimum in all cases. Employees in these states have the right to use PTO for qualifying sick leave purposes without any separate approval process. HR Operations maintains a current map of state-specific sick leave requirements which is updated quarterly.</w:t>
      </w:r>
    </w:p>
    <w:p>
      <w:pPr>
        <w:pStyle w:val="Heading2"/>
        <w:spacing w:after="140" w:before="300"/>
      </w:pPr>
      <w:r>
        <w:rPr>
          <w:rFonts w:ascii="Arial" w:cs="Arial" w:eastAsia="Arial" w:hAnsi="Arial"/>
          <w:b/>
          <w:bCs/>
          <w:color w:val="2E75B6"/>
          <w:sz w:val="28"/>
          <w:szCs w:val="28"/>
        </w:rPr>
        <w:t xml:space="preserve">3.8 Remote &amp; Hybrid Work Policy</w:t>
      </w:r>
    </w:p>
    <w:p>
      <w:pPr>
        <w:pStyle w:val="Heading3"/>
        <w:spacing w:after="100" w:before="220"/>
      </w:pPr>
      <w:r>
        <w:rPr>
          <w:rFonts w:ascii="Arial" w:cs="Arial" w:eastAsia="Arial" w:hAnsi="Arial"/>
          <w:b/>
          <w:bCs/>
          <w:color w:val="1B3A6B"/>
          <w:sz w:val="24"/>
          <w:szCs w:val="24"/>
        </w:rPr>
        <w:t xml:space="preserve">3.8.1 Policy Intent</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embraces flexible work as a core talent strategy and competitive advantage. The company does not impose a mandatory office attendance minimum as a uniform global standard; instead, it delegates flexibility decisions to Business Unit heads within a framework of principles established by this policy. The overriding principle is that work location decisions should be driven by what best enables the employee and their team to deliver outstanding results, not by presenteeism or tradition.</w:t>
      </w:r>
    </w:p>
    <w:p>
      <w:pPr>
        <w:pStyle w:val="Heading3"/>
        <w:spacing w:after="100" w:before="220"/>
      </w:pPr>
      <w:r>
        <w:rPr>
          <w:rFonts w:ascii="Arial" w:cs="Arial" w:eastAsia="Arial" w:hAnsi="Arial"/>
          <w:b/>
          <w:bCs/>
          <w:color w:val="1B3A6B"/>
          <w:sz w:val="24"/>
          <w:szCs w:val="24"/>
        </w:rPr>
        <w:t xml:space="preserve">3.8.2 Work Arrangement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2160"/>
        <w:gridCol w:w="2640"/>
      </w:tblGrid>
      <w:tr>
        <w:trPr>
          <w:tblHeader/>
        </w:trPr>
        <w:tc>
          <w:tcPr>
            <w:tcW w:type="dxa" w:w="18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Arrangement</w:t>
            </w:r>
          </w:p>
        </w:tc>
        <w:tc>
          <w:tcPr>
            <w:tcW w:type="dxa" w:w="27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Definition</w:t>
            </w:r>
          </w:p>
        </w:tc>
        <w:tc>
          <w:tcPr>
            <w:tcW w:type="dxa" w:w="21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Approval Authority</w:t>
            </w:r>
          </w:p>
        </w:tc>
        <w:tc>
          <w:tcPr>
            <w:tcW w:type="dxa" w:w="264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IT Equipment Provided?</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Office-First</w:t>
            </w:r>
          </w:p>
        </w:tc>
        <w:tc>
          <w:tcPr>
            <w:tcW w:type="dxa" w:w="2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Primarily office-based; remote ad-hoc up to 4 days/month</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Manager discretion</w:t>
            </w:r>
          </w:p>
        </w:tc>
        <w:tc>
          <w:tcPr>
            <w:tcW w:type="dxa" w:w="26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Full workstation + peripherals</w:t>
            </w:r>
          </w:p>
        </w:tc>
      </w:tr>
      <w:tr>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Hybrid — Structured</w:t>
            </w:r>
          </w:p>
        </w:tc>
        <w:tc>
          <w:tcPr>
            <w:tcW w:type="dxa" w:w="2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Defined office days (e.g., Mon/Wed/Fri); remote on other days</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Manager + HR BP</w:t>
            </w:r>
          </w:p>
        </w:tc>
        <w:tc>
          <w:tcPr>
            <w:tcW w:type="dxa" w:w="26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Laptop + home peripherals stipend</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Hybrid — Flexible</w:t>
            </w:r>
          </w:p>
        </w:tc>
        <w:tc>
          <w:tcPr>
            <w:tcW w:type="dxa" w:w="2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Minimum 2 office days per 2-week period; self-directed beyond that</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Manager + HR BP</w:t>
            </w:r>
          </w:p>
        </w:tc>
        <w:tc>
          <w:tcPr>
            <w:tcW w:type="dxa" w:w="26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Laptop + home peripherals stipend</w:t>
            </w:r>
          </w:p>
        </w:tc>
      </w:tr>
      <w:tr>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Remote — Domestic</w:t>
            </w:r>
          </w:p>
        </w:tc>
        <w:tc>
          <w:tcPr>
            <w:tcW w:type="dxa" w:w="2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Fully remote within country of employment; occasional travel to office</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Director + HR BP approval</w:t>
            </w:r>
          </w:p>
        </w:tc>
        <w:tc>
          <w:tcPr>
            <w:tcW w:type="dxa" w:w="26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Laptop + $600 home office stipend</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Remote — International</w:t>
            </w:r>
          </w:p>
        </w:tc>
        <w:tc>
          <w:tcPr>
            <w:tcW w:type="dxa" w:w="2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Permanently remote from a country other than country of employment</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ELT + Legal + Tax approval</w:t>
            </w:r>
          </w:p>
        </w:tc>
        <w:tc>
          <w:tcPr>
            <w:tcW w:type="dxa" w:w="26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Subject to individual agreement</w:t>
            </w:r>
          </w:p>
        </w:tc>
      </w:tr>
    </w:tbl>
    <w:p>
      <w:pPr>
        <w:spacing w:after="100" w:before="100"/>
      </w:pPr>
    </w:p>
    <w:p>
      <w:pPr>
        <w:pBdr>
          <w:left w:val="single" w:color="E36B00" w:sz="12" w:space="8"/>
        </w:pBdr>
        <w:spacing w:after="120" w:before="120"/>
        <w:ind w:left="360" w:right="360"/>
      </w:pPr>
      <w:r>
        <w:rPr>
          <w:rFonts w:ascii="Arial" w:cs="Arial" w:eastAsia="Arial" w:hAnsi="Arial"/>
          <w:b/>
          <w:bCs/>
          <w:color w:val="E36B00"/>
          <w:sz w:val="20"/>
          <w:szCs w:val="20"/>
        </w:rPr>
        <w:t xml:space="preserve">WARNING: </w:t>
      </w:r>
      <w:r>
        <w:rPr>
          <w:rFonts w:ascii="Arial" w:cs="Arial" w:eastAsia="Arial" w:hAnsi="Arial"/>
          <w:i/>
          <w:iCs/>
          <w:color w:val="1A1A1A"/>
          <w:sz w:val="20"/>
          <w:szCs w:val="20"/>
        </w:rPr>
        <w:t xml:space="preserve">International remote arrangements create complex tax, social security, immigration, and employment law implications. Employees must not unilaterally relocate to another country without prior written approval from Legal, Tax, and the CPO's office. Working remotely from another country for even one week may trigger unexpected tax obligations.</w:t>
      </w:r>
    </w:p>
    <w:p>
      <w:pPr>
        <w:pStyle w:val="Heading3"/>
        <w:spacing w:after="100" w:before="220"/>
      </w:pPr>
      <w:r>
        <w:rPr>
          <w:rFonts w:ascii="Arial" w:cs="Arial" w:eastAsia="Arial" w:hAnsi="Arial"/>
          <w:b/>
          <w:bCs/>
          <w:color w:val="1B3A6B"/>
          <w:sz w:val="24"/>
          <w:szCs w:val="24"/>
        </w:rPr>
        <w:t xml:space="preserve">3.8.3 Home Office &amp; Ergonomics Requirements</w:t>
      </w:r>
    </w:p>
    <w:p>
      <w:pPr>
        <w:spacing w:after="100" w:before="80" w:line="276" w:lineRule="auto"/>
        <w:jc w:val="both"/>
      </w:pPr>
      <w:r>
        <w:rPr>
          <w:rFonts w:ascii="Arial" w:cs="Arial" w:eastAsia="Arial" w:hAnsi="Arial"/>
          <w:b w:val="false"/>
          <w:bCs w:val="false"/>
          <w:i w:val="false"/>
          <w:iCs w:val="false"/>
          <w:color w:val="1A1A1A"/>
          <w:sz w:val="22"/>
          <w:szCs w:val="22"/>
        </w:rPr>
        <w:t xml:space="preserve">Employees working remotely are responsible for maintaining a safe, ergonomically appropriate, and professionally suitable home workspace. NexaCorp provides: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A one-time Home Office Stipend of $600 for new remote/hybrid employees to purchase ergonomic equipment (chair, desk, monitor, etc.). Receipts must be submitted within 90 days.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Annual Equipment Refresh Allowance of $200 for peripherals and consumables.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Internet Connectivity Stipend of $75/month for employees in Remote-Domestic or Remote-International arrangements.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Access to NexaDesk™ co-working pass: 10 free days/month at any WeWork or partner co-working location globally for employees without a designated office.</w:t>
      </w:r>
    </w:p>
    <w:p>
      <w:pPr>
        <w:spacing w:after="100" w:before="80" w:line="276" w:lineRule="auto"/>
        <w:jc w:val="both"/>
      </w:pPr>
      <w:r>
        <w:rPr>
          <w:rFonts w:ascii="Arial" w:cs="Arial" w:eastAsia="Arial" w:hAnsi="Arial"/>
          <w:b w:val="false"/>
          <w:bCs w:val="false"/>
          <w:i w:val="false"/>
          <w:iCs w:val="false"/>
          <w:color w:val="1A1A1A"/>
          <w:sz w:val="22"/>
          <w:szCs w:val="22"/>
        </w:rPr>
        <w:t xml:space="preserve">Employees must complete a Home Workstation Self-Assessment annually and attest that their workspace meets the minimum requirements set out in the Remote Work Safety Checklist (HR-RW-02).</w:t>
      </w:r>
    </w:p>
    <w:p>
      <w:pPr>
        <w:pStyle w:val="Heading3"/>
        <w:spacing w:after="100" w:before="220"/>
      </w:pPr>
      <w:r>
        <w:rPr>
          <w:rFonts w:ascii="Arial" w:cs="Arial" w:eastAsia="Arial" w:hAnsi="Arial"/>
          <w:b/>
          <w:bCs/>
          <w:color w:val="1B3A6B"/>
          <w:sz w:val="24"/>
          <w:szCs w:val="24"/>
        </w:rPr>
        <w:t xml:space="preserve">3.8.4 Core Collaboration Hours</w:t>
      </w:r>
    </w:p>
    <w:p>
      <w:pPr>
        <w:spacing w:after="100" w:before="80" w:line="276" w:lineRule="auto"/>
        <w:jc w:val="both"/>
      </w:pPr>
      <w:r>
        <w:rPr>
          <w:rFonts w:ascii="Arial" w:cs="Arial" w:eastAsia="Arial" w:hAnsi="Arial"/>
          <w:b w:val="false"/>
          <w:bCs w:val="false"/>
          <w:i w:val="false"/>
          <w:iCs w:val="false"/>
          <w:color w:val="1A1A1A"/>
          <w:sz w:val="22"/>
          <w:szCs w:val="22"/>
        </w:rPr>
        <w:t xml:space="preserve">Regardless of work arrangement or time zone, all employees are expected to be available for synchronous collaboration during their team's designated Core Hours, typically 10:00 AM – 3:00 PM in the primary time zone of the team's manager. Employees in significantly different time zones should work with their manager to agree on a modified availability window that supports team effectiveness without causing unreasonable hardship.</w:t>
      </w:r>
    </w:p>
    <w:p>
      <w:pPr>
        <w:pStyle w:val="Heading2"/>
        <w:spacing w:after="140" w:before="300"/>
      </w:pPr>
      <w:r>
        <w:rPr>
          <w:rFonts w:ascii="Arial" w:cs="Arial" w:eastAsia="Arial" w:hAnsi="Arial"/>
          <w:b/>
          <w:bCs/>
          <w:color w:val="2E75B6"/>
          <w:sz w:val="28"/>
          <w:szCs w:val="28"/>
        </w:rPr>
        <w:t xml:space="preserve">3.9 Attendance, Timekeeping &amp; Conduct</w:t>
      </w:r>
    </w:p>
    <w:p>
      <w:pPr>
        <w:pStyle w:val="Heading3"/>
        <w:spacing w:after="100" w:before="220"/>
      </w:pPr>
      <w:r>
        <w:rPr>
          <w:rFonts w:ascii="Arial" w:cs="Arial" w:eastAsia="Arial" w:hAnsi="Arial"/>
          <w:b/>
          <w:bCs/>
          <w:color w:val="1B3A6B"/>
          <w:sz w:val="24"/>
          <w:szCs w:val="24"/>
        </w:rPr>
        <w:t xml:space="preserve">3.9.1 Attendance Standards</w:t>
      </w:r>
    </w:p>
    <w:p>
      <w:pPr>
        <w:spacing w:after="100" w:before="80" w:line="276" w:lineRule="auto"/>
        <w:jc w:val="both"/>
      </w:pPr>
      <w:r>
        <w:rPr>
          <w:rFonts w:ascii="Arial" w:cs="Arial" w:eastAsia="Arial" w:hAnsi="Arial"/>
          <w:b w:val="false"/>
          <w:bCs w:val="false"/>
          <w:i w:val="false"/>
          <w:iCs w:val="false"/>
          <w:color w:val="1A1A1A"/>
          <w:sz w:val="22"/>
          <w:szCs w:val="22"/>
        </w:rPr>
        <w:t xml:space="preserve">Reliable attendance is fundamental to team performance and client delivery. Employees are expected to report to work (in-office or remote) on schedule, meet commitments to internal and external stakeholders, and communicate proactively when unable to meet expectations. Excessive unplanned absences — defined as more than 8 unplanned absences in any rolling 12-month period — will trigger a formal attendance review with the employee's HR Business Partner.</w:t>
      </w:r>
    </w:p>
    <w:p>
      <w:pPr>
        <w:pStyle w:val="Heading3"/>
        <w:spacing w:after="100" w:before="220"/>
      </w:pPr>
      <w:r>
        <w:rPr>
          <w:rFonts w:ascii="Arial" w:cs="Arial" w:eastAsia="Arial" w:hAnsi="Arial"/>
          <w:b/>
          <w:bCs/>
          <w:color w:val="1B3A6B"/>
          <w:sz w:val="24"/>
          <w:szCs w:val="24"/>
        </w:rPr>
        <w:t xml:space="preserve">3.9.2 Time Recording</w:t>
      </w:r>
    </w:p>
    <w:p>
      <w:pPr>
        <w:spacing w:after="100" w:before="80" w:line="276" w:lineRule="auto"/>
        <w:jc w:val="both"/>
      </w:pPr>
      <w:r>
        <w:rPr>
          <w:rFonts w:ascii="Arial" w:cs="Arial" w:eastAsia="Arial" w:hAnsi="Arial"/>
          <w:b w:val="false"/>
          <w:bCs w:val="false"/>
          <w:i w:val="false"/>
          <w:iCs w:val="false"/>
          <w:color w:val="1A1A1A"/>
          <w:sz w:val="22"/>
          <w:szCs w:val="22"/>
        </w:rPr>
        <w:t xml:space="preserve">Non-exempt employees are required to record all hours worked accurately and completely in the HRIS time-entry system by the close of each pay period. Any time worked in addition to scheduled hours, including email and messaging activity outside normal hours that constitutes compensable work under applicable law, must be recorded. Managers must review and approve time records by 12:00 PM on the Monday following the close of each bi-weekly pay period.</w:t>
      </w:r>
    </w:p>
    <w:p>
      <w:pPr>
        <w:pBdr>
          <w:left w:val="single" w:color="E36B00" w:sz="12" w:space="8"/>
        </w:pBdr>
        <w:spacing w:after="120" w:before="120"/>
        <w:ind w:left="360" w:right="360"/>
      </w:pPr>
      <w:r>
        <w:rPr>
          <w:rFonts w:ascii="Arial" w:cs="Arial" w:eastAsia="Arial" w:hAnsi="Arial"/>
          <w:b/>
          <w:bCs/>
          <w:color w:val="E36B00"/>
          <w:sz w:val="20"/>
          <w:szCs w:val="20"/>
        </w:rPr>
        <w:t xml:space="preserve">WARNING: </w:t>
      </w:r>
      <w:r>
        <w:rPr>
          <w:rFonts w:ascii="Arial" w:cs="Arial" w:eastAsia="Arial" w:hAnsi="Arial"/>
          <w:i/>
          <w:iCs/>
          <w:color w:val="1A1A1A"/>
          <w:sz w:val="20"/>
          <w:szCs w:val="20"/>
        </w:rPr>
        <w:t xml:space="preserve">Falsification of time records — including recording hours not actually worked, or not recording hours that were worked — is a form of fraud and will result in immediate termination and potential legal action.</w:t>
      </w:r>
    </w:p>
    <w:p>
      <w:pPr>
        <w:pStyle w:val="Heading3"/>
        <w:spacing w:after="100" w:before="220"/>
      </w:pPr>
      <w:r>
        <w:rPr>
          <w:rFonts w:ascii="Arial" w:cs="Arial" w:eastAsia="Arial" w:hAnsi="Arial"/>
          <w:b/>
          <w:bCs/>
          <w:color w:val="1B3A6B"/>
          <w:sz w:val="24"/>
          <w:szCs w:val="24"/>
        </w:rPr>
        <w:t xml:space="preserve">3.9.3 Dress Code &amp; Professional Appearance</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maintains a business casual dress code in its offices, with the expectation that employees will dress more formally when meeting clients, attending industry events, or representing NexaCorp at external forums. 'Business casual' is defined as neat, professional attire that is free from offensive graphics, slogans, or excessive informality. Jeans are permitted on Fridays ('NexaFriday') and during designated team events. Specific client-facing roles may have elevated dress code requirements communicated through the relevant Business Unit.</w:t>
      </w:r>
    </w:p>
    <w:p>
      <w:pPr>
        <w:spacing w:after="0" w:before="0"/>
      </w:pPr>
      <w:r>
        <w:br w:type="page"/>
      </w:r>
    </w:p>
    <w:p>
      <w:pPr>
        <w:shd w:fill="1B3A6B" w:val="clear"/>
        <w:spacing w:after="300" w:before="500"/>
        <w:jc w:val="center"/>
      </w:pPr>
      <w:r>
        <w:rPr>
          <w:rFonts w:ascii="Arial" w:cs="Arial" w:eastAsia="Arial" w:hAnsi="Arial"/>
          <w:b/>
          <w:bCs/>
          <w:color w:val="FFFFFF"/>
          <w:sz w:val="32"/>
          <w:szCs w:val="32"/>
        </w:rPr>
        <w:t xml:space="preserve">  PART IV — ANTI-HARASSMENT, DISCRIMINATION &amp; EQUAL OPPORTUNITY  </w:t>
      </w:r>
    </w:p>
    <w:p>
      <w:pPr>
        <w:spacing w:after="200" w:before="200"/>
      </w:pPr>
    </w:p>
    <w:p>
      <w:pPr>
        <w:pStyle w:val="Heading1"/>
        <w:pBdr>
          <w:bottom w:val="single" w:color="2E75B6" w:sz="8" w:space="4"/>
        </w:pBdr>
        <w:spacing w:after="200" w:before="400"/>
      </w:pPr>
      <w:r>
        <w:rPr>
          <w:rFonts w:ascii="Arial" w:cs="Arial" w:eastAsia="Arial" w:hAnsi="Arial"/>
          <w:b/>
          <w:bCs/>
          <w:color w:val="1B3A6B"/>
          <w:sz w:val="36"/>
          <w:szCs w:val="36"/>
        </w:rPr>
        <w:t xml:space="preserve">4. Anti-Harassment, Discrimination &amp; Equal Opportunity</w:t>
      </w:r>
    </w:p>
    <w:p>
      <w:pPr>
        <w:pStyle w:val="Heading2"/>
        <w:spacing w:after="140" w:before="300"/>
      </w:pPr>
      <w:r>
        <w:rPr>
          <w:rFonts w:ascii="Arial" w:cs="Arial" w:eastAsia="Arial" w:hAnsi="Arial"/>
          <w:b/>
          <w:bCs/>
          <w:color w:val="2E75B6"/>
          <w:sz w:val="28"/>
          <w:szCs w:val="28"/>
        </w:rPr>
        <w:t xml:space="preserve">4.1 Equal Employment Opportunity (EEO) Statement</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Global is firmly and unconditionally committed to providing equal employment opportunities to all individuals without regard to race, colour, ethnicity, national origin, religion or religious creed, sex (including pregnancy, childbirth, breastfeeding, and related medical conditions), gender, gender identity and expression, sexual orientation, age, physical or mental disability, medical condition, genetic information, military or veteran status, marital status, political affiliation, or any other basis protected by applicable federal, state, local, or international law.</w:t>
      </w:r>
    </w:p>
    <w:p>
      <w:pPr>
        <w:spacing w:after="100" w:before="80" w:line="276" w:lineRule="auto"/>
        <w:jc w:val="both"/>
      </w:pPr>
      <w:r>
        <w:rPr>
          <w:rFonts w:ascii="Arial" w:cs="Arial" w:eastAsia="Arial" w:hAnsi="Arial"/>
          <w:b w:val="false"/>
          <w:bCs w:val="false"/>
          <w:i w:val="false"/>
          <w:iCs w:val="false"/>
          <w:color w:val="1A1A1A"/>
          <w:sz w:val="22"/>
          <w:szCs w:val="22"/>
        </w:rPr>
        <w:t xml:space="preserve">This commitment extends to all aspects of employment including recruitment and hiring, onboarding, compensation and benefits, performance management, training and development, promotion and career progression, discipline, and separation from employment. NexaCorp prohibits both intentional discriminatory treatment (disparate treatment) and facially neutral practices that have a disproportionate adverse impact on protected groups without justification (disparate impact).</w:t>
      </w:r>
    </w:p>
    <w:p>
      <w:pPr>
        <w:pStyle w:val="Heading2"/>
        <w:spacing w:after="140" w:before="300"/>
      </w:pPr>
      <w:r>
        <w:rPr>
          <w:rFonts w:ascii="Arial" w:cs="Arial" w:eastAsia="Arial" w:hAnsi="Arial"/>
          <w:b/>
          <w:bCs/>
          <w:color w:val="2E75B6"/>
          <w:sz w:val="28"/>
          <w:szCs w:val="28"/>
        </w:rPr>
        <w:t xml:space="preserve">4.2 Harassment &amp; Discrimination Defined</w:t>
      </w:r>
    </w:p>
    <w:p>
      <w:pPr>
        <w:pStyle w:val="Heading3"/>
        <w:spacing w:after="100" w:before="220"/>
      </w:pPr>
      <w:r>
        <w:rPr>
          <w:rFonts w:ascii="Arial" w:cs="Arial" w:eastAsia="Arial" w:hAnsi="Arial"/>
          <w:b/>
          <w:bCs/>
          <w:color w:val="1B3A6B"/>
          <w:sz w:val="24"/>
          <w:szCs w:val="24"/>
        </w:rPr>
        <w:t xml:space="preserve">4.2.1 What Constitutes Harassment</w:t>
      </w:r>
    </w:p>
    <w:p>
      <w:pPr>
        <w:spacing w:after="100" w:before="80" w:line="276" w:lineRule="auto"/>
        <w:jc w:val="both"/>
      </w:pPr>
      <w:r>
        <w:rPr>
          <w:rFonts w:ascii="Arial" w:cs="Arial" w:eastAsia="Arial" w:hAnsi="Arial"/>
          <w:b w:val="false"/>
          <w:bCs w:val="false"/>
          <w:i w:val="false"/>
          <w:iCs w:val="false"/>
          <w:color w:val="1A1A1A"/>
          <w:sz w:val="22"/>
          <w:szCs w:val="22"/>
        </w:rPr>
        <w:t xml:space="preserve">Harassment is unwelcome conduct based on a protected characteristic that is sufficiently severe or pervasive to create a work environment that a reasonable person would consider intimidating, hostile, or abusive. It encompasses a wide spectrum of behaviours — from obvious physical conduct to subtle psychological manipulation — and may be perpetrated by any person in the workplace, including peers, managers, subordinates, clients, vendors, or contractors.</w:t>
      </w:r>
    </w:p>
    <w:p>
      <w:pPr>
        <w:pStyle w:val="Heading3"/>
        <w:spacing w:after="100" w:before="220"/>
      </w:pPr>
      <w:r>
        <w:rPr>
          <w:rFonts w:ascii="Arial" w:cs="Arial" w:eastAsia="Arial" w:hAnsi="Arial"/>
          <w:b/>
          <w:bCs/>
          <w:color w:val="1B3A6B"/>
          <w:sz w:val="24"/>
          <w:szCs w:val="24"/>
        </w:rPr>
        <w:t xml:space="preserve">4.2.2 Sexual Harassment — Specific Definitions</w:t>
      </w:r>
    </w:p>
    <w:p>
      <w:pPr>
        <w:spacing w:after="100" w:before="80" w:line="276" w:lineRule="auto"/>
        <w:jc w:val="both"/>
      </w:pPr>
      <w:r>
        <w:rPr>
          <w:rFonts w:ascii="Arial" w:cs="Arial" w:eastAsia="Arial" w:hAnsi="Arial"/>
          <w:b w:val="false"/>
          <w:bCs w:val="false"/>
          <w:i w:val="false"/>
          <w:iCs w:val="false"/>
          <w:color w:val="1A1A1A"/>
          <w:sz w:val="22"/>
          <w:szCs w:val="22"/>
        </w:rPr>
        <w:t xml:space="preserve">Sexual harassment is a specific and particularly serious form of harassment. NexaCorp recognises and prohibits two legally recognised forms: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Quid Pro Quo Harassment: Where submission to or rejection of sexual advances, requests for sexual favours, or other verbal or physical conduct of a sexual nature is made either explicitly or implicitly a term or condition of employment, or is used as the basis for employment decisions. A single severe incident is sufficient to constitute actionable harassment.</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Hostile Work Environment Harassment: Where unwelcome conduct of a sexual nature unreasonably interferes with an individual's work performance or creates an intimidating, hostile, or offensive working environment. This form typically involves a pattern of behaviour, though a single egregious act may suffice.</w:t>
      </w:r>
    </w:p>
    <w:p>
      <w:pPr>
        <w:pStyle w:val="Heading3"/>
        <w:spacing w:after="100" w:before="220"/>
      </w:pPr>
      <w:r>
        <w:rPr>
          <w:rFonts w:ascii="Arial" w:cs="Arial" w:eastAsia="Arial" w:hAnsi="Arial"/>
          <w:b/>
          <w:bCs/>
          <w:color w:val="1B3A6B"/>
          <w:sz w:val="24"/>
          <w:szCs w:val="24"/>
        </w:rPr>
        <w:t xml:space="preserve">4.2.3 Prohibited Behaviours — Non-Exhaustive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Category</w:t>
            </w:r>
          </w:p>
        </w:tc>
        <w:tc>
          <w:tcPr>
            <w:tcW w:type="dxa" w:w="72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Examples of Prohibited Conduct</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Physical</w:t>
            </w:r>
          </w:p>
        </w:tc>
        <w:tc>
          <w:tcPr>
            <w:tcW w:type="dxa" w:w="7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Unwanted touching, patting, hugging, kissing; blocking physical movement; physical intimidation or assault</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Verbal</w:t>
            </w:r>
          </w:p>
        </w:tc>
        <w:tc>
          <w:tcPr>
            <w:tcW w:type="dxa" w:w="72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Offensive jokes, slurs, epithets, or name-calling based on protected characteristics; derogatory comments; threats; sexual innuendo</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Visual/Written</w:t>
            </w:r>
          </w:p>
        </w:tc>
        <w:tc>
          <w:tcPr>
            <w:tcW w:type="dxa" w:w="7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Displaying offensive images, cartoons, or screen content; sending offensive emails, texts, or chat messages; graffiti</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Digital/Electronic</w:t>
            </w:r>
          </w:p>
        </w:tc>
        <w:tc>
          <w:tcPr>
            <w:tcW w:type="dxa" w:w="72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Harassment via corporate systems, social media, messaging apps, or email; cyberstalking; non-consensual sharing of intimate images</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Environmental</w:t>
            </w:r>
          </w:p>
        </w:tc>
        <w:tc>
          <w:tcPr>
            <w:tcW w:type="dxa" w:w="7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Excluding someone from meetings, projects, or social events based on protected characteristics; undermining work product; micromanagement motivated by bias</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Third-Party</w:t>
            </w:r>
          </w:p>
        </w:tc>
        <w:tc>
          <w:tcPr>
            <w:tcW w:type="dxa" w:w="72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Harassment of or by clients, vendors, or contractors occurring in connection with NexaCorp business</w:t>
            </w:r>
          </w:p>
        </w:tc>
      </w:tr>
    </w:tbl>
    <w:p>
      <w:pPr>
        <w:spacing w:after="100" w:before="100"/>
      </w:pPr>
    </w:p>
    <w:p>
      <w:pPr>
        <w:pStyle w:val="Heading2"/>
        <w:spacing w:after="140" w:before="300"/>
      </w:pPr>
      <w:r>
        <w:rPr>
          <w:rFonts w:ascii="Arial" w:cs="Arial" w:eastAsia="Arial" w:hAnsi="Arial"/>
          <w:b/>
          <w:bCs/>
          <w:color w:val="2E75B6"/>
          <w:sz w:val="28"/>
          <w:szCs w:val="28"/>
        </w:rPr>
        <w:t xml:space="preserve">4.3 Reporting &amp; Investigation Procedures</w:t>
      </w:r>
    </w:p>
    <w:p>
      <w:pPr>
        <w:pStyle w:val="Heading3"/>
        <w:spacing w:after="100" w:before="220"/>
      </w:pPr>
      <w:r>
        <w:rPr>
          <w:rFonts w:ascii="Arial" w:cs="Arial" w:eastAsia="Arial" w:hAnsi="Arial"/>
          <w:b/>
          <w:bCs/>
          <w:color w:val="1B3A6B"/>
          <w:sz w:val="24"/>
          <w:szCs w:val="24"/>
        </w:rPr>
        <w:t xml:space="preserve">4.3.1 Reporting Options</w:t>
      </w:r>
    </w:p>
    <w:p>
      <w:pPr>
        <w:spacing w:after="100" w:before="80" w:line="276" w:lineRule="auto"/>
        <w:jc w:val="both"/>
      </w:pPr>
      <w:r>
        <w:rPr>
          <w:rFonts w:ascii="Arial" w:cs="Arial" w:eastAsia="Arial" w:hAnsi="Arial"/>
          <w:b w:val="false"/>
          <w:bCs w:val="false"/>
          <w:i w:val="false"/>
          <w:iCs w:val="false"/>
          <w:color w:val="1A1A1A"/>
          <w:sz w:val="22"/>
          <w:szCs w:val="22"/>
        </w:rPr>
        <w:t xml:space="preserve">Any employee who experiences or witnesses conduct they believe violates this policy is encouraged — and in some cases required under applicable mandatory reporting obligations — to report it promptly. Reports may be made to any of the following:</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The employee's direct manager (unless the manager is the subject of the complaint).</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Any member of the HR team, including the employee's assigned HR Business Partner.</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The Ethics Hotline (anonymous, 24/7): +1-800-NEX-ETIX or ethics.nexacorp.com.</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The Chief People Officer directly for complaints involving senior leaders.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External reporting to the EEOC, state fair employment agencies, or equivalent international bodies.</w:t>
      </w:r>
    </w:p>
    <w:p>
      <w:pPr>
        <w:pStyle w:val="Heading3"/>
        <w:spacing w:after="100" w:before="220"/>
      </w:pPr>
      <w:r>
        <w:rPr>
          <w:rFonts w:ascii="Arial" w:cs="Arial" w:eastAsia="Arial" w:hAnsi="Arial"/>
          <w:b/>
          <w:bCs/>
          <w:color w:val="1B3A6B"/>
          <w:sz w:val="24"/>
          <w:szCs w:val="24"/>
        </w:rPr>
        <w:t xml:space="preserve">4.3.2 Investigation Standards</w:t>
      </w:r>
    </w:p>
    <w:p>
      <w:pPr>
        <w:spacing w:after="100" w:before="80" w:line="276" w:lineRule="auto"/>
        <w:jc w:val="both"/>
      </w:pPr>
      <w:r>
        <w:rPr>
          <w:rFonts w:ascii="Arial" w:cs="Arial" w:eastAsia="Arial" w:hAnsi="Arial"/>
          <w:b w:val="false"/>
          <w:bCs w:val="false"/>
          <w:i w:val="false"/>
          <w:iCs w:val="false"/>
          <w:color w:val="1A1A1A"/>
          <w:sz w:val="22"/>
          <w:szCs w:val="22"/>
        </w:rPr>
        <w:t xml:space="preserve">All complaints will be investigated promptly, thoroughly, and impartially. The following standards apply:</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A qualified HR investigator or external investigator (for senior-level complaints) will be assigned within 3 business days of receipt of the complaint.</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The investigation will include separate interviews with the complainant, the respondent, and all material witnesses. Notes will be taken and retained securely.</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Both parties will have the opportunity to present their account and any supporting evidence (documents, messages, emails, witness names).</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Interim measures (e.g., temporary schedule changes, reporting structure modifications) may be put in place during the investigation to protect the complainant without prejudicing the outcome.</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The investigation will be completed within 45 business days where possible. Complex matters may require additional time; parties will be kept informed of any extensions.</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A written Investigation Summary will be prepared and retained in a confidential file. Findings will be communicated to both parties to the extent permissible by law and consistent with confidentiality obligations.</w:t>
      </w:r>
    </w:p>
    <w:p>
      <w:pPr>
        <w:pBdr>
          <w:left w:val="single" w:color="2E75B6" w:sz="12" w:space="8"/>
        </w:pBdr>
        <w:spacing w:after="120" w:before="120"/>
        <w:ind w:left="360" w:right="360"/>
      </w:pPr>
      <w:r>
        <w:rPr>
          <w:rFonts w:ascii="Arial" w:cs="Arial" w:eastAsia="Arial" w:hAnsi="Arial"/>
          <w:b/>
          <w:bCs/>
          <w:color w:val="2E75B6"/>
          <w:sz w:val="20"/>
          <w:szCs w:val="20"/>
        </w:rPr>
        <w:t xml:space="preserve">NOTE: </w:t>
      </w:r>
      <w:r>
        <w:rPr>
          <w:rFonts w:ascii="Arial" w:cs="Arial" w:eastAsia="Arial" w:hAnsi="Arial"/>
          <w:i/>
          <w:iCs/>
          <w:color w:val="1A1A1A"/>
          <w:sz w:val="20"/>
          <w:szCs w:val="20"/>
        </w:rPr>
        <w:t xml:space="preserve">Confidentiality of the investigation process will be maintained to the greatest extent possible. Information will be shared only on a strict need-to-know basis. Employees involved in an investigation who breach confidentiality obligations may face separate disciplinary action.</w:t>
      </w:r>
    </w:p>
    <w:p>
      <w:pPr>
        <w:pStyle w:val="Heading2"/>
        <w:spacing w:after="140" w:before="300"/>
      </w:pPr>
      <w:r>
        <w:rPr>
          <w:rFonts w:ascii="Arial" w:cs="Arial" w:eastAsia="Arial" w:hAnsi="Arial"/>
          <w:b/>
          <w:bCs/>
          <w:color w:val="2E75B6"/>
          <w:sz w:val="28"/>
          <w:szCs w:val="28"/>
        </w:rPr>
        <w:t xml:space="preserve">4.4 Corrective Actions &amp; Consequences</w:t>
      </w:r>
    </w:p>
    <w:p>
      <w:pPr>
        <w:pStyle w:val="Heading3"/>
        <w:spacing w:after="100" w:before="220"/>
      </w:pPr>
      <w:r>
        <w:rPr>
          <w:rFonts w:ascii="Arial" w:cs="Arial" w:eastAsia="Arial" w:hAnsi="Arial"/>
          <w:b/>
          <w:bCs/>
          <w:color w:val="1B3A6B"/>
          <w:sz w:val="24"/>
          <w:szCs w:val="24"/>
        </w:rPr>
        <w:t xml:space="preserve">4.4.1 Range of Actions</w:t>
      </w:r>
    </w:p>
    <w:p>
      <w:pPr>
        <w:spacing w:after="100" w:before="80" w:line="276" w:lineRule="auto"/>
        <w:jc w:val="both"/>
      </w:pPr>
      <w:r>
        <w:rPr>
          <w:rFonts w:ascii="Arial" w:cs="Arial" w:eastAsia="Arial" w:hAnsi="Arial"/>
          <w:b w:val="false"/>
          <w:bCs w:val="false"/>
          <w:i w:val="false"/>
          <w:iCs w:val="false"/>
          <w:color w:val="1A1A1A"/>
          <w:sz w:val="22"/>
          <w:szCs w:val="22"/>
        </w:rPr>
        <w:t xml:space="preserve">Where an investigation substantiates a violation of this policy, NexaCorp will take corrective action that is proportionate to the severity, frequency, and circumstances of the violation. Available actions include but are not limited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40"/>
        <w:gridCol w:w="4320"/>
      </w:tblGrid>
      <w:tr>
        <w:trPr>
          <w:tblHeader/>
        </w:trPr>
        <w:tc>
          <w:tcPr>
            <w:tcW w:type="dxa" w:w="18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Severity Level</w:t>
            </w:r>
          </w:p>
        </w:tc>
        <w:tc>
          <w:tcPr>
            <w:tcW w:type="dxa" w:w="324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Examples of Conduct</w:t>
            </w:r>
          </w:p>
        </w:tc>
        <w:tc>
          <w:tcPr>
            <w:tcW w:type="dxa" w:w="43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Range of Consequences</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Level 1 — Minor</w:t>
            </w:r>
          </w:p>
        </w:tc>
        <w:tc>
          <w:tcPr>
            <w:tcW w:type="dxa" w:w="32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Insensitive comment; isolated unprofessional behaviour; first offence with mitigating factors</w:t>
            </w:r>
          </w:p>
        </w:tc>
        <w:tc>
          <w:tcPr>
            <w:tcW w:type="dxa" w:w="43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Written warning; mandatory re-training; management coaching; Letter placed in file</w:t>
            </w:r>
          </w:p>
        </w:tc>
      </w:tr>
      <w:tr>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Level 2 — Significant</w:t>
            </w:r>
          </w:p>
        </w:tc>
        <w:tc>
          <w:tcPr>
            <w:tcW w:type="dxa" w:w="32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Pattern of offensive comments; creating exclusionary dynamic; retaliatory behaviour</w:t>
            </w:r>
          </w:p>
        </w:tc>
        <w:tc>
          <w:tcPr>
            <w:tcW w:type="dxa" w:w="43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Final written warning; PIP; demotion; loss of STI bonus; extended monitoring</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Level 3 — Severe</w:t>
            </w:r>
          </w:p>
        </w:tc>
        <w:tc>
          <w:tcPr>
            <w:tcW w:type="dxa" w:w="32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Quid pro quo harassment; physical harassment; sustained hostile environment; retaliation against complainant</w:t>
            </w:r>
          </w:p>
        </w:tc>
        <w:tc>
          <w:tcPr>
            <w:tcW w:type="dxa" w:w="43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Immediate suspension pending investigation; termination of employment; referral to law enforcement where applicable</w:t>
            </w:r>
          </w:p>
        </w:tc>
      </w:tr>
    </w:tbl>
    <w:p>
      <w:pPr>
        <w:spacing w:after="100" w:before="100"/>
      </w:pPr>
    </w:p>
    <w:p>
      <w:pPr>
        <w:pStyle w:val="Heading3"/>
        <w:spacing w:after="100" w:before="220"/>
      </w:pPr>
      <w:r>
        <w:rPr>
          <w:rFonts w:ascii="Arial" w:cs="Arial" w:eastAsia="Arial" w:hAnsi="Arial"/>
          <w:b/>
          <w:bCs/>
          <w:color w:val="1B3A6B"/>
          <w:sz w:val="24"/>
          <w:szCs w:val="24"/>
        </w:rPr>
        <w:t xml:space="preserve">4.4.2 Manager Accountability</w:t>
      </w:r>
    </w:p>
    <w:p>
      <w:pPr>
        <w:spacing w:after="100" w:before="80" w:line="276" w:lineRule="auto"/>
        <w:jc w:val="both"/>
      </w:pPr>
      <w:r>
        <w:rPr>
          <w:rFonts w:ascii="Arial" w:cs="Arial" w:eastAsia="Arial" w:hAnsi="Arial"/>
          <w:b w:val="false"/>
          <w:bCs w:val="false"/>
          <w:i w:val="false"/>
          <w:iCs w:val="false"/>
          <w:color w:val="1A1A1A"/>
          <w:sz w:val="22"/>
          <w:szCs w:val="22"/>
        </w:rPr>
        <w:t xml:space="preserve">Managers and supervisors have an affirmative obligation to address harassment and discrimination that occurs within their team, even where no formal complaint has been made. A manager who witnesses harassing conduct and fails to take immediate corrective action will be held accountable to the same standard as if they personally engaged in the conduct. Turning a blind eye is not a defence.</w:t>
      </w:r>
    </w:p>
    <w:p>
      <w:pPr>
        <w:spacing w:after="0" w:before="0"/>
      </w:pPr>
      <w:r>
        <w:br w:type="page"/>
      </w:r>
    </w:p>
    <w:p>
      <w:pPr>
        <w:shd w:fill="1B3A6B" w:val="clear"/>
        <w:spacing w:after="300" w:before="500"/>
        <w:jc w:val="center"/>
      </w:pPr>
      <w:r>
        <w:rPr>
          <w:rFonts w:ascii="Arial" w:cs="Arial" w:eastAsia="Arial" w:hAnsi="Arial"/>
          <w:b/>
          <w:bCs/>
          <w:color w:val="FFFFFF"/>
          <w:sz w:val="32"/>
          <w:szCs w:val="32"/>
        </w:rPr>
        <w:t xml:space="preserve">  PART V — IT, DATA &amp; SECURITY POLICIES  </w:t>
      </w:r>
    </w:p>
    <w:p>
      <w:pPr>
        <w:spacing w:after="200" w:before="200"/>
      </w:pPr>
    </w:p>
    <w:p>
      <w:pPr>
        <w:pStyle w:val="Heading1"/>
        <w:pBdr>
          <w:bottom w:val="single" w:color="2E75B6" w:sz="8" w:space="4"/>
        </w:pBdr>
        <w:spacing w:after="200" w:before="400"/>
      </w:pPr>
      <w:r>
        <w:rPr>
          <w:rFonts w:ascii="Arial" w:cs="Arial" w:eastAsia="Arial" w:hAnsi="Arial"/>
          <w:b/>
          <w:bCs/>
          <w:color w:val="1B3A6B"/>
          <w:sz w:val="36"/>
          <w:szCs w:val="36"/>
        </w:rPr>
        <w:t xml:space="preserve">5. IT, Data &amp; Security Policies</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NexaCorp's technology assets, data, and information systems are critical business assets that must be protected from misuse, unauthorised access, and damage. Every employee who uses NexaCorp systems has a personal responsibility to use them appropriately, securely, and in compliance with this Part and all related security standards.</w:t>
      </w:r>
    </w:p>
    <w:p>
      <w:pPr>
        <w:pStyle w:val="Heading2"/>
        <w:spacing w:after="140" w:before="300"/>
      </w:pPr>
      <w:r>
        <w:rPr>
          <w:rFonts w:ascii="Arial" w:cs="Arial" w:eastAsia="Arial" w:hAnsi="Arial"/>
          <w:b/>
          <w:bCs/>
          <w:color w:val="2E75B6"/>
          <w:sz w:val="28"/>
          <w:szCs w:val="28"/>
        </w:rPr>
        <w:t xml:space="preserve">5.1 Acceptable Use of Technology</w:t>
      </w:r>
    </w:p>
    <w:p>
      <w:pPr>
        <w:pStyle w:val="Heading3"/>
        <w:spacing w:after="100" w:before="220"/>
      </w:pPr>
      <w:r>
        <w:rPr>
          <w:rFonts w:ascii="Arial" w:cs="Arial" w:eastAsia="Arial" w:hAnsi="Arial"/>
          <w:b/>
          <w:bCs/>
          <w:color w:val="1B3A6B"/>
          <w:sz w:val="24"/>
          <w:szCs w:val="24"/>
        </w:rPr>
        <w:t xml:space="preserve">5.1.1 Covered Systems</w:t>
      </w:r>
    </w:p>
    <w:p>
      <w:pPr>
        <w:spacing w:after="100" w:before="80" w:line="276" w:lineRule="auto"/>
        <w:jc w:val="both"/>
      </w:pPr>
      <w:r>
        <w:rPr>
          <w:rFonts w:ascii="Arial" w:cs="Arial" w:eastAsia="Arial" w:hAnsi="Arial"/>
          <w:b w:val="false"/>
          <w:bCs w:val="false"/>
          <w:i w:val="false"/>
          <w:iCs w:val="false"/>
          <w:color w:val="1A1A1A"/>
          <w:sz w:val="22"/>
          <w:szCs w:val="22"/>
        </w:rPr>
        <w:t xml:space="preserve">This policy applies to all NexaCorp-owned, leased, or licensed technology assets (collectively 'Systems'), including but not limited to: desktop and laptop computers; mobile devices (smartphones and tablets, whether company-issued or BYOD); servers; network infrastructure; cloud platforms; collaboration tools (Slack, Microsoft 365, Zoom, etc.); development environments; and any other system accessed using NexaCorp credentials.</w:t>
      </w:r>
    </w:p>
    <w:p>
      <w:pPr>
        <w:pStyle w:val="Heading3"/>
        <w:spacing w:after="100" w:before="220"/>
      </w:pPr>
      <w:r>
        <w:rPr>
          <w:rFonts w:ascii="Arial" w:cs="Arial" w:eastAsia="Arial" w:hAnsi="Arial"/>
          <w:b/>
          <w:bCs/>
          <w:color w:val="1B3A6B"/>
          <w:sz w:val="24"/>
          <w:szCs w:val="24"/>
        </w:rPr>
        <w:t xml:space="preserve">5.1.2 Permitted Uses</w:t>
      </w:r>
    </w:p>
    <w:p>
      <w:pPr>
        <w:spacing w:after="100" w:before="80" w:line="276" w:lineRule="auto"/>
        <w:jc w:val="both"/>
      </w:pPr>
      <w:r>
        <w:rPr>
          <w:rFonts w:ascii="Arial" w:cs="Arial" w:eastAsia="Arial" w:hAnsi="Arial"/>
          <w:b w:val="false"/>
          <w:bCs w:val="false"/>
          <w:i w:val="false"/>
          <w:iCs w:val="false"/>
          <w:color w:val="1A1A1A"/>
          <w:sz w:val="22"/>
          <w:szCs w:val="22"/>
        </w:rPr>
        <w:t xml:space="preserve">Systems may be used for the following purposes: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Conducting authorised NexaCorp business activities consistent with the employee's role and responsibilities.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Communicating with clients, partners, vendors, and colleagues in a professional manner.</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Accessing NexaAcademy™ and other approved learning resources.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Limited personal use that does not interfere with work duties, consume significant bandwidth, or create legal risk (e.g., checking personal email briefly; visiting news sites). This privilege may be revoked.</w:t>
      </w:r>
    </w:p>
    <w:p>
      <w:pPr>
        <w:pStyle w:val="Heading3"/>
        <w:spacing w:after="100" w:before="220"/>
      </w:pPr>
      <w:r>
        <w:rPr>
          <w:rFonts w:ascii="Arial" w:cs="Arial" w:eastAsia="Arial" w:hAnsi="Arial"/>
          <w:b/>
          <w:bCs/>
          <w:color w:val="1B3A6B"/>
          <w:sz w:val="24"/>
          <w:szCs w:val="24"/>
        </w:rPr>
        <w:t xml:space="preserve">5.1.3 Prohibited Uses</w:t>
      </w:r>
    </w:p>
    <w:p>
      <w:pPr>
        <w:spacing w:after="100" w:before="80" w:line="276" w:lineRule="auto"/>
        <w:jc w:val="both"/>
      </w:pPr>
      <w:r>
        <w:rPr>
          <w:rFonts w:ascii="Arial" w:cs="Arial" w:eastAsia="Arial" w:hAnsi="Arial"/>
          <w:b w:val="false"/>
          <w:bCs w:val="false"/>
          <w:i w:val="false"/>
          <w:iCs w:val="false"/>
          <w:color w:val="1A1A1A"/>
          <w:sz w:val="22"/>
          <w:szCs w:val="22"/>
        </w:rPr>
        <w:t xml:space="preserve">The following uses of NexaCorp Systems are strictly prohibited:</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Accessing, creating, storing, transmitting, or displaying content that is pornographic, violent, discriminatory, threatening, or illegal.</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Engaging in cryptocurrency mining using NexaCorp computing resources.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Installing unauthorised software, browser extensions, or plugins without IT approval.</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Using NexaCorp systems to operate a personal business or generate personal income unrelated to NexaCorp employment.</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Attempting to access systems, accounts, or data for which you have not been specifically authorised.</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Sharing credentials (passwords, MFA codes, security tokens) with any person, including colleagues and family members.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Circumventing data loss prevention (DLP) controls, VPN requirements, or endpoint security software.</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Connecting personal or unapproved storage devices (USB drives, external hard drives) to NexaCorp systems without express IT approval.</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Using personal cloud storage (Google Drive personal, Dropbox personal, iCloud) to store NexaCorp confidential data.</w:t>
      </w:r>
    </w:p>
    <w:p>
      <w:pPr>
        <w:pStyle w:val="Heading3"/>
        <w:spacing w:after="100" w:before="220"/>
      </w:pPr>
      <w:r>
        <w:rPr>
          <w:rFonts w:ascii="Arial" w:cs="Arial" w:eastAsia="Arial" w:hAnsi="Arial"/>
          <w:b/>
          <w:bCs/>
          <w:color w:val="1B3A6B"/>
          <w:sz w:val="24"/>
          <w:szCs w:val="24"/>
        </w:rPr>
        <w:t xml:space="preserve">5.1.4 Monitoring &amp; Privacy Notice</w:t>
      </w:r>
    </w:p>
    <w:p>
      <w:pPr>
        <w:spacing w:after="100" w:before="80" w:line="276" w:lineRule="auto"/>
        <w:jc w:val="both"/>
      </w:pPr>
      <w:r>
        <w:rPr>
          <w:rFonts w:ascii="Arial" w:cs="Arial" w:eastAsia="Arial" w:hAnsi="Arial"/>
          <w:b w:val="false"/>
          <w:bCs w:val="false"/>
          <w:i w:val="false"/>
          <w:iCs w:val="false"/>
          <w:color w:val="1A1A1A"/>
          <w:sz w:val="22"/>
          <w:szCs w:val="22"/>
        </w:rPr>
        <w:t xml:space="preserve">Employees should have no expectation of privacy when using NexaCorp Systems. NexaCorp reserves the right to monitor, access, inspect, and review any content, communications, or activities conducted on its Systems, including emails, chat messages, browser history, files, and application usage logs. Such monitoring may be conducted without prior notice and may be used for disciplinary purposes. In jurisdictions where prior notice or employee consent is required by law (e.g., Germany, France, Netherlands), country-specific addenda will specify the applicable monitoring practices and consent mechanisms.</w:t>
      </w:r>
    </w:p>
    <w:p>
      <w:pPr>
        <w:pStyle w:val="Heading2"/>
        <w:spacing w:after="140" w:before="300"/>
      </w:pPr>
      <w:r>
        <w:rPr>
          <w:rFonts w:ascii="Arial" w:cs="Arial" w:eastAsia="Arial" w:hAnsi="Arial"/>
          <w:b/>
          <w:bCs/>
          <w:color w:val="2E75B6"/>
          <w:sz w:val="28"/>
          <w:szCs w:val="28"/>
        </w:rPr>
        <w:t xml:space="preserve">5.2 Information Classification &amp; Handling</w:t>
      </w:r>
    </w:p>
    <w:p>
      <w:pPr>
        <w:pStyle w:val="Heading3"/>
        <w:spacing w:after="100" w:before="220"/>
      </w:pPr>
      <w:r>
        <w:rPr>
          <w:rFonts w:ascii="Arial" w:cs="Arial" w:eastAsia="Arial" w:hAnsi="Arial"/>
          <w:b/>
          <w:bCs/>
          <w:color w:val="1B3A6B"/>
          <w:sz w:val="24"/>
          <w:szCs w:val="24"/>
        </w:rPr>
        <w:t xml:space="preserve">5.2.1 Classification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080"/>
        <w:gridCol w:w="3240"/>
        <w:gridCol w:w="4320"/>
      </w:tblGrid>
      <w:tr>
        <w:trPr>
          <w:tblHeader/>
        </w:trPr>
        <w:tc>
          <w:tcPr>
            <w:tcW w:type="dxa" w:w="7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Classification</w:t>
            </w:r>
          </w:p>
        </w:tc>
        <w:tc>
          <w:tcPr>
            <w:tcW w:type="dxa" w:w="108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Label</w:t>
            </w:r>
          </w:p>
        </w:tc>
        <w:tc>
          <w:tcPr>
            <w:tcW w:type="dxa" w:w="324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Examples</w:t>
            </w:r>
          </w:p>
        </w:tc>
        <w:tc>
          <w:tcPr>
            <w:tcW w:type="dxa" w:w="43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Handling Requirements</w:t>
            </w:r>
          </w:p>
        </w:tc>
      </w:tr>
      <w:tr>
        <w:tc>
          <w:tcPr>
            <w:tcW w:type="dxa" w:w="7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Tier 1</w:t>
            </w:r>
          </w:p>
        </w:tc>
        <w:tc>
          <w:tcPr>
            <w:tcW w:type="dxa" w:w="10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Public</w:t>
            </w:r>
          </w:p>
        </w:tc>
        <w:tc>
          <w:tcPr>
            <w:tcW w:type="dxa" w:w="32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Marketing materials, press releases, published job postings, product datasheets</w:t>
            </w:r>
          </w:p>
        </w:tc>
        <w:tc>
          <w:tcPr>
            <w:tcW w:type="dxa" w:w="43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No restrictions; may be freely shared externally</w:t>
            </w:r>
          </w:p>
        </w:tc>
      </w:tr>
      <w:tr>
        <w:tc>
          <w:tcPr>
            <w:tcW w:type="dxa" w:w="7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Tier 2</w:t>
            </w:r>
          </w:p>
        </w:tc>
        <w:tc>
          <w:tcPr>
            <w:tcW w:type="dxa" w:w="10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Internal</w:t>
            </w:r>
          </w:p>
        </w:tc>
        <w:tc>
          <w:tcPr>
            <w:tcW w:type="dxa" w:w="32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Internal policies, org charts, project plans, internal memos</w:t>
            </w:r>
          </w:p>
        </w:tc>
        <w:tc>
          <w:tcPr>
            <w:tcW w:type="dxa" w:w="43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Do not share externally without approval; NexaCorp email only</w:t>
            </w:r>
          </w:p>
        </w:tc>
      </w:tr>
      <w:tr>
        <w:tc>
          <w:tcPr>
            <w:tcW w:type="dxa" w:w="7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Tier 3</w:t>
            </w:r>
          </w:p>
        </w:tc>
        <w:tc>
          <w:tcPr>
            <w:tcW w:type="dxa" w:w="10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Confidential</w:t>
            </w:r>
          </w:p>
        </w:tc>
        <w:tc>
          <w:tcPr>
            <w:tcW w:type="dxa" w:w="32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Client contracts, financial projections, employee compensation data, M&amp;A information</w:t>
            </w:r>
          </w:p>
        </w:tc>
        <w:tc>
          <w:tcPr>
            <w:tcW w:type="dxa" w:w="43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Encrypt in transit; restrict to need-to-know; no personal devices</w:t>
            </w:r>
          </w:p>
        </w:tc>
      </w:tr>
      <w:tr>
        <w:tc>
          <w:tcPr>
            <w:tcW w:type="dxa" w:w="7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Tier 4</w:t>
            </w:r>
          </w:p>
        </w:tc>
        <w:tc>
          <w:tcPr>
            <w:tcW w:type="dxa" w:w="10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Restricted</w:t>
            </w:r>
          </w:p>
        </w:tc>
        <w:tc>
          <w:tcPr>
            <w:tcW w:type="dxa" w:w="32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Source code, encryption keys, MNPI, personal data (PII/PHI), regulated data</w:t>
            </w:r>
          </w:p>
        </w:tc>
        <w:tc>
          <w:tcPr>
            <w:tcW w:type="dxa" w:w="43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Encrypt at rest and in transit; DLP controls; access logged; no printing</w:t>
            </w:r>
          </w:p>
        </w:tc>
      </w:tr>
    </w:tbl>
    <w:p>
      <w:pPr>
        <w:spacing w:after="100" w:before="100"/>
      </w:pPr>
    </w:p>
    <w:p>
      <w:pPr>
        <w:pStyle w:val="Heading3"/>
        <w:spacing w:after="100" w:before="220"/>
      </w:pPr>
      <w:r>
        <w:rPr>
          <w:rFonts w:ascii="Arial" w:cs="Arial" w:eastAsia="Arial" w:hAnsi="Arial"/>
          <w:b/>
          <w:bCs/>
          <w:color w:val="1B3A6B"/>
          <w:sz w:val="24"/>
          <w:szCs w:val="24"/>
        </w:rPr>
        <w:t xml:space="preserve">5.2.2 Data Retention &amp; Disposal</w:t>
      </w:r>
    </w:p>
    <w:p>
      <w:pPr>
        <w:spacing w:after="100" w:before="80" w:line="276" w:lineRule="auto"/>
        <w:jc w:val="both"/>
      </w:pPr>
      <w:r>
        <w:rPr>
          <w:rFonts w:ascii="Arial" w:cs="Arial" w:eastAsia="Arial" w:hAnsi="Arial"/>
          <w:b w:val="false"/>
          <w:bCs w:val="false"/>
          <w:i w:val="false"/>
          <w:iCs w:val="false"/>
          <w:color w:val="1A1A1A"/>
          <w:sz w:val="22"/>
          <w:szCs w:val="22"/>
        </w:rPr>
        <w:t xml:space="preserve">All data created, collected, or processed in the course of NexaCorp business is subject to the NexaCorp Data Retention Schedule (DRS), maintained by the Data Governance Council. Employees must not delete or destroy data that may be subject to a litigation hold (Legal Hold Notice issued by the CLO's office) or regulatory investigation, regardless of the DRS schedule. When data reaches the end of its retention period, it must be disposed of using approved methods: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Electronic Data: Cryptographic erasure or verified overwrite using NIST 800-88-compliant tools. Deletion from trash/recycle bin alone is insufficient.</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Physical Documents (Confidential or above): Cross-cut shredding using office-provided shredders or contracted secure document destruction vendors. Do not dispose of confidential documents in regular waste bins.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Hardware Containing Data: IT Asset Management team must be notified for all equipment disposals. Unauthorised disposal of NexaCorp hardware is prohibited.</w:t>
      </w:r>
    </w:p>
    <w:p>
      <w:pPr>
        <w:pStyle w:val="Heading2"/>
        <w:spacing w:after="140" w:before="300"/>
      </w:pPr>
      <w:r>
        <w:rPr>
          <w:rFonts w:ascii="Arial" w:cs="Arial" w:eastAsia="Arial" w:hAnsi="Arial"/>
          <w:b/>
          <w:bCs/>
          <w:color w:val="2E75B6"/>
          <w:sz w:val="28"/>
          <w:szCs w:val="28"/>
        </w:rPr>
        <w:t xml:space="preserve">5.3 Cybersecurity Incident Response</w:t>
      </w:r>
    </w:p>
    <w:p>
      <w:pPr>
        <w:pStyle w:val="Heading3"/>
        <w:spacing w:after="100" w:before="220"/>
      </w:pPr>
      <w:r>
        <w:rPr>
          <w:rFonts w:ascii="Arial" w:cs="Arial" w:eastAsia="Arial" w:hAnsi="Arial"/>
          <w:b/>
          <w:bCs/>
          <w:color w:val="1B3A6B"/>
          <w:sz w:val="24"/>
          <w:szCs w:val="24"/>
        </w:rPr>
        <w:t xml:space="preserve">5.3.1 What Constitutes a Security Incident</w:t>
      </w:r>
    </w:p>
    <w:p>
      <w:pPr>
        <w:spacing w:after="100" w:before="80" w:line="276" w:lineRule="auto"/>
        <w:jc w:val="both"/>
      </w:pPr>
      <w:r>
        <w:rPr>
          <w:rFonts w:ascii="Arial" w:cs="Arial" w:eastAsia="Arial" w:hAnsi="Arial"/>
          <w:b w:val="false"/>
          <w:bCs w:val="false"/>
          <w:i w:val="false"/>
          <w:iCs w:val="false"/>
          <w:color w:val="1A1A1A"/>
          <w:sz w:val="22"/>
          <w:szCs w:val="22"/>
        </w:rPr>
        <w:t xml:space="preserve">A security incident is any event that actually or potentially compromises the confidentiality, integrity, or availability of NexaCorp information assets or systems. Employees must report the following to the Security Operations Centre (SOC) immediately via security@nexacorp.com or the 24/7 Incident Hotline (+1-415-700-9911):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4200"/>
        <w:gridCol w:w="1640"/>
      </w:tblGrid>
      <w:tr>
        <w:trPr>
          <w:tblHeader/>
        </w:trPr>
        <w:tc>
          <w:tcPr>
            <w:tcW w:type="dxa" w:w="25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Incident Type</w:t>
            </w:r>
          </w:p>
        </w:tc>
        <w:tc>
          <w:tcPr>
            <w:tcW w:type="dxa" w:w="42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Examples</w:t>
            </w:r>
          </w:p>
        </w:tc>
        <w:tc>
          <w:tcPr>
            <w:tcW w:type="dxa" w:w="164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Urgency</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Phishing &amp; Social Engineering</w:t>
            </w:r>
          </w:p>
        </w:tc>
        <w:tc>
          <w:tcPr>
            <w:tcW w:type="dxa" w:w="4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Suspicious email with link/attachment clicked; voice phishing (vishing); fake IT support call</w:t>
            </w:r>
          </w:p>
        </w:tc>
        <w:tc>
          <w:tcPr>
            <w:tcW w:type="dxa" w:w="16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Same day</w:t>
            </w:r>
          </w:p>
        </w:tc>
      </w:tr>
      <w:tr>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Malware / Ransomware</w:t>
            </w:r>
          </w:p>
        </w:tc>
        <w:tc>
          <w:tcPr>
            <w:tcW w:type="dxa" w:w="42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Unusual system behaviour; files encrypted; ransom note; antivirus alert</w:t>
            </w:r>
          </w:p>
        </w:tc>
        <w:tc>
          <w:tcPr>
            <w:tcW w:type="dxa" w:w="16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Immediate — disconnect from network</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Credential Compromise</w:t>
            </w:r>
          </w:p>
        </w:tc>
        <w:tc>
          <w:tcPr>
            <w:tcW w:type="dxa" w:w="4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Unexpected MFA prompt; password reset not initiated by you; account locked</w:t>
            </w:r>
          </w:p>
        </w:tc>
        <w:tc>
          <w:tcPr>
            <w:tcW w:type="dxa" w:w="16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Immediate</w:t>
            </w:r>
          </w:p>
        </w:tc>
      </w:tr>
      <w:tr>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Unauthorised Access</w:t>
            </w:r>
          </w:p>
        </w:tc>
        <w:tc>
          <w:tcPr>
            <w:tcW w:type="dxa" w:w="42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Unrecognised logins in system; access to files not in your role scope</w:t>
            </w:r>
          </w:p>
        </w:tc>
        <w:tc>
          <w:tcPr>
            <w:tcW w:type="dxa" w:w="16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Within 4 hours</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Data Loss / Exfiltration</w:t>
            </w:r>
          </w:p>
        </w:tc>
        <w:tc>
          <w:tcPr>
            <w:tcW w:type="dxa" w:w="4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Missing data; evidence of bulk data transfer; accidental external sharing of restricted data</w:t>
            </w:r>
          </w:p>
        </w:tc>
        <w:tc>
          <w:tcPr>
            <w:tcW w:type="dxa" w:w="16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Within 1 hour</w:t>
            </w:r>
          </w:p>
        </w:tc>
      </w:tr>
      <w:tr>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Physical Security Breach</w:t>
            </w:r>
          </w:p>
        </w:tc>
        <w:tc>
          <w:tcPr>
            <w:tcW w:type="dxa" w:w="42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Tailgating into secure area; lost/stolen device; unattended open workstation</w:t>
            </w:r>
          </w:p>
        </w:tc>
        <w:tc>
          <w:tcPr>
            <w:tcW w:type="dxa" w:w="16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Within 2 hours</w:t>
            </w:r>
          </w:p>
        </w:tc>
      </w:tr>
    </w:tbl>
    <w:p>
      <w:pPr>
        <w:spacing w:after="100" w:before="100"/>
      </w:pPr>
    </w:p>
    <w:p>
      <w:pPr>
        <w:pStyle w:val="Heading3"/>
        <w:spacing w:after="100" w:before="220"/>
      </w:pPr>
      <w:r>
        <w:rPr>
          <w:rFonts w:ascii="Arial" w:cs="Arial" w:eastAsia="Arial" w:hAnsi="Arial"/>
          <w:b/>
          <w:bCs/>
          <w:color w:val="1B3A6B"/>
          <w:sz w:val="24"/>
          <w:szCs w:val="24"/>
        </w:rPr>
        <w:t xml:space="preserve">5.3.2 Incident Response Process</w:t>
      </w:r>
    </w:p>
    <w:p>
      <w:pPr>
        <w:spacing w:after="100" w:before="80" w:line="276" w:lineRule="auto"/>
        <w:jc w:val="both"/>
      </w:pPr>
      <w:r>
        <w:rPr>
          <w:rFonts w:ascii="Arial" w:cs="Arial" w:eastAsia="Arial" w:hAnsi="Arial"/>
          <w:b w:val="false"/>
          <w:bCs w:val="false"/>
          <w:i w:val="false"/>
          <w:iCs w:val="false"/>
          <w:color w:val="1A1A1A"/>
          <w:sz w:val="22"/>
          <w:szCs w:val="22"/>
        </w:rPr>
        <w:t xml:space="preserve">Upon receipt of an incident report, the Security Operations Centre follows NexaCorp's NIST CSF-aligned Incident Response Plan (IRP-001):</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Identification: Validate the incident, assess initial scope, and assign severity level (P1–P4).</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Containment: Isolate affected systems, revoke compromised credentials, and preserve evidence.</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Eradication: Remove malicious code, close exploited vulnerabilities, and remediate root cause.</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Recovery: Restore systems from clean backups, verify integrity, and gradually return to normal operations.</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Post-Incident Review: Conduct blameless post-mortem within 10 business days of containment; update IRP accordingly.</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Regulatory Notification: In cases involving personal data breaches, the Legal and Privacy teams will determine notification obligations within 72 hours (GDPR) or applicable local law timelines.</w:t>
      </w:r>
    </w:p>
    <w:p>
      <w:pPr>
        <w:pStyle w:val="Heading2"/>
        <w:spacing w:after="140" w:before="300"/>
      </w:pPr>
      <w:r>
        <w:rPr>
          <w:rFonts w:ascii="Arial" w:cs="Arial" w:eastAsia="Arial" w:hAnsi="Arial"/>
          <w:b/>
          <w:bCs/>
          <w:color w:val="2E75B6"/>
          <w:sz w:val="28"/>
          <w:szCs w:val="28"/>
        </w:rPr>
        <w:t xml:space="preserve">5.4 Data Privacy (GDPR, CCPA &amp; Global)</w:t>
      </w:r>
    </w:p>
    <w:p>
      <w:pPr>
        <w:pStyle w:val="Heading3"/>
        <w:spacing w:after="100" w:before="220"/>
      </w:pPr>
      <w:r>
        <w:rPr>
          <w:rFonts w:ascii="Arial" w:cs="Arial" w:eastAsia="Arial" w:hAnsi="Arial"/>
          <w:b/>
          <w:bCs/>
          <w:color w:val="1B3A6B"/>
          <w:sz w:val="24"/>
          <w:szCs w:val="24"/>
        </w:rPr>
        <w:t xml:space="preserve">5.4.1 Privacy Principles</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is committed to processing personal data responsibly, lawfully, and with respect for individuals' privacy rights. These principles are embedded across all NexaCorp systems, processes, and products and are reinforced by the company's global privacy programme, led by the Chief Privacy Officer (a role within the CISO's organisation).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Privacy Principle</w:t>
            </w:r>
          </w:p>
        </w:tc>
        <w:tc>
          <w:tcPr>
            <w:tcW w:type="dxa" w:w="648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What It Means for Employees</w:t>
            </w:r>
          </w:p>
        </w:tc>
      </w:tr>
      <w:tr>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Lawfulness, Fairness &amp; Transparency</w:t>
            </w:r>
          </w:p>
        </w:tc>
        <w:tc>
          <w:tcPr>
            <w:tcW w:type="dxa" w:w="64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Personal data must be collected on a legitimate legal basis. Employees must not collect data covertly or deceptively.</w:t>
            </w:r>
          </w:p>
        </w:tc>
      </w:tr>
      <w:tr>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Purpose Limitation</w:t>
            </w:r>
          </w:p>
        </w:tc>
        <w:tc>
          <w:tcPr>
            <w:tcW w:type="dxa" w:w="64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Data collected for one purpose may not be repurposed for an incompatible use without additional legal basis or consent.</w:t>
            </w:r>
          </w:p>
        </w:tc>
      </w:tr>
      <w:tr>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Data Minimisation</w:t>
            </w:r>
          </w:p>
        </w:tc>
        <w:tc>
          <w:tcPr>
            <w:tcW w:type="dxa" w:w="64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Collect only the data you actually need. Request only the minimum scope of access to client or employee data.</w:t>
            </w:r>
          </w:p>
        </w:tc>
      </w:tr>
      <w:tr>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Accuracy</w:t>
            </w:r>
          </w:p>
        </w:tc>
        <w:tc>
          <w:tcPr>
            <w:tcW w:type="dxa" w:w="64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Keep personal data accurate and up to date. Correct inaccuracies promptly when discovered.</w:t>
            </w:r>
          </w:p>
        </w:tc>
      </w:tr>
      <w:tr>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Storage Limitation</w:t>
            </w:r>
          </w:p>
        </w:tc>
        <w:tc>
          <w:tcPr>
            <w:tcW w:type="dxa" w:w="64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Do not retain personal data longer than necessary. Follow the Data Retention Schedule (DRS).</w:t>
            </w:r>
          </w:p>
        </w:tc>
      </w:tr>
      <w:tr>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Security</w:t>
            </w:r>
          </w:p>
        </w:tc>
        <w:tc>
          <w:tcPr>
            <w:tcW w:type="dxa" w:w="64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Apply appropriate technical and organisational measures to protect personal data from unauthorised access, loss, or destruction.</w:t>
            </w:r>
          </w:p>
        </w:tc>
      </w:tr>
      <w:tr>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Accountability</w:t>
            </w:r>
          </w:p>
        </w:tc>
        <w:tc>
          <w:tcPr>
            <w:tcW w:type="dxa" w:w="64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Document privacy decisions and be prepared to demonstrate compliance. Privacy Impact Assessments (PIAs) are mandatory for high-risk processing activities.</w:t>
            </w:r>
          </w:p>
        </w:tc>
      </w:tr>
    </w:tbl>
    <w:p>
      <w:pPr>
        <w:spacing w:after="100" w:before="100"/>
      </w:pPr>
    </w:p>
    <w:p>
      <w:pPr>
        <w:pBdr>
          <w:left w:val="single" w:color="C00000" w:sz="12" w:space="8"/>
        </w:pBdr>
        <w:spacing w:after="120" w:before="120"/>
        <w:ind w:left="360" w:right="360"/>
      </w:pPr>
      <w:r>
        <w:rPr>
          <w:rFonts w:ascii="Arial" w:cs="Arial" w:eastAsia="Arial" w:hAnsi="Arial"/>
          <w:b/>
          <w:bCs/>
          <w:color w:val="C00000"/>
          <w:sz w:val="20"/>
          <w:szCs w:val="20"/>
        </w:rPr>
        <w:t xml:space="preserve">IMPORTANT: </w:t>
      </w:r>
      <w:r>
        <w:rPr>
          <w:rFonts w:ascii="Arial" w:cs="Arial" w:eastAsia="Arial" w:hAnsi="Arial"/>
          <w:i/>
          <w:iCs/>
          <w:color w:val="1A1A1A"/>
          <w:sz w:val="20"/>
          <w:szCs w:val="20"/>
        </w:rPr>
        <w:t xml:space="preserve">Any new product feature, internal tool, or business process that involves the collection or processing of personal data requires a Privacy Impact Assessment (PIA) before launch. Submit a PIA request to privacy@nexacorp.com at least 30 days before the planned launch date.</w:t>
      </w:r>
    </w:p>
    <w:p>
      <w:pPr>
        <w:spacing w:after="0" w:before="0"/>
      </w:pPr>
      <w:r>
        <w:br w:type="page"/>
      </w:r>
    </w:p>
    <w:p>
      <w:pPr>
        <w:shd w:fill="1B3A6B" w:val="clear"/>
        <w:spacing w:after="300" w:before="500"/>
        <w:jc w:val="center"/>
      </w:pPr>
      <w:r>
        <w:rPr>
          <w:rFonts w:ascii="Arial" w:cs="Arial" w:eastAsia="Arial" w:hAnsi="Arial"/>
          <w:b/>
          <w:bCs/>
          <w:color w:val="FFFFFF"/>
          <w:sz w:val="32"/>
          <w:szCs w:val="32"/>
        </w:rPr>
        <w:t xml:space="preserve">  PART VI — WORKPLACE HEALTH &amp; SAFETY  </w:t>
      </w:r>
    </w:p>
    <w:p>
      <w:pPr>
        <w:spacing w:after="200" w:before="200"/>
      </w:pPr>
    </w:p>
    <w:p>
      <w:pPr>
        <w:pStyle w:val="Heading1"/>
        <w:pBdr>
          <w:bottom w:val="single" w:color="2E75B6" w:sz="8" w:space="4"/>
        </w:pBdr>
        <w:spacing w:after="200" w:before="400"/>
      </w:pPr>
      <w:r>
        <w:rPr>
          <w:rFonts w:ascii="Arial" w:cs="Arial" w:eastAsia="Arial" w:hAnsi="Arial"/>
          <w:b/>
          <w:bCs/>
          <w:color w:val="1B3A6B"/>
          <w:sz w:val="36"/>
          <w:szCs w:val="36"/>
        </w:rPr>
        <w:t xml:space="preserve">6. Workplace Health &amp; Safety</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is committed to providing a safe and healthy work environment for all employees, contractors, visitors, and any other person on its premises. This commitment is grounded in our legal obligations under applicable occupational health and safety law (including OSHA in the United States, the UK Health and Safety at Work Act 1974, and equivalent legislation globally) and in our Core Value of Sustainable Impact.</w:t>
      </w:r>
    </w:p>
    <w:p>
      <w:pPr>
        <w:pStyle w:val="Heading2"/>
        <w:spacing w:after="140" w:before="300"/>
      </w:pPr>
      <w:r>
        <w:rPr>
          <w:rFonts w:ascii="Arial" w:cs="Arial" w:eastAsia="Arial" w:hAnsi="Arial"/>
          <w:b/>
          <w:bCs/>
          <w:color w:val="2E75B6"/>
          <w:sz w:val="28"/>
          <w:szCs w:val="28"/>
        </w:rPr>
        <w:t xml:space="preserve">6.1 Safety Obligations &amp; Responsibilities</w:t>
      </w:r>
    </w:p>
    <w:p>
      <w:pPr>
        <w:pStyle w:val="Heading3"/>
        <w:spacing w:after="100" w:before="220"/>
      </w:pPr>
      <w:r>
        <w:rPr>
          <w:rFonts w:ascii="Arial" w:cs="Arial" w:eastAsia="Arial" w:hAnsi="Arial"/>
          <w:b/>
          <w:bCs/>
          <w:color w:val="1B3A6B"/>
          <w:sz w:val="24"/>
          <w:szCs w:val="24"/>
        </w:rPr>
        <w:t xml:space="preserve">6.1.1 Employee Responsibilities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Comply with all NexaCorp safety rules, procedures, and instructions.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Use personal protective equipment (PPE) where required or provided.</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Report unsafe conditions, hazards, near-misses, and injuries to their manager and the Facilities team immediately.</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Participate in mandatory safety training and emergency drills.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Not undertake work they believe to be unsafe without first consulting their manager or the Facilities team.</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Maintain their workspace in an orderly and hazard-free condition.</w:t>
      </w:r>
    </w:p>
    <w:p>
      <w:pPr>
        <w:pStyle w:val="Heading3"/>
        <w:spacing w:after="100" w:before="220"/>
      </w:pPr>
      <w:r>
        <w:rPr>
          <w:rFonts w:ascii="Arial" w:cs="Arial" w:eastAsia="Arial" w:hAnsi="Arial"/>
          <w:b/>
          <w:bCs/>
          <w:color w:val="1B3A6B"/>
          <w:sz w:val="24"/>
          <w:szCs w:val="24"/>
        </w:rPr>
        <w:t xml:space="preserve">6.1.2 Manager Responsibilities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Conduct safety inductions for new team members within the first week of employment.</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Ensure safety rules are communicated, understood, and enforced within their team.</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Investigate and document all injuries and near-misses using the Incident Report Form (FAC-INC-01) within 24 hours.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Conduct team safety audits quarterly and address identified hazards within 15 business days or escalate to Facilities with documented justification.</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Never pressure employees to continue work that they have identified as unsafe.</w:t>
      </w:r>
    </w:p>
    <w:p>
      <w:pPr>
        <w:pStyle w:val="Heading3"/>
        <w:spacing w:after="100" w:before="220"/>
      </w:pPr>
      <w:r>
        <w:rPr>
          <w:rFonts w:ascii="Arial" w:cs="Arial" w:eastAsia="Arial" w:hAnsi="Arial"/>
          <w:b/>
          <w:bCs/>
          <w:color w:val="1B3A6B"/>
          <w:sz w:val="24"/>
          <w:szCs w:val="24"/>
        </w:rPr>
        <w:t xml:space="preserve">6.1.3 Facilities &amp; EHS Team Responsibilities</w:t>
      </w:r>
    </w:p>
    <w:p>
      <w:pPr>
        <w:spacing w:after="100" w:before="80" w:line="276" w:lineRule="auto"/>
        <w:jc w:val="both"/>
      </w:pPr>
      <w:r>
        <w:rPr>
          <w:rFonts w:ascii="Arial" w:cs="Arial" w:eastAsia="Arial" w:hAnsi="Arial"/>
          <w:b w:val="false"/>
          <w:bCs w:val="false"/>
          <w:i w:val="false"/>
          <w:iCs w:val="false"/>
          <w:color w:val="1A1A1A"/>
          <w:sz w:val="22"/>
          <w:szCs w:val="22"/>
        </w:rPr>
        <w:t xml:space="preserve">The Environmental, Health &amp; Safety (EHS) function within the Global Real Estate &amp; Facilities team is responsible for: developing and maintaining NexaCorp's Global Safety Programme; ensuring regulatory compliance; managing emergency response planning; conducting annual safety audits; reporting safety performance to executive leadership; and coordinating with external bodies (OSHA inspectors, fire marshals, etc.).</w:t>
      </w:r>
    </w:p>
    <w:p>
      <w:pPr>
        <w:pStyle w:val="Heading2"/>
        <w:spacing w:after="140" w:before="300"/>
      </w:pPr>
      <w:r>
        <w:rPr>
          <w:rFonts w:ascii="Arial" w:cs="Arial" w:eastAsia="Arial" w:hAnsi="Arial"/>
          <w:b/>
          <w:bCs/>
          <w:color w:val="2E75B6"/>
          <w:sz w:val="28"/>
          <w:szCs w:val="28"/>
        </w:rPr>
        <w:t xml:space="preserve">6.2 Incident Reporting &amp; Investigation</w:t>
      </w:r>
    </w:p>
    <w:p>
      <w:pPr>
        <w:pStyle w:val="Heading3"/>
        <w:spacing w:after="100" w:before="220"/>
      </w:pPr>
      <w:r>
        <w:rPr>
          <w:rFonts w:ascii="Arial" w:cs="Arial" w:eastAsia="Arial" w:hAnsi="Arial"/>
          <w:b/>
          <w:bCs/>
          <w:color w:val="1B3A6B"/>
          <w:sz w:val="24"/>
          <w:szCs w:val="24"/>
        </w:rPr>
        <w:t xml:space="preserve">6.2.1 Reporting Timelines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920"/>
        <w:gridCol w:w="1920"/>
        <w:gridCol w:w="2920"/>
      </w:tblGrid>
      <w:tr>
        <w:trPr>
          <w:tblHeader/>
        </w:trPr>
        <w:tc>
          <w:tcPr>
            <w:tcW w:type="dxa" w:w="25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Incident Type</w:t>
            </w:r>
          </w:p>
        </w:tc>
        <w:tc>
          <w:tcPr>
            <w:tcW w:type="dxa" w:w="19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Initial Report Deadline</w:t>
            </w:r>
          </w:p>
        </w:tc>
        <w:tc>
          <w:tcPr>
            <w:tcW w:type="dxa" w:w="19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Formal Report Deadline</w:t>
            </w:r>
          </w:p>
        </w:tc>
        <w:tc>
          <w:tcPr>
            <w:tcW w:type="dxa" w:w="29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Regulatory Notification?</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Work-related fatality</w:t>
            </w:r>
          </w:p>
        </w:tc>
        <w:tc>
          <w:tcPr>
            <w:tcW w:type="dxa" w:w="1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Immediately (call emergency services first)</w:t>
            </w:r>
          </w:p>
        </w:tc>
        <w:tc>
          <w:tcPr>
            <w:tcW w:type="dxa" w:w="1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24 hours</w:t>
            </w:r>
          </w:p>
        </w:tc>
        <w:tc>
          <w:tcPr>
            <w:tcW w:type="dxa" w:w="2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OSHA: within 8 hours</w:t>
            </w:r>
          </w:p>
        </w:tc>
      </w:tr>
      <w:tr>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Hospitalisable injury / amputation / eye loss</w:t>
            </w:r>
          </w:p>
        </w:tc>
        <w:tc>
          <w:tcPr>
            <w:tcW w:type="dxa" w:w="1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Immediately</w:t>
            </w:r>
          </w:p>
        </w:tc>
        <w:tc>
          <w:tcPr>
            <w:tcW w:type="dxa" w:w="1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24 hours</w:t>
            </w:r>
          </w:p>
        </w:tc>
        <w:tc>
          <w:tcPr>
            <w:tcW w:type="dxa" w:w="2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OSHA: within 24 hours</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Recordable injury (first aid, lost time)</w:t>
            </w:r>
          </w:p>
        </w:tc>
        <w:tc>
          <w:tcPr>
            <w:tcW w:type="dxa" w:w="1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Same day</w:t>
            </w:r>
          </w:p>
        </w:tc>
        <w:tc>
          <w:tcPr>
            <w:tcW w:type="dxa" w:w="1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72 hours</w:t>
            </w:r>
          </w:p>
        </w:tc>
        <w:tc>
          <w:tcPr>
            <w:tcW w:type="dxa" w:w="2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OSHA 300 Log update</w:t>
            </w:r>
          </w:p>
        </w:tc>
      </w:tr>
      <w:tr>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Near-miss (no injury)</w:t>
            </w:r>
          </w:p>
        </w:tc>
        <w:tc>
          <w:tcPr>
            <w:tcW w:type="dxa" w:w="1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Same day</w:t>
            </w:r>
          </w:p>
        </w:tc>
        <w:tc>
          <w:tcPr>
            <w:tcW w:type="dxa" w:w="1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5 business days</w:t>
            </w:r>
          </w:p>
        </w:tc>
        <w:tc>
          <w:tcPr>
            <w:tcW w:type="dxa" w:w="2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No — internal only</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Property damage</w:t>
            </w:r>
          </w:p>
        </w:tc>
        <w:tc>
          <w:tcPr>
            <w:tcW w:type="dxa" w:w="1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Same day</w:t>
            </w:r>
          </w:p>
        </w:tc>
        <w:tc>
          <w:tcPr>
            <w:tcW w:type="dxa" w:w="1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5 business days</w:t>
            </w:r>
          </w:p>
        </w:tc>
        <w:tc>
          <w:tcPr>
            <w:tcW w:type="dxa" w:w="2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No — insurance notification per threshold</w:t>
            </w:r>
          </w:p>
        </w:tc>
      </w:tr>
      <w:tr>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Environmental incident</w:t>
            </w:r>
          </w:p>
        </w:tc>
        <w:tc>
          <w:tcPr>
            <w:tcW w:type="dxa" w:w="1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Immediately if spill/release</w:t>
            </w:r>
          </w:p>
        </w:tc>
        <w:tc>
          <w:tcPr>
            <w:tcW w:type="dxa" w:w="1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24 hours</w:t>
            </w:r>
          </w:p>
        </w:tc>
        <w:tc>
          <w:tcPr>
            <w:tcW w:type="dxa" w:w="2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Per Environmental Compliance Plan</w:t>
            </w:r>
          </w:p>
        </w:tc>
      </w:tr>
    </w:tbl>
    <w:p>
      <w:pPr>
        <w:spacing w:after="100" w:before="100"/>
      </w:pPr>
    </w:p>
    <w:p>
      <w:pPr>
        <w:pStyle w:val="Heading2"/>
        <w:spacing w:after="140" w:before="300"/>
      </w:pPr>
      <w:r>
        <w:rPr>
          <w:rFonts w:ascii="Arial" w:cs="Arial" w:eastAsia="Arial" w:hAnsi="Arial"/>
          <w:b/>
          <w:bCs/>
          <w:color w:val="2E75B6"/>
          <w:sz w:val="28"/>
          <w:szCs w:val="28"/>
        </w:rPr>
        <w:t xml:space="preserve">6.3 Substance Abuse &amp; Drug-Free Workplace</w:t>
      </w:r>
    </w:p>
    <w:p>
      <w:pPr>
        <w:pStyle w:val="Heading3"/>
        <w:spacing w:after="100" w:before="220"/>
      </w:pPr>
      <w:r>
        <w:rPr>
          <w:rFonts w:ascii="Arial" w:cs="Arial" w:eastAsia="Arial" w:hAnsi="Arial"/>
          <w:b/>
          <w:bCs/>
          <w:color w:val="1B3A6B"/>
          <w:sz w:val="24"/>
          <w:szCs w:val="24"/>
        </w:rPr>
        <w:t xml:space="preserve">6.3.1 Policy Statement</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maintains a drug-free workplace. The manufacture, distribution, dispensation, possession, or use of illegal drugs or alcohol on NexaCorp premises, in NexaCorp vehicles, or during work hours (including remote work) is strictly prohibited. Additionally, employees must not report to work, operate NexaCorp equipment, or represent NexaCorp while under the influence of alcohol or controlled substances.</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reserves the right to conduct drug and alcohol testing in the following circumstances: post-accident (following a workplace incident where impairment may have been a factor); reasonable suspicion (based on observable symptoms); random testing where permitted by applicable law; and pre-employment testing for roles requiring security clearances or safety-sensitive duties.</w:t>
      </w:r>
    </w:p>
    <w:p>
      <w:pPr>
        <w:pBdr>
          <w:left w:val="single" w:color="2E75B6" w:sz="12" w:space="8"/>
        </w:pBdr>
        <w:spacing w:after="120" w:before="120"/>
        <w:ind w:left="360" w:right="360"/>
      </w:pPr>
      <w:r>
        <w:rPr>
          <w:rFonts w:ascii="Arial" w:cs="Arial" w:eastAsia="Arial" w:hAnsi="Arial"/>
          <w:b/>
          <w:bCs/>
          <w:color w:val="2E75B6"/>
          <w:sz w:val="20"/>
          <w:szCs w:val="20"/>
        </w:rPr>
        <w:t xml:space="preserve">NOTE: </w:t>
      </w:r>
      <w:r>
        <w:rPr>
          <w:rFonts w:ascii="Arial" w:cs="Arial" w:eastAsia="Arial" w:hAnsi="Arial"/>
          <w:i/>
          <w:iCs/>
          <w:color w:val="1A1A1A"/>
          <w:sz w:val="20"/>
          <w:szCs w:val="20"/>
        </w:rPr>
        <w:t xml:space="preserve">NexaCorp recognises substance abuse as a health condition and encourages employees struggling with dependency to voluntarily seek assistance through the EAP before a workplace incident occurs. Voluntary self-referral to treatment will not itself result in disciplinary action, subject to the employee meeting performance and attendance expectations.</w:t>
      </w:r>
    </w:p>
    <w:p>
      <w:pPr>
        <w:spacing w:after="0" w:before="0"/>
      </w:pPr>
      <w:r>
        <w:br w:type="page"/>
      </w:r>
    </w:p>
    <w:p>
      <w:pPr>
        <w:shd w:fill="1B3A6B" w:val="clear"/>
        <w:spacing w:after="300" w:before="500"/>
        <w:jc w:val="center"/>
      </w:pPr>
      <w:r>
        <w:rPr>
          <w:rFonts w:ascii="Arial" w:cs="Arial" w:eastAsia="Arial" w:hAnsi="Arial"/>
          <w:b/>
          <w:bCs/>
          <w:color w:val="FFFFFF"/>
          <w:sz w:val="32"/>
          <w:szCs w:val="32"/>
        </w:rPr>
        <w:t xml:space="preserve">  PART VII — TRAVEL, EXPENSES &amp; PROCUREMENT  </w:t>
      </w:r>
    </w:p>
    <w:p>
      <w:pPr>
        <w:spacing w:after="200" w:before="200"/>
      </w:pPr>
    </w:p>
    <w:p>
      <w:pPr>
        <w:pStyle w:val="Heading1"/>
        <w:pBdr>
          <w:bottom w:val="single" w:color="2E75B6" w:sz="8" w:space="4"/>
        </w:pBdr>
        <w:spacing w:after="200" w:before="400"/>
      </w:pPr>
      <w:r>
        <w:rPr>
          <w:rFonts w:ascii="Arial" w:cs="Arial" w:eastAsia="Arial" w:hAnsi="Arial"/>
          <w:b/>
          <w:bCs/>
          <w:color w:val="1B3A6B"/>
          <w:sz w:val="36"/>
          <w:szCs w:val="36"/>
        </w:rPr>
        <w:t xml:space="preserve">7. Travel, Expenses &amp; Procurement</w:t>
      </w:r>
    </w:p>
    <w:p>
      <w:pPr>
        <w:pStyle w:val="Heading2"/>
        <w:spacing w:after="140" w:before="300"/>
      </w:pPr>
      <w:r>
        <w:rPr>
          <w:rFonts w:ascii="Arial" w:cs="Arial" w:eastAsia="Arial" w:hAnsi="Arial"/>
          <w:b/>
          <w:bCs/>
          <w:color w:val="2E75B6"/>
          <w:sz w:val="28"/>
          <w:szCs w:val="28"/>
        </w:rPr>
        <w:t xml:space="preserve">7.1 Business Travel Policy</w:t>
      </w:r>
    </w:p>
    <w:p>
      <w:pPr>
        <w:pStyle w:val="Heading3"/>
        <w:spacing w:after="100" w:before="220"/>
      </w:pPr>
      <w:r>
        <w:rPr>
          <w:rFonts w:ascii="Arial" w:cs="Arial" w:eastAsia="Arial" w:hAnsi="Arial"/>
          <w:b/>
          <w:bCs/>
          <w:color w:val="1B3A6B"/>
          <w:sz w:val="24"/>
          <w:szCs w:val="24"/>
        </w:rPr>
        <w:t xml:space="preserve">7.1.1 Purpose &amp; Scope</w:t>
      </w:r>
    </w:p>
    <w:p>
      <w:pPr>
        <w:spacing w:after="100" w:before="80" w:line="276" w:lineRule="auto"/>
        <w:jc w:val="both"/>
      </w:pPr>
      <w:r>
        <w:rPr>
          <w:rFonts w:ascii="Arial" w:cs="Arial" w:eastAsia="Arial" w:hAnsi="Arial"/>
          <w:b w:val="false"/>
          <w:bCs w:val="false"/>
          <w:i w:val="false"/>
          <w:iCs w:val="false"/>
          <w:color w:val="1A1A1A"/>
          <w:sz w:val="22"/>
          <w:szCs w:val="22"/>
        </w:rPr>
        <w:t xml:space="preserve">Business travel must be necessary, cost-effective, and conducted in compliance with this policy. Employees should first consider whether the purpose of travel can be achieved through video conferencing or other virtual means before authorising or booking travel. Environmental impact is a consideration — NexaCorp tracks and reports on Scope 3 business travel emissions and includes travel reduction targets in its annual sustainability commitments.</w:t>
      </w:r>
    </w:p>
    <w:p>
      <w:pPr>
        <w:pStyle w:val="Heading3"/>
        <w:spacing w:after="100" w:before="220"/>
      </w:pPr>
      <w:r>
        <w:rPr>
          <w:rFonts w:ascii="Arial" w:cs="Arial" w:eastAsia="Arial" w:hAnsi="Arial"/>
          <w:b/>
          <w:bCs/>
          <w:color w:val="1B3A6B"/>
          <w:sz w:val="24"/>
          <w:szCs w:val="24"/>
        </w:rPr>
        <w:t xml:space="preserve">7.1.2 Booking Requirements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All business travel must be booked through NexaCorp's designated Travel Management Company (TMC), currently TravelConnect Pro, via the Concur Travel Portal or mobile app.</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Travellers must book the lowest reasonable logical fare/rate in the applicable class of service. 'Logical' means achieving the business purpose without undue inconvenience (e.g., avoiding connections with less than 60 minutes transit time for domestic; 90 minutes for international).</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Travel exceptions (class upgrades, booking outside TMC) require advance approval from the traveller's Director and Finance BP, documented in the Concur system.</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Trip approval (manager pre-approval in Concur) is required for all trips exceeding $1,500 in total estimated cost.</w:t>
      </w:r>
    </w:p>
    <w:p>
      <w:pPr>
        <w:pStyle w:val="Heading3"/>
        <w:spacing w:after="100" w:before="220"/>
      </w:pPr>
      <w:r>
        <w:rPr>
          <w:rFonts w:ascii="Arial" w:cs="Arial" w:eastAsia="Arial" w:hAnsi="Arial"/>
          <w:b/>
          <w:bCs/>
          <w:color w:val="1B3A6B"/>
          <w:sz w:val="24"/>
          <w:szCs w:val="24"/>
        </w:rPr>
        <w:t xml:space="preserve">7.1.3 Air Travel Standards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2880"/>
        <w:gridCol w:w="2520"/>
      </w:tblGrid>
      <w:tr>
        <w:trPr>
          <w:tblHeader/>
        </w:trPr>
        <w:tc>
          <w:tcPr>
            <w:tcW w:type="dxa" w:w="21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Travel Type</w:t>
            </w:r>
          </w:p>
        </w:tc>
        <w:tc>
          <w:tcPr>
            <w:tcW w:type="dxa" w:w="18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Flight Duration</w:t>
            </w:r>
          </w:p>
        </w:tc>
        <w:tc>
          <w:tcPr>
            <w:tcW w:type="dxa" w:w="288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Permitted Class</w:t>
            </w:r>
          </w:p>
        </w:tc>
        <w:tc>
          <w:tcPr>
            <w:tcW w:type="dxa" w:w="25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Upgrade Eligibility</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Domestic (US)</w:t>
            </w:r>
          </w:p>
        </w:tc>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Any duration</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Economy / Basic Economy excluded</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Own funds only</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Short-Haul International</w:t>
            </w:r>
          </w:p>
        </w:tc>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&lt; 5 hours</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Economy / Premium Economy if price diff &lt; $300</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Own funds only</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Long-Haul International</w:t>
            </w:r>
          </w:p>
        </w:tc>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5–8 hours</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Premium Economy (with VP+ approval: Business)</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Business class for VP+ only</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Ultra Long-Haul</w:t>
            </w:r>
          </w:p>
        </w:tc>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&gt; 8 hours</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Business Class (Grade 7+); Economy all others</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ELT: First Class permitted</w:t>
            </w:r>
          </w:p>
        </w:tc>
      </w:tr>
    </w:tbl>
    <w:p>
      <w:pPr>
        <w:spacing w:after="100" w:before="100"/>
      </w:pPr>
    </w:p>
    <w:p>
      <w:pPr>
        <w:pStyle w:val="Heading3"/>
        <w:spacing w:after="100" w:before="220"/>
      </w:pPr>
      <w:r>
        <w:rPr>
          <w:rFonts w:ascii="Arial" w:cs="Arial" w:eastAsia="Arial" w:hAnsi="Arial"/>
          <w:b/>
          <w:bCs/>
          <w:color w:val="1B3A6B"/>
          <w:sz w:val="24"/>
          <w:szCs w:val="24"/>
        </w:rPr>
        <w:t xml:space="preserve">7.1.4 Hotel Accommodation Standards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3480"/>
        <w:gridCol w:w="3360"/>
      </w:tblGrid>
      <w:tr>
        <w:trPr>
          <w:tblHeader/>
        </w:trPr>
        <w:tc>
          <w:tcPr>
            <w:tcW w:type="dxa" w:w="25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City Tier</w:t>
            </w:r>
          </w:p>
        </w:tc>
        <w:tc>
          <w:tcPr>
            <w:tcW w:type="dxa" w:w="348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Examples</w:t>
            </w:r>
          </w:p>
        </w:tc>
        <w:tc>
          <w:tcPr>
            <w:tcW w:type="dxa" w:w="33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Max Nightly Rate (USD, room + tax)</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Tier 1 — Major Global Cities</w:t>
            </w:r>
          </w:p>
        </w:tc>
        <w:tc>
          <w:tcPr>
            <w:tcW w:type="dxa" w:w="34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New York, London, Tokyo, Singapore, Zurich</w:t>
            </w:r>
          </w:p>
        </w:tc>
        <w:tc>
          <w:tcPr>
            <w:tcW w:type="dxa" w:w="33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$350</w:t>
            </w:r>
          </w:p>
        </w:tc>
      </w:tr>
      <w:tr>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Tier 2 — Major Regional Cities</w:t>
            </w:r>
          </w:p>
        </w:tc>
        <w:tc>
          <w:tcPr>
            <w:tcW w:type="dxa" w:w="34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Chicago, Frankfurt, Sydney, Dubai, São Paulo</w:t>
            </w:r>
          </w:p>
        </w:tc>
        <w:tc>
          <w:tcPr>
            <w:tcW w:type="dxa" w:w="33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$280</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Tier 3 — Secondary Markets</w:t>
            </w:r>
          </w:p>
        </w:tc>
        <w:tc>
          <w:tcPr>
            <w:tcW w:type="dxa" w:w="34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Austin, Manchester, Melbourne, Riyadh</w:t>
            </w:r>
          </w:p>
        </w:tc>
        <w:tc>
          <w:tcPr>
            <w:tcW w:type="dxa" w:w="33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$220</w:t>
            </w:r>
          </w:p>
        </w:tc>
      </w:tr>
      <w:tr>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Tier 4 — All Other Locations</w:t>
            </w:r>
          </w:p>
        </w:tc>
        <w:tc>
          <w:tcPr>
            <w:tcW w:type="dxa" w:w="34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Regional cities, suburban areas, emerging markets</w:t>
            </w:r>
          </w:p>
        </w:tc>
        <w:tc>
          <w:tcPr>
            <w:tcW w:type="dxa" w:w="33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$180</w:t>
            </w:r>
          </w:p>
        </w:tc>
      </w:tr>
    </w:tbl>
    <w:p>
      <w:pPr>
        <w:spacing w:after="100" w:before="100"/>
      </w:pPr>
    </w:p>
    <w:p>
      <w:pPr>
        <w:pBdr>
          <w:left w:val="single" w:color="2E75B6" w:sz="12" w:space="8"/>
        </w:pBdr>
        <w:spacing w:after="120" w:before="120"/>
        <w:ind w:left="360" w:right="360"/>
      </w:pPr>
      <w:r>
        <w:rPr>
          <w:rFonts w:ascii="Arial" w:cs="Arial" w:eastAsia="Arial" w:hAnsi="Arial"/>
          <w:b/>
          <w:bCs/>
          <w:color w:val="2E75B6"/>
          <w:sz w:val="20"/>
          <w:szCs w:val="20"/>
        </w:rPr>
        <w:t xml:space="preserve">NOTE: </w:t>
      </w:r>
      <w:r>
        <w:rPr>
          <w:rFonts w:ascii="Arial" w:cs="Arial" w:eastAsia="Arial" w:hAnsi="Arial"/>
          <w:i/>
          <w:iCs/>
          <w:color w:val="1A1A1A"/>
          <w:sz w:val="20"/>
          <w:szCs w:val="20"/>
        </w:rPr>
        <w:t xml:space="preserve">Hotel rates exceeding tier limits require Finance BP approval in Concur prior to booking. Conference hotels at designated event venues are pre-approved at negotiated rates regardless of tier — book through the conference registration link cited in the event communications.</w:t>
      </w:r>
    </w:p>
    <w:p>
      <w:pPr>
        <w:pStyle w:val="Heading2"/>
        <w:spacing w:after="140" w:before="300"/>
      </w:pPr>
      <w:r>
        <w:rPr>
          <w:rFonts w:ascii="Arial" w:cs="Arial" w:eastAsia="Arial" w:hAnsi="Arial"/>
          <w:b/>
          <w:bCs/>
          <w:color w:val="2E75B6"/>
          <w:sz w:val="28"/>
          <w:szCs w:val="28"/>
        </w:rPr>
        <w:t xml:space="preserve">7.2 Expense Reimbursement</w:t>
      </w:r>
    </w:p>
    <w:p>
      <w:pPr>
        <w:pStyle w:val="Heading3"/>
        <w:spacing w:after="100" w:before="220"/>
      </w:pPr>
      <w:r>
        <w:rPr>
          <w:rFonts w:ascii="Arial" w:cs="Arial" w:eastAsia="Arial" w:hAnsi="Arial"/>
          <w:b/>
          <w:bCs/>
          <w:color w:val="1B3A6B"/>
          <w:sz w:val="24"/>
          <w:szCs w:val="24"/>
        </w:rPr>
        <w:t xml:space="preserve">7.2.1 General Principles</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will reimburse employees for legitimate, necessary, and reasonable business expenses incurred in the course of their duties. Employees are stewards of company resources and must apply the same judgment in spending company funds as they would if spending their own money. Expense claims must be submitted within 30 days of the expense being incurred. Claims older than 90 days will not be reimbursed without Finance VP approval.</w:t>
      </w:r>
    </w:p>
    <w:p>
      <w:pPr>
        <w:pStyle w:val="Heading3"/>
        <w:spacing w:after="100" w:before="220"/>
      </w:pPr>
      <w:r>
        <w:rPr>
          <w:rFonts w:ascii="Arial" w:cs="Arial" w:eastAsia="Arial" w:hAnsi="Arial"/>
          <w:b/>
          <w:bCs/>
          <w:color w:val="1B3A6B"/>
          <w:sz w:val="24"/>
          <w:szCs w:val="24"/>
        </w:rPr>
        <w:t xml:space="preserve">7.2.2 Meal Per Diem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20"/>
        <w:gridCol w:w="2520"/>
        <w:gridCol w:w="1920"/>
      </w:tblGrid>
      <w:tr>
        <w:trPr>
          <w:tblHeader/>
        </w:trPr>
        <w:tc>
          <w:tcPr>
            <w:tcW w:type="dxa" w:w="24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Meal</w:t>
            </w:r>
          </w:p>
        </w:tc>
        <w:tc>
          <w:tcPr>
            <w:tcW w:type="dxa" w:w="25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Domestic (USD)</w:t>
            </w:r>
          </w:p>
        </w:tc>
        <w:tc>
          <w:tcPr>
            <w:tcW w:type="dxa" w:w="25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International — Tier 1 City (USD)</w:t>
            </w:r>
          </w:p>
        </w:tc>
        <w:tc>
          <w:tcPr>
            <w:tcW w:type="dxa" w:w="19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International — Other (USD)</w:t>
            </w:r>
          </w:p>
        </w:tc>
      </w:tr>
      <w:tr>
        <w:tc>
          <w:tcPr>
            <w:tcW w:type="dxa" w:w="2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Breakfast</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$18</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$28</w:t>
            </w:r>
          </w:p>
        </w:tc>
        <w:tc>
          <w:tcPr>
            <w:tcW w:type="dxa" w:w="1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$22</w:t>
            </w:r>
          </w:p>
        </w:tc>
      </w:tr>
      <w:tr>
        <w:tc>
          <w:tcPr>
            <w:tcW w:type="dxa" w:w="2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Lunch</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$22</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$35</w:t>
            </w:r>
          </w:p>
        </w:tc>
        <w:tc>
          <w:tcPr>
            <w:tcW w:type="dxa" w:w="1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$28</w:t>
            </w:r>
          </w:p>
        </w:tc>
      </w:tr>
      <w:tr>
        <w:tc>
          <w:tcPr>
            <w:tcW w:type="dxa" w:w="2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Dinner</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$45</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$75</w:t>
            </w:r>
          </w:p>
        </w:tc>
        <w:tc>
          <w:tcPr>
            <w:tcW w:type="dxa" w:w="1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$60</w:t>
            </w:r>
          </w:p>
        </w:tc>
      </w:tr>
      <w:tr>
        <w:tc>
          <w:tcPr>
            <w:tcW w:type="dxa" w:w="2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Daily Total</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$85</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$138</w:t>
            </w:r>
          </w:p>
        </w:tc>
        <w:tc>
          <w:tcPr>
            <w:tcW w:type="dxa" w:w="1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$110</w:t>
            </w:r>
          </w:p>
        </w:tc>
      </w:tr>
    </w:tbl>
    <w:p>
      <w:pPr>
        <w:spacing w:after="100" w:before="100"/>
      </w:pPr>
    </w:p>
    <w:p>
      <w:pPr>
        <w:spacing w:after="100" w:before="80" w:line="276" w:lineRule="auto"/>
        <w:jc w:val="both"/>
      </w:pPr>
      <w:r>
        <w:rPr>
          <w:rFonts w:ascii="Arial" w:cs="Arial" w:eastAsia="Arial" w:hAnsi="Arial"/>
          <w:b w:val="false"/>
          <w:bCs w:val="false"/>
          <w:i w:val="false"/>
          <w:iCs w:val="false"/>
          <w:color w:val="1A1A1A"/>
          <w:sz w:val="22"/>
          <w:szCs w:val="22"/>
        </w:rPr>
        <w:t xml:space="preserve">Per diem rates are intended as maximums, not entitlements. Where meals are provided at company expense (e.g., team dinner on company card), employees may not claim per diem for that meal. Alcohol purchased during individual meals on per diem is not reimbursable. Business meals entertaining clients are governed by Section 2.3.</w:t>
      </w:r>
    </w:p>
    <w:p>
      <w:pPr>
        <w:pStyle w:val="Heading3"/>
        <w:spacing w:after="100" w:before="220"/>
      </w:pPr>
      <w:r>
        <w:rPr>
          <w:rFonts w:ascii="Arial" w:cs="Arial" w:eastAsia="Arial" w:hAnsi="Arial"/>
          <w:b/>
          <w:bCs/>
          <w:color w:val="1B3A6B"/>
          <w:sz w:val="24"/>
          <w:szCs w:val="24"/>
        </w:rPr>
        <w:t xml:space="preserve">7.2.3 Other Reimbursable Expenses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200"/>
        <w:gridCol w:w="2880"/>
        <w:gridCol w:w="2520"/>
      </w:tblGrid>
      <w:tr>
        <w:trPr>
          <w:tblHeader/>
        </w:trPr>
        <w:tc>
          <w:tcPr>
            <w:tcW w:type="dxa" w:w="27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Expense Category</w:t>
            </w:r>
          </w:p>
        </w:tc>
        <w:tc>
          <w:tcPr>
            <w:tcW w:type="dxa" w:w="12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Reimbursable?</w:t>
            </w:r>
          </w:p>
        </w:tc>
        <w:tc>
          <w:tcPr>
            <w:tcW w:type="dxa" w:w="288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Limit</w:t>
            </w:r>
          </w:p>
        </w:tc>
        <w:tc>
          <w:tcPr>
            <w:tcW w:type="dxa" w:w="25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Approval Required?</w:t>
            </w:r>
          </w:p>
        </w:tc>
      </w:tr>
      <w:tr>
        <w:tc>
          <w:tcPr>
            <w:tcW w:type="dxa" w:w="2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Ground transport (taxi, rideshare)</w:t>
            </w:r>
          </w:p>
        </w:tc>
        <w:tc>
          <w:tcPr>
            <w:tcW w:type="dxa" w:w="1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Yes</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Reasonable; prefer public transit where practical</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No (&lt; $50)</w:t>
            </w:r>
          </w:p>
        </w:tc>
      </w:tr>
      <w:tr>
        <w:tc>
          <w:tcPr>
            <w:tcW w:type="dxa" w:w="2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Parking at airport</w:t>
            </w:r>
          </w:p>
        </w:tc>
        <w:tc>
          <w:tcPr>
            <w:tcW w:type="dxa" w:w="12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Yes</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Economy lot preferred; max $30/day</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No</w:t>
            </w:r>
          </w:p>
        </w:tc>
      </w:tr>
      <w:tr>
        <w:tc>
          <w:tcPr>
            <w:tcW w:type="dxa" w:w="2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In-flight Wi-Fi</w:t>
            </w:r>
          </w:p>
        </w:tc>
        <w:tc>
          <w:tcPr>
            <w:tcW w:type="dxa" w:w="1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Yes</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One flight per trip</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No</w:t>
            </w:r>
          </w:p>
        </w:tc>
      </w:tr>
      <w:tr>
        <w:tc>
          <w:tcPr>
            <w:tcW w:type="dxa" w:w="2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Checked baggage</w:t>
            </w:r>
          </w:p>
        </w:tc>
        <w:tc>
          <w:tcPr>
            <w:tcW w:type="dxa" w:w="12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Yes</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First bag only; second only for trips &gt; 7 nights</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No</w:t>
            </w:r>
          </w:p>
        </w:tc>
      </w:tr>
      <w:tr>
        <w:tc>
          <w:tcPr>
            <w:tcW w:type="dxa" w:w="2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Laundry / dry cleaning</w:t>
            </w:r>
          </w:p>
        </w:tc>
        <w:tc>
          <w:tcPr>
            <w:tcW w:type="dxa" w:w="1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Yes for trips &gt; 5 nights</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$30/day maximum</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No</w:t>
            </w:r>
          </w:p>
        </w:tc>
      </w:tr>
      <w:tr>
        <w:tc>
          <w:tcPr>
            <w:tcW w:type="dxa" w:w="2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Gym fees</w:t>
            </w:r>
          </w:p>
        </w:tc>
        <w:tc>
          <w:tcPr>
            <w:tcW w:type="dxa" w:w="12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No</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N/A</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N/A — use quarterly wellness stipend</w:t>
            </w:r>
          </w:p>
        </w:tc>
      </w:tr>
      <w:tr>
        <w:tc>
          <w:tcPr>
            <w:tcW w:type="dxa" w:w="2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Minibar charges</w:t>
            </w:r>
          </w:p>
        </w:tc>
        <w:tc>
          <w:tcPr>
            <w:tcW w:type="dxa" w:w="1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No</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N/A</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N/A</w:t>
            </w:r>
          </w:p>
        </w:tc>
      </w:tr>
      <w:tr>
        <w:tc>
          <w:tcPr>
            <w:tcW w:type="dxa" w:w="2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Personal entertainment (movies, etc.)</w:t>
            </w:r>
          </w:p>
        </w:tc>
        <w:tc>
          <w:tcPr>
            <w:tcW w:type="dxa" w:w="12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No</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N/A</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N/A</w:t>
            </w:r>
          </w:p>
        </w:tc>
      </w:tr>
      <w:tr>
        <w:tc>
          <w:tcPr>
            <w:tcW w:type="dxa" w:w="2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Travel insurance</w:t>
            </w:r>
          </w:p>
        </w:tc>
        <w:tc>
          <w:tcPr>
            <w:tcW w:type="dxa" w:w="1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Yes</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Must be purchased through TMC</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Included in Concur booking</w:t>
            </w:r>
          </w:p>
        </w:tc>
      </w:tr>
    </w:tbl>
    <w:p>
      <w:pPr>
        <w:spacing w:after="100" w:before="100"/>
      </w:pPr>
    </w:p>
    <w:p>
      <w:pPr>
        <w:pStyle w:val="Heading3"/>
        <w:spacing w:after="100" w:before="220"/>
      </w:pPr>
      <w:r>
        <w:rPr>
          <w:rFonts w:ascii="Arial" w:cs="Arial" w:eastAsia="Arial" w:hAnsi="Arial"/>
          <w:b/>
          <w:bCs/>
          <w:color w:val="1B3A6B"/>
          <w:sz w:val="24"/>
          <w:szCs w:val="24"/>
        </w:rPr>
        <w:t xml:space="preserve">7.2.4 Expense Submission &amp; Audit</w:t>
      </w:r>
    </w:p>
    <w:p>
      <w:pPr>
        <w:spacing w:after="100" w:before="80" w:line="276" w:lineRule="auto"/>
        <w:jc w:val="both"/>
      </w:pPr>
      <w:r>
        <w:rPr>
          <w:rFonts w:ascii="Arial" w:cs="Arial" w:eastAsia="Arial" w:hAnsi="Arial"/>
          <w:b w:val="false"/>
          <w:bCs w:val="false"/>
          <w:i w:val="false"/>
          <w:iCs w:val="false"/>
          <w:color w:val="1A1A1A"/>
          <w:sz w:val="22"/>
          <w:szCs w:val="22"/>
        </w:rPr>
        <w:t xml:space="preserve">All expenses must be submitted via Concur Expense with itemised receipts attached for any individual expense exceeding $25. Credit card statements alone are not acceptable as receipts. NexaCorp's Finance team audits 100% of expense reports flagged by Concur's automated policy compliance engine, plus a random sample of 15% of all other reports. Fraudulent expense claims will result in immediate termination and may be referred to law enforcement.</w:t>
      </w:r>
    </w:p>
    <w:p>
      <w:pPr>
        <w:pStyle w:val="Heading2"/>
        <w:spacing w:after="140" w:before="300"/>
      </w:pPr>
      <w:r>
        <w:rPr>
          <w:rFonts w:ascii="Arial" w:cs="Arial" w:eastAsia="Arial" w:hAnsi="Arial"/>
          <w:b/>
          <w:bCs/>
          <w:color w:val="2E75B6"/>
          <w:sz w:val="28"/>
          <w:szCs w:val="28"/>
        </w:rPr>
        <w:t xml:space="preserve">7.3 Procurement &amp; Vendor Management</w:t>
      </w:r>
    </w:p>
    <w:p>
      <w:pPr>
        <w:pStyle w:val="Heading3"/>
        <w:spacing w:after="100" w:before="220"/>
      </w:pPr>
      <w:r>
        <w:rPr>
          <w:rFonts w:ascii="Arial" w:cs="Arial" w:eastAsia="Arial" w:hAnsi="Arial"/>
          <w:b/>
          <w:bCs/>
          <w:color w:val="1B3A6B"/>
          <w:sz w:val="24"/>
          <w:szCs w:val="24"/>
        </w:rPr>
        <w:t xml:space="preserve">7.3.1 Procurement Authority Matrix</w:t>
      </w:r>
    </w:p>
    <w:p>
      <w:pPr>
        <w:spacing w:after="100" w:before="80" w:line="276" w:lineRule="auto"/>
        <w:jc w:val="both"/>
      </w:pPr>
      <w:r>
        <w:rPr>
          <w:rFonts w:ascii="Arial" w:cs="Arial" w:eastAsia="Arial" w:hAnsi="Arial"/>
          <w:b w:val="false"/>
          <w:bCs w:val="false"/>
          <w:i w:val="false"/>
          <w:iCs w:val="false"/>
          <w:color w:val="1A1A1A"/>
          <w:sz w:val="22"/>
          <w:szCs w:val="22"/>
        </w:rPr>
        <w:t xml:space="preserve">Purchase authority is delegated based on the cumulative contract value (including renewals and amendments) and employee grade. Multi-year agreements must have their total contract value used to determine applicable approval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2880"/>
        <w:gridCol w:w="3840"/>
      </w:tblGrid>
      <w:tr>
        <w:trPr>
          <w:tblHeader/>
        </w:trPr>
        <w:tc>
          <w:tcPr>
            <w:tcW w:type="dxa" w:w="264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Total Contract Value (USD)</w:t>
            </w:r>
          </w:p>
        </w:tc>
        <w:tc>
          <w:tcPr>
            <w:tcW w:type="dxa" w:w="288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Minimum Approval Authority</w:t>
            </w:r>
          </w:p>
        </w:tc>
        <w:tc>
          <w:tcPr>
            <w:tcW w:type="dxa" w:w="384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Competitive Bids Required?</w:t>
            </w:r>
          </w:p>
        </w:tc>
      </w:tr>
      <w:tr>
        <w:tc>
          <w:tcPr>
            <w:tcW w:type="dxa" w:w="26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&lt; $5,000</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Department Manager (Grade 7+)</w:t>
            </w:r>
          </w:p>
        </w:tc>
        <w:tc>
          <w:tcPr>
            <w:tcW w:type="dxa" w:w="38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No — single quote acceptable</w:t>
            </w:r>
          </w:p>
        </w:tc>
      </w:tr>
      <w:tr>
        <w:tc>
          <w:tcPr>
            <w:tcW w:type="dxa" w:w="26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$5,001 – $25,000</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Director (Grade 8+) + Finance BP</w:t>
            </w:r>
          </w:p>
        </w:tc>
        <w:tc>
          <w:tcPr>
            <w:tcW w:type="dxa" w:w="38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3 quotes required</w:t>
            </w:r>
          </w:p>
        </w:tc>
      </w:tr>
      <w:tr>
        <w:tc>
          <w:tcPr>
            <w:tcW w:type="dxa" w:w="26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$25,001 – $100,000</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VP (Grade 9+) + Finance Director</w:t>
            </w:r>
          </w:p>
        </w:tc>
        <w:tc>
          <w:tcPr>
            <w:tcW w:type="dxa" w:w="38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3 quotes + written justification for preferred vendor</w:t>
            </w:r>
          </w:p>
        </w:tc>
      </w:tr>
      <w:tr>
        <w:tc>
          <w:tcPr>
            <w:tcW w:type="dxa" w:w="26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$100,001 – $500,000</w:t>
            </w:r>
          </w:p>
        </w:tc>
        <w:tc>
          <w:tcPr>
            <w:tcW w:type="dxa" w:w="28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CFO or designee</w:t>
            </w:r>
          </w:p>
        </w:tc>
        <w:tc>
          <w:tcPr>
            <w:tcW w:type="dxa" w:w="38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Formal RFP required; Procurement team involvement mandatory</w:t>
            </w:r>
          </w:p>
        </w:tc>
      </w:tr>
      <w:tr>
        <w:tc>
          <w:tcPr>
            <w:tcW w:type="dxa" w:w="26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&gt; $500,000</w:t>
            </w:r>
          </w:p>
        </w:tc>
        <w:tc>
          <w:tcPr>
            <w:tcW w:type="dxa" w:w="28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CFO + CEO + Board notification</w:t>
            </w:r>
          </w:p>
        </w:tc>
        <w:tc>
          <w:tcPr>
            <w:tcW w:type="dxa" w:w="38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Formal RFP + Legal review + Board notification required</w:t>
            </w:r>
          </w:p>
        </w:tc>
      </w:tr>
    </w:tbl>
    <w:p>
      <w:pPr>
        <w:spacing w:after="100" w:before="100"/>
      </w:pPr>
    </w:p>
    <w:p>
      <w:pPr>
        <w:pStyle w:val="Heading3"/>
        <w:spacing w:after="100" w:before="220"/>
      </w:pPr>
      <w:r>
        <w:rPr>
          <w:rFonts w:ascii="Arial" w:cs="Arial" w:eastAsia="Arial" w:hAnsi="Arial"/>
          <w:b/>
          <w:bCs/>
          <w:color w:val="1B3A6B"/>
          <w:sz w:val="24"/>
          <w:szCs w:val="24"/>
        </w:rPr>
        <w:t xml:space="preserve">7.3.2 Vendor Qualification &amp; Due Diligence</w:t>
      </w:r>
    </w:p>
    <w:p>
      <w:pPr>
        <w:spacing w:after="100" w:before="80" w:line="276" w:lineRule="auto"/>
        <w:jc w:val="both"/>
      </w:pPr>
      <w:r>
        <w:rPr>
          <w:rFonts w:ascii="Arial" w:cs="Arial" w:eastAsia="Arial" w:hAnsi="Arial"/>
          <w:b w:val="false"/>
          <w:bCs w:val="false"/>
          <w:i w:val="false"/>
          <w:iCs w:val="false"/>
          <w:color w:val="1A1A1A"/>
          <w:sz w:val="22"/>
          <w:szCs w:val="22"/>
        </w:rPr>
        <w:t xml:space="preserve">Before any new vendor may be engaged, the Procurement team must complete a Vendor Qualification Assessment (VQA) covering: financial stability (Dun &amp; Bradstreet or equivalent); sanctions screening against OFAC, EU, and UN consolidated lists; anti-bribery due diligence proportionate to country risk and contract value; information security assessment for any vendor with access to NexaCorp systems or data; and insurance verification (general liability, E&amp;O/professional indemnity, cyber liability where applicable).</w:t>
      </w:r>
    </w:p>
    <w:p>
      <w:pPr>
        <w:pBdr>
          <w:left w:val="single" w:color="E36B00" w:sz="12" w:space="8"/>
        </w:pBdr>
        <w:spacing w:after="120" w:before="120"/>
        <w:ind w:left="360" w:right="360"/>
      </w:pPr>
      <w:r>
        <w:rPr>
          <w:rFonts w:ascii="Arial" w:cs="Arial" w:eastAsia="Arial" w:hAnsi="Arial"/>
          <w:b/>
          <w:bCs/>
          <w:color w:val="E36B00"/>
          <w:sz w:val="20"/>
          <w:szCs w:val="20"/>
        </w:rPr>
        <w:t xml:space="preserve">WARNING: </w:t>
      </w:r>
      <w:r>
        <w:rPr>
          <w:rFonts w:ascii="Arial" w:cs="Arial" w:eastAsia="Arial" w:hAnsi="Arial"/>
          <w:i/>
          <w:iCs/>
          <w:color w:val="1A1A1A"/>
          <w:sz w:val="20"/>
          <w:szCs w:val="20"/>
        </w:rPr>
        <w:t xml:space="preserve">No NexaCorp employee may begin receiving services from or making payments to a vendor that has not been formally registered and approved in the NexaProcure system. Commitment letters, emails, or verbal agreements with unregistered vendors do not bind NexaCorp legally but may expose the individual employee to personal liability.</w:t>
      </w:r>
    </w:p>
    <w:p>
      <w:pPr>
        <w:spacing w:after="0" w:before="0"/>
      </w:pPr>
      <w:r>
        <w:br w:type="page"/>
      </w:r>
    </w:p>
    <w:p>
      <w:pPr>
        <w:shd w:fill="1B3A6B" w:val="clear"/>
        <w:spacing w:after="300" w:before="500"/>
        <w:jc w:val="center"/>
      </w:pPr>
      <w:r>
        <w:rPr>
          <w:rFonts w:ascii="Arial" w:cs="Arial" w:eastAsia="Arial" w:hAnsi="Arial"/>
          <w:b/>
          <w:bCs/>
          <w:color w:val="FFFFFF"/>
          <w:sz w:val="32"/>
          <w:szCs w:val="32"/>
        </w:rPr>
        <w:t xml:space="preserve">  PART VIII — DISCIPLINARY &amp; SEPARATION PROCEDURES  </w:t>
      </w:r>
    </w:p>
    <w:p>
      <w:pPr>
        <w:spacing w:after="200" w:before="200"/>
      </w:pPr>
    </w:p>
    <w:p>
      <w:pPr>
        <w:pStyle w:val="Heading1"/>
        <w:pBdr>
          <w:bottom w:val="single" w:color="2E75B6" w:sz="8" w:space="4"/>
        </w:pBdr>
        <w:spacing w:after="200" w:before="400"/>
      </w:pPr>
      <w:r>
        <w:rPr>
          <w:rFonts w:ascii="Arial" w:cs="Arial" w:eastAsia="Arial" w:hAnsi="Arial"/>
          <w:b/>
          <w:bCs/>
          <w:color w:val="1B3A6B"/>
          <w:sz w:val="36"/>
          <w:szCs w:val="36"/>
        </w:rPr>
        <w:t xml:space="preserve">8. Disciplinary &amp; Separation Procedures</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NexaCorp's disciplinary procedures are designed to be fair, consistent, and transparent. The company believes in addressing performance and conduct issues constructively and proportionately, with a genuine goal of rehabilitation where appropriate. However, NexaCorp also recognises that certain behaviours are incompatible with continued employment and will be addressed decisively.</w:t>
      </w:r>
    </w:p>
    <w:p>
      <w:pPr>
        <w:pStyle w:val="Heading2"/>
        <w:spacing w:after="140" w:before="300"/>
      </w:pPr>
      <w:r>
        <w:rPr>
          <w:rFonts w:ascii="Arial" w:cs="Arial" w:eastAsia="Arial" w:hAnsi="Arial"/>
          <w:b/>
          <w:bCs/>
          <w:color w:val="2E75B6"/>
          <w:sz w:val="28"/>
          <w:szCs w:val="28"/>
        </w:rPr>
        <w:t xml:space="preserve">8.1 Progressive Discipline Framework</w:t>
      </w:r>
    </w:p>
    <w:p>
      <w:pPr>
        <w:pStyle w:val="Heading3"/>
        <w:spacing w:after="100" w:before="220"/>
      </w:pPr>
      <w:r>
        <w:rPr>
          <w:rFonts w:ascii="Arial" w:cs="Arial" w:eastAsia="Arial" w:hAnsi="Arial"/>
          <w:b/>
          <w:bCs/>
          <w:color w:val="1B3A6B"/>
          <w:sz w:val="24"/>
          <w:szCs w:val="24"/>
        </w:rPr>
        <w:t xml:space="preserve">8.1.1 Overview</w:t>
      </w:r>
    </w:p>
    <w:p>
      <w:pPr>
        <w:spacing w:after="100" w:before="80" w:line="276" w:lineRule="auto"/>
        <w:jc w:val="both"/>
      </w:pPr>
      <w:r>
        <w:rPr>
          <w:rFonts w:ascii="Arial" w:cs="Arial" w:eastAsia="Arial" w:hAnsi="Arial"/>
          <w:b w:val="false"/>
          <w:bCs w:val="false"/>
          <w:i w:val="false"/>
          <w:iCs w:val="false"/>
          <w:color w:val="1A1A1A"/>
          <w:sz w:val="22"/>
          <w:szCs w:val="22"/>
        </w:rPr>
        <w:t xml:space="preserve">The progressive discipline framework is applied to conduct and performance issues that do not rise to the level of gross misconduct. The steps are designed to be escalating in severity, giving employees notice of the issue and opportunity to correct their behaviour at each stage. It is important to note that NexaCorp is not required to progress through each step in sequence — the appropriate starting point depends on the severity and nature of the issue.</w:t>
      </w:r>
    </w:p>
    <w:p>
      <w:pPr>
        <w:pStyle w:val="Heading3"/>
        <w:spacing w:after="100" w:before="220"/>
      </w:pPr>
      <w:r>
        <w:rPr>
          <w:rFonts w:ascii="Arial" w:cs="Arial" w:eastAsia="Arial" w:hAnsi="Arial"/>
          <w:b/>
          <w:bCs/>
          <w:color w:val="1B3A6B"/>
          <w:sz w:val="24"/>
          <w:szCs w:val="24"/>
        </w:rPr>
        <w:t xml:space="preserve">8.1.2 Disciplinary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40"/>
        <w:gridCol w:w="1920"/>
        <w:gridCol w:w="1680"/>
        <w:gridCol w:w="2520"/>
      </w:tblGrid>
      <w:tr>
        <w:trPr>
          <w:tblHeader/>
        </w:trPr>
        <w:tc>
          <w:tcPr>
            <w:tcW w:type="dxa" w:w="12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Step</w:t>
            </w:r>
          </w:p>
        </w:tc>
        <w:tc>
          <w:tcPr>
            <w:tcW w:type="dxa" w:w="204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Format</w:t>
            </w:r>
          </w:p>
        </w:tc>
        <w:tc>
          <w:tcPr>
            <w:tcW w:type="dxa" w:w="19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Who Delivers</w:t>
            </w:r>
          </w:p>
        </w:tc>
        <w:tc>
          <w:tcPr>
            <w:tcW w:type="dxa" w:w="168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Duration in File</w:t>
            </w:r>
          </w:p>
        </w:tc>
        <w:tc>
          <w:tcPr>
            <w:tcW w:type="dxa" w:w="25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Triggers for Escalation</w:t>
            </w:r>
          </w:p>
        </w:tc>
      </w:tr>
      <w:tr>
        <w:tc>
          <w:tcPr>
            <w:tcW w:type="dxa" w:w="1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 Informal Counselling</w:t>
            </w:r>
          </w:p>
        </w:tc>
        <w:tc>
          <w:tcPr>
            <w:tcW w:type="dxa" w:w="20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Documented conversation (manager notes)</w:t>
            </w:r>
          </w:p>
        </w:tc>
        <w:tc>
          <w:tcPr>
            <w:tcW w:type="dxa" w:w="1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Direct Manager</w:t>
            </w:r>
          </w:p>
        </w:tc>
        <w:tc>
          <w:tcPr>
            <w:tcW w:type="dxa" w:w="16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6 months</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Recurrence within active period</w:t>
            </w:r>
          </w:p>
        </w:tc>
      </w:tr>
      <w:tr>
        <w:tc>
          <w:tcPr>
            <w:tcW w:type="dxa" w:w="12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2. Verbal Warning</w:t>
            </w:r>
          </w:p>
        </w:tc>
        <w:tc>
          <w:tcPr>
            <w:tcW w:type="dxa" w:w="20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Written confirmation of verbal discussion</w:t>
            </w:r>
          </w:p>
        </w:tc>
        <w:tc>
          <w:tcPr>
            <w:tcW w:type="dxa" w:w="1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Manager + HR BP present</w:t>
            </w:r>
          </w:p>
        </w:tc>
        <w:tc>
          <w:tcPr>
            <w:tcW w:type="dxa" w:w="16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12 months</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Recurrence or related new violation</w:t>
            </w:r>
          </w:p>
        </w:tc>
      </w:tr>
      <w:tr>
        <w:tc>
          <w:tcPr>
            <w:tcW w:type="dxa" w:w="1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3. First Written Warning</w:t>
            </w:r>
          </w:p>
        </w:tc>
        <w:tc>
          <w:tcPr>
            <w:tcW w:type="dxa" w:w="20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Formal warning letter signed by manager and HR</w:t>
            </w:r>
          </w:p>
        </w:tc>
        <w:tc>
          <w:tcPr>
            <w:tcW w:type="dxa" w:w="1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Manager + HR BP</w:t>
            </w:r>
          </w:p>
        </w:tc>
        <w:tc>
          <w:tcPr>
            <w:tcW w:type="dxa" w:w="16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12 months</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Recurrence or any new policy violation</w:t>
            </w:r>
          </w:p>
        </w:tc>
      </w:tr>
      <w:tr>
        <w:tc>
          <w:tcPr>
            <w:tcW w:type="dxa" w:w="12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4. Final Written Warning</w:t>
            </w:r>
          </w:p>
        </w:tc>
        <w:tc>
          <w:tcPr>
            <w:tcW w:type="dxa" w:w="20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Formal letter with explicit termination notice</w:t>
            </w:r>
          </w:p>
        </w:tc>
        <w:tc>
          <w:tcPr>
            <w:tcW w:type="dxa" w:w="1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Manager + HR Director</w:t>
            </w:r>
          </w:p>
        </w:tc>
        <w:tc>
          <w:tcPr>
            <w:tcW w:type="dxa" w:w="16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24 months</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Any further violation; no time threshold</w:t>
            </w:r>
          </w:p>
        </w:tc>
      </w:tr>
      <w:tr>
        <w:tc>
          <w:tcPr>
            <w:tcW w:type="dxa" w:w="12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5. Termination</w:t>
            </w:r>
          </w:p>
        </w:tc>
        <w:tc>
          <w:tcPr>
            <w:tcW w:type="dxa" w:w="20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Termination letter; last day defined</w:t>
            </w:r>
          </w:p>
        </w:tc>
        <w:tc>
          <w:tcPr>
            <w:tcW w:type="dxa" w:w="1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HR Director + Manager</w:t>
            </w:r>
          </w:p>
        </w:tc>
        <w:tc>
          <w:tcPr>
            <w:tcW w:type="dxa" w:w="16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Permanent record</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N/A</w:t>
            </w:r>
          </w:p>
        </w:tc>
      </w:tr>
    </w:tbl>
    <w:p>
      <w:pPr>
        <w:spacing w:after="100" w:before="100"/>
      </w:pPr>
    </w:p>
    <w:p>
      <w:pPr>
        <w:pStyle w:val="Heading3"/>
        <w:spacing w:after="100" w:before="220"/>
      </w:pPr>
      <w:r>
        <w:rPr>
          <w:rFonts w:ascii="Arial" w:cs="Arial" w:eastAsia="Arial" w:hAnsi="Arial"/>
          <w:b/>
          <w:bCs/>
          <w:color w:val="1B3A6B"/>
          <w:sz w:val="24"/>
          <w:szCs w:val="24"/>
        </w:rPr>
        <w:t xml:space="preserve">8.1.3 Due Process Rights</w:t>
      </w:r>
    </w:p>
    <w:p>
      <w:pPr>
        <w:spacing w:after="100" w:before="80" w:line="276" w:lineRule="auto"/>
        <w:jc w:val="both"/>
      </w:pPr>
      <w:r>
        <w:rPr>
          <w:rFonts w:ascii="Arial" w:cs="Arial" w:eastAsia="Arial" w:hAnsi="Arial"/>
          <w:b w:val="false"/>
          <w:bCs w:val="false"/>
          <w:i w:val="false"/>
          <w:iCs w:val="false"/>
          <w:color w:val="1A1A1A"/>
          <w:sz w:val="22"/>
          <w:szCs w:val="22"/>
        </w:rPr>
        <w:t xml:space="preserve">At each stage of the disciplinary process (from Step 2 onwards), employees are entitled to:</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Advance written notice of the meeting's purpose (minimum 24 hours except in urgent situations).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An opportunity to present their account of events and any supporting evidence or witnesses.</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Be accompanied by a colleague, trade union representative, or other appropriate support person in jurisdictions where such rights exist under law.</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Receive a written summary of the disciplinary outcome and the grounds for the decision.</w:t>
      </w:r>
    </w:p>
    <w:p>
      <w:pPr>
        <w:pStyle w:val="ListParagraph"/>
        <w:numPr>
          <w:ilvl w:val="0"/>
          <w:numId w:val="2"/>
        </w:numPr>
        <w:spacing w:after="60" w:before="60"/>
      </w:pPr>
      <w:r>
        <w:rPr>
          <w:rFonts w:ascii="Arial" w:cs="Arial" w:eastAsia="Arial" w:hAnsi="Arial"/>
          <w:b w:val="false"/>
          <w:bCs w:val="false"/>
          <w:i w:val="false"/>
          <w:iCs w:val="false"/>
          <w:color w:val="1A1A1A"/>
          <w:sz w:val="22"/>
          <w:szCs w:val="22"/>
        </w:rPr>
        <w:t xml:space="preserve">Appeal the decision through NexaCorp's Grievance &amp; Appeal process (HR-APPEAL-01) within 10 business days of receiving the written outcome.</w:t>
      </w:r>
    </w:p>
    <w:p>
      <w:pPr>
        <w:pBdr>
          <w:left w:val="single" w:color="2E75B6" w:sz="12" w:space="8"/>
        </w:pBdr>
        <w:spacing w:after="120" w:before="120"/>
        <w:ind w:left="360" w:right="360"/>
      </w:pPr>
      <w:r>
        <w:rPr>
          <w:rFonts w:ascii="Arial" w:cs="Arial" w:eastAsia="Arial" w:hAnsi="Arial"/>
          <w:b/>
          <w:bCs/>
          <w:color w:val="2E75B6"/>
          <w:sz w:val="20"/>
          <w:szCs w:val="20"/>
        </w:rPr>
        <w:t xml:space="preserve">NOTE: </w:t>
      </w:r>
      <w:r>
        <w:rPr>
          <w:rFonts w:ascii="Arial" w:cs="Arial" w:eastAsia="Arial" w:hAnsi="Arial"/>
          <w:i/>
          <w:iCs/>
          <w:color w:val="1A1A1A"/>
          <w:sz w:val="20"/>
          <w:szCs w:val="20"/>
        </w:rPr>
        <w:t xml:space="preserve">Employees in California and certain other states may have additional due process rights under applicable law. HR Business Partners will advise on jurisdiction-specific requirements at the commencement of any formal disciplinary process.</w:t>
      </w:r>
    </w:p>
    <w:p>
      <w:pPr>
        <w:pStyle w:val="Heading2"/>
        <w:spacing w:after="140" w:before="300"/>
      </w:pPr>
      <w:r>
        <w:rPr>
          <w:rFonts w:ascii="Arial" w:cs="Arial" w:eastAsia="Arial" w:hAnsi="Arial"/>
          <w:b/>
          <w:bCs/>
          <w:color w:val="2E75B6"/>
          <w:sz w:val="28"/>
          <w:szCs w:val="28"/>
        </w:rPr>
        <w:t xml:space="preserve">8.2 Gross Misconduct &amp; Summary Dismissal</w:t>
      </w:r>
    </w:p>
    <w:p>
      <w:pPr>
        <w:pStyle w:val="Heading3"/>
        <w:spacing w:after="100" w:before="220"/>
      </w:pPr>
      <w:r>
        <w:rPr>
          <w:rFonts w:ascii="Arial" w:cs="Arial" w:eastAsia="Arial" w:hAnsi="Arial"/>
          <w:b/>
          <w:bCs/>
          <w:color w:val="1B3A6B"/>
          <w:sz w:val="24"/>
          <w:szCs w:val="24"/>
        </w:rPr>
        <w:t xml:space="preserve">8.2.1 Definition</w:t>
      </w:r>
    </w:p>
    <w:p>
      <w:pPr>
        <w:spacing w:after="100" w:before="80" w:line="276" w:lineRule="auto"/>
        <w:jc w:val="both"/>
      </w:pPr>
      <w:r>
        <w:rPr>
          <w:rFonts w:ascii="Arial" w:cs="Arial" w:eastAsia="Arial" w:hAnsi="Arial"/>
          <w:b w:val="false"/>
          <w:bCs w:val="false"/>
          <w:i w:val="false"/>
          <w:iCs w:val="false"/>
          <w:color w:val="1A1A1A"/>
          <w:sz w:val="22"/>
          <w:szCs w:val="22"/>
        </w:rPr>
        <w:t xml:space="preserve">Gross misconduct is conduct so serious that it fundamentally destroys the trust and confidence that the employment relationship requires. NexaCorp reserves the right to dismiss an employee summarily (without notice or payment in lieu of notice) following a fair investigation where gross misconduct is substantiated. The following, while not exhaustive, are examples of behaviours that may constitute gross misconduct: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rPr>
          <w:tblHeader/>
        </w:trPr>
        <w:tc>
          <w:tcPr>
            <w:tcW w:type="dxa" w:w="25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Category</w:t>
            </w:r>
          </w:p>
        </w:tc>
        <w:tc>
          <w:tcPr>
            <w:tcW w:type="dxa" w:w="684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Specific Examples</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Dishonesty &amp; Fraud</w:t>
            </w:r>
          </w:p>
        </w:tc>
        <w:tc>
          <w:tcPr>
            <w:tcW w:type="dxa" w:w="68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Theft of company property; expense fraud; falsification of records or qualifications; financial misappropriation</w:t>
            </w:r>
          </w:p>
        </w:tc>
      </w:tr>
      <w:tr>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Safety Violations</w:t>
            </w:r>
          </w:p>
        </w:tc>
        <w:tc>
          <w:tcPr>
            <w:tcW w:type="dxa" w:w="68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Deliberate disregard of safety rules that endangers life; reporting to work intoxicated in safety-sensitive roles</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Harassment &amp; Violence</w:t>
            </w:r>
          </w:p>
        </w:tc>
        <w:tc>
          <w:tcPr>
            <w:tcW w:type="dxa" w:w="68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Physical assault or credible threats of violence; severe or repeated sexual harassment; discrimination motivated by malice</w:t>
            </w:r>
          </w:p>
        </w:tc>
      </w:tr>
      <w:tr>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Confidentiality Breach</w:t>
            </w:r>
          </w:p>
        </w:tc>
        <w:tc>
          <w:tcPr>
            <w:tcW w:type="dxa" w:w="68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Intentional leaking of trade secrets; unauthorised disclosure of MNPI to personal benefit; sale of client data</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Cybersecurity Violations</w:t>
            </w:r>
          </w:p>
        </w:tc>
        <w:tc>
          <w:tcPr>
            <w:tcW w:type="dxa" w:w="68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Deliberate introduction of malware; unauthorised access to systems; sabotage of IT infrastructure</w:t>
            </w:r>
          </w:p>
        </w:tc>
      </w:tr>
      <w:tr>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Ethics Violations</w:t>
            </w:r>
          </w:p>
        </w:tc>
        <w:tc>
          <w:tcPr>
            <w:tcW w:type="dxa" w:w="68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Bribery; insider trading; retaliation against a whistleblower; serious conflict of interest concealment</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Insubordination</w:t>
            </w:r>
          </w:p>
        </w:tc>
        <w:tc>
          <w:tcPr>
            <w:tcW w:type="dxa" w:w="68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Repeated wilful refusal to follow reasonable lawful instructions; threatening or abusive conduct towards a manager</w:t>
            </w:r>
          </w:p>
        </w:tc>
      </w:tr>
    </w:tbl>
    <w:p>
      <w:pPr>
        <w:spacing w:after="100" w:before="100"/>
      </w:pPr>
    </w:p>
    <w:p>
      <w:pPr>
        <w:pStyle w:val="Heading3"/>
        <w:spacing w:after="100" w:before="220"/>
      </w:pPr>
      <w:r>
        <w:rPr>
          <w:rFonts w:ascii="Arial" w:cs="Arial" w:eastAsia="Arial" w:hAnsi="Arial"/>
          <w:b/>
          <w:bCs/>
          <w:color w:val="1B3A6B"/>
          <w:sz w:val="24"/>
          <w:szCs w:val="24"/>
        </w:rPr>
        <w:t xml:space="preserve">8.2.2 Suspension During Investigation</w:t>
      </w:r>
    </w:p>
    <w:p>
      <w:pPr>
        <w:spacing w:after="100" w:before="80" w:line="276" w:lineRule="auto"/>
        <w:jc w:val="both"/>
      </w:pPr>
      <w:r>
        <w:rPr>
          <w:rFonts w:ascii="Arial" w:cs="Arial" w:eastAsia="Arial" w:hAnsi="Arial"/>
          <w:b w:val="false"/>
          <w:bCs w:val="false"/>
          <w:i w:val="false"/>
          <w:iCs w:val="false"/>
          <w:color w:val="1A1A1A"/>
          <w:sz w:val="22"/>
          <w:szCs w:val="22"/>
        </w:rPr>
        <w:t xml:space="preserve">Where an employee is suspected of gross misconduct, NexaCorp may suspend them on full pay pending the outcome of an investigation. Suspension is a neutral act and is not a disciplinary sanction or an indication of guilt. During suspension, the employee must: not attend NexaCorp premises without authorisation; not contact clients, vendors, or colleagues about matters related to the investigation; cooperate fully with investigators; and return all company equipment on request.</w:t>
      </w:r>
    </w:p>
    <w:p>
      <w:pPr>
        <w:pStyle w:val="Heading2"/>
        <w:spacing w:after="140" w:before="300"/>
      </w:pPr>
      <w:r>
        <w:rPr>
          <w:rFonts w:ascii="Arial" w:cs="Arial" w:eastAsia="Arial" w:hAnsi="Arial"/>
          <w:b/>
          <w:bCs/>
          <w:color w:val="2E75B6"/>
          <w:sz w:val="28"/>
          <w:szCs w:val="28"/>
        </w:rPr>
        <w:t xml:space="preserve">8.3 Voluntary Resignation &amp; Retirement</w:t>
      </w:r>
    </w:p>
    <w:p>
      <w:pPr>
        <w:pStyle w:val="Heading3"/>
        <w:spacing w:after="100" w:before="220"/>
      </w:pPr>
      <w:r>
        <w:rPr>
          <w:rFonts w:ascii="Arial" w:cs="Arial" w:eastAsia="Arial" w:hAnsi="Arial"/>
          <w:b/>
          <w:bCs/>
          <w:color w:val="1B3A6B"/>
          <w:sz w:val="24"/>
          <w:szCs w:val="24"/>
        </w:rPr>
        <w:t xml:space="preserve">8.3.1 Resignation Notice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4320"/>
      </w:tblGrid>
      <w:tr>
        <w:trPr>
          <w:tblHeader/>
        </w:trPr>
        <w:tc>
          <w:tcPr>
            <w:tcW w:type="dxa" w:w="25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Grade Level</w:t>
            </w:r>
          </w:p>
        </w:tc>
        <w:tc>
          <w:tcPr>
            <w:tcW w:type="dxa" w:w="25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Notice Period Required</w:t>
            </w:r>
          </w:p>
        </w:tc>
        <w:tc>
          <w:tcPr>
            <w:tcW w:type="dxa" w:w="43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Garden Leave Applicable?</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1–4 (IC)</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 weeks minimum</w:t>
            </w:r>
          </w:p>
        </w:tc>
        <w:tc>
          <w:tcPr>
            <w:tcW w:type="dxa" w:w="43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At NexaCorp's discretion</w:t>
            </w:r>
          </w:p>
        </w:tc>
      </w:tr>
      <w:tr>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5–6 (Senior IC / Lead)</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4 weeks minimum</w:t>
            </w:r>
          </w:p>
        </w:tc>
        <w:tc>
          <w:tcPr>
            <w:tcW w:type="dxa" w:w="43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At NexaCorp's discretion</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7–8 (Manager / Director)</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6 weeks minimum</w:t>
            </w:r>
          </w:p>
        </w:tc>
        <w:tc>
          <w:tcPr>
            <w:tcW w:type="dxa" w:w="43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Yes — typically enforced</w:t>
            </w:r>
          </w:p>
        </w:tc>
      </w:tr>
      <w:tr>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9–10 (VP / Senior Director)</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8 weeks minimum</w:t>
            </w:r>
          </w:p>
        </w:tc>
        <w:tc>
          <w:tcPr>
            <w:tcW w:type="dxa" w:w="43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Yes — typically enforced</w:t>
            </w:r>
          </w:p>
        </w:tc>
      </w:tr>
      <w:tr>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11–12 (ELT / C-Suite)</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3–6 months (per contract)</w:t>
            </w:r>
          </w:p>
        </w:tc>
        <w:tc>
          <w:tcPr>
            <w:tcW w:type="dxa" w:w="43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Yes — routinely enforced</w:t>
            </w:r>
          </w:p>
        </w:tc>
      </w:tr>
    </w:tbl>
    <w:p>
      <w:pPr>
        <w:spacing w:after="100" w:before="100"/>
      </w:pPr>
    </w:p>
    <w:p>
      <w:pPr>
        <w:pStyle w:val="Heading3"/>
        <w:spacing w:after="100" w:before="220"/>
      </w:pPr>
      <w:r>
        <w:rPr>
          <w:rFonts w:ascii="Arial" w:cs="Arial" w:eastAsia="Arial" w:hAnsi="Arial"/>
          <w:b/>
          <w:bCs/>
          <w:color w:val="1B3A6B"/>
          <w:sz w:val="24"/>
          <w:szCs w:val="24"/>
        </w:rPr>
        <w:t xml:space="preserve">8.3.2 Offboarding Process</w:t>
      </w:r>
    </w:p>
    <w:p>
      <w:pPr>
        <w:spacing w:after="100" w:before="80" w:line="276" w:lineRule="auto"/>
        <w:jc w:val="both"/>
      </w:pPr>
      <w:r>
        <w:rPr>
          <w:rFonts w:ascii="Arial" w:cs="Arial" w:eastAsia="Arial" w:hAnsi="Arial"/>
          <w:b w:val="false"/>
          <w:bCs w:val="false"/>
          <w:i w:val="false"/>
          <w:iCs w:val="false"/>
          <w:color w:val="1A1A1A"/>
          <w:sz w:val="22"/>
          <w:szCs w:val="22"/>
        </w:rPr>
        <w:t xml:space="preserve">Upon receipt of a resignation, the HR Operations team will initiate the NexaOffboard™ process, which includes:</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Manager conducts a transition planning session within 48 hours of resignation receipt.</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IT begins credential revocation scheduling and device return coordination.</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HR BP schedules an exit interview (voluntary; results are anonymised in aggregate reporting).</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Payroll calculates final pay including accrued unused PTO subject to applicable state law.</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Employee completes a knowledge transfer document for all active projects.</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Access to NexaCorp systems is terminated at 5:00 PM on the last day of employment.</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COBRA / benefits continuation information is mailed within 14 days of coverage end.</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RSU and LTI treatment is determined per the applicable equity plan documents.</w:t>
      </w:r>
    </w:p>
    <w:p>
      <w:pPr>
        <w:pStyle w:val="Heading2"/>
        <w:spacing w:after="140" w:before="300"/>
      </w:pPr>
      <w:r>
        <w:rPr>
          <w:rFonts w:ascii="Arial" w:cs="Arial" w:eastAsia="Arial" w:hAnsi="Arial"/>
          <w:b/>
          <w:bCs/>
          <w:color w:val="2E75B6"/>
          <w:sz w:val="28"/>
          <w:szCs w:val="28"/>
        </w:rPr>
        <w:t xml:space="preserve">8.4 Reduction in Force (Layoffs)</w:t>
      </w:r>
    </w:p>
    <w:p>
      <w:pPr>
        <w:pStyle w:val="Heading3"/>
        <w:spacing w:after="100" w:before="220"/>
      </w:pPr>
      <w:r>
        <w:rPr>
          <w:rFonts w:ascii="Arial" w:cs="Arial" w:eastAsia="Arial" w:hAnsi="Arial"/>
          <w:b/>
          <w:bCs/>
          <w:color w:val="1B3A6B"/>
          <w:sz w:val="24"/>
          <w:szCs w:val="24"/>
        </w:rPr>
        <w:t xml:space="preserve">8.4.1 Policy Principles</w:t>
      </w:r>
    </w:p>
    <w:p>
      <w:pPr>
        <w:spacing w:after="100" w:before="80" w:line="276" w:lineRule="auto"/>
        <w:jc w:val="both"/>
      </w:pPr>
      <w:r>
        <w:rPr>
          <w:rFonts w:ascii="Arial" w:cs="Arial" w:eastAsia="Arial" w:hAnsi="Arial"/>
          <w:b w:val="false"/>
          <w:bCs w:val="false"/>
          <w:i w:val="false"/>
          <w:iCs w:val="false"/>
          <w:color w:val="1A1A1A"/>
          <w:sz w:val="22"/>
          <w:szCs w:val="22"/>
        </w:rPr>
        <w:t xml:space="preserve">NexaCorp is committed to treating all employees with dignity and respect in all circumstances, including the difficult situation of involuntary job elimination. Reductions in force (RIFs) are undertaken only after thorough business justification, consideration of alternatives, and appropriate consultation with legal counsel. Selection criteria for inclusion in a RIF must be based on legitimate, non-discriminatory business factors including: role elimination; skills gap relative to future business needs; performance history; and length of service as a tiebreaker.</w:t>
      </w:r>
    </w:p>
    <w:p>
      <w:pPr>
        <w:pStyle w:val="Heading3"/>
        <w:spacing w:after="100" w:before="220"/>
      </w:pPr>
      <w:r>
        <w:rPr>
          <w:rFonts w:ascii="Arial" w:cs="Arial" w:eastAsia="Arial" w:hAnsi="Arial"/>
          <w:b/>
          <w:bCs/>
          <w:color w:val="1B3A6B"/>
          <w:sz w:val="24"/>
          <w:szCs w:val="24"/>
        </w:rPr>
        <w:t xml:space="preserve">8.4.2 Severance Benefits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160"/>
        <w:gridCol w:w="3120"/>
      </w:tblGrid>
      <w:tr>
        <w:trPr>
          <w:tblHeader/>
        </w:trPr>
        <w:tc>
          <w:tcPr>
            <w:tcW w:type="dxa" w:w="18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Years of Service</w:t>
            </w:r>
          </w:p>
        </w:tc>
        <w:tc>
          <w:tcPr>
            <w:tcW w:type="dxa" w:w="25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Severance Pay</w:t>
            </w:r>
          </w:p>
        </w:tc>
        <w:tc>
          <w:tcPr>
            <w:tcW w:type="dxa" w:w="21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Benefits Continuation</w:t>
            </w:r>
          </w:p>
        </w:tc>
        <w:tc>
          <w:tcPr>
            <w:tcW w:type="dxa" w:w="31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Outplacement Services</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&lt; 1 year</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4 weeks base salary</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COBRA subsidy 1 month</w:t>
            </w:r>
          </w:p>
        </w:tc>
        <w:tc>
          <w:tcPr>
            <w:tcW w:type="dxa" w:w="31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NexaCareer™ online portal access</w:t>
            </w:r>
          </w:p>
        </w:tc>
      </w:tr>
      <w:tr>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1–3 years</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6 weeks base salary</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COBRA subsidy 2 months</w:t>
            </w:r>
          </w:p>
        </w:tc>
        <w:tc>
          <w:tcPr>
            <w:tcW w:type="dxa" w:w="31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NexaCareer™ + 2 coaching sessions</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3–7 years</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10 weeks base salary</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COBRA subsidy 3 months</w:t>
            </w:r>
          </w:p>
        </w:tc>
        <w:tc>
          <w:tcPr>
            <w:tcW w:type="dxa" w:w="31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NexaCareer™ + 5 coaching sessions</w:t>
            </w:r>
          </w:p>
        </w:tc>
      </w:tr>
      <w:tr>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7–12 years</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16 weeks base salary</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COBRA subsidy 4 months</w:t>
            </w:r>
          </w:p>
        </w:tc>
        <w:tc>
          <w:tcPr>
            <w:tcW w:type="dxa" w:w="31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Premium outplacement (3 months)</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12+ years</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22 weeks base salary</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COBRA subsidy 6 months</w:t>
            </w:r>
          </w:p>
        </w:tc>
        <w:tc>
          <w:tcPr>
            <w:tcW w:type="dxa" w:w="31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Executive outplacement (6 months)</w:t>
            </w:r>
          </w:p>
        </w:tc>
      </w:tr>
      <w:tr>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ELT / VP and above</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Per individual employment agreement</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Per agreement</w:t>
            </w:r>
          </w:p>
        </w:tc>
        <w:tc>
          <w:tcPr>
            <w:tcW w:type="dxa" w:w="31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Executive search support</w:t>
            </w:r>
          </w:p>
        </w:tc>
      </w:tr>
    </w:tbl>
    <w:p>
      <w:pPr>
        <w:spacing w:after="100" w:before="100"/>
      </w:pPr>
    </w:p>
    <w:p>
      <w:pPr>
        <w:pBdr>
          <w:left w:val="single" w:color="C00000" w:sz="12" w:space="8"/>
        </w:pBdr>
        <w:spacing w:after="120" w:before="120"/>
        <w:ind w:left="360" w:right="360"/>
      </w:pPr>
      <w:r>
        <w:rPr>
          <w:rFonts w:ascii="Arial" w:cs="Arial" w:eastAsia="Arial" w:hAnsi="Arial"/>
          <w:b/>
          <w:bCs/>
          <w:color w:val="C00000"/>
          <w:sz w:val="20"/>
          <w:szCs w:val="20"/>
        </w:rPr>
        <w:t xml:space="preserve">IMPORTANT: </w:t>
      </w:r>
      <w:r>
        <w:rPr>
          <w:rFonts w:ascii="Arial" w:cs="Arial" w:eastAsia="Arial" w:hAnsi="Arial"/>
          <w:i/>
          <w:iCs/>
          <w:color w:val="1A1A1A"/>
          <w:sz w:val="20"/>
          <w:szCs w:val="20"/>
        </w:rPr>
        <w:t xml:space="preserve">Severance is contingent upon the employee signing a valid Separation Agreement &amp; Release of Claims. Employees should be advised they have the right to consult independent legal counsel before signing. ADEA waivers require a 21-day consideration period and 7-day revocation right for employees aged 40 and above.</w:t>
      </w:r>
    </w:p>
    <w:p>
      <w:pPr>
        <w:pStyle w:val="Heading3"/>
        <w:spacing w:after="100" w:before="220"/>
      </w:pPr>
      <w:r>
        <w:rPr>
          <w:rFonts w:ascii="Arial" w:cs="Arial" w:eastAsia="Arial" w:hAnsi="Arial"/>
          <w:b/>
          <w:bCs/>
          <w:color w:val="1B3A6B"/>
          <w:sz w:val="24"/>
          <w:szCs w:val="24"/>
        </w:rPr>
        <w:t xml:space="preserve">8.4.3 WARN Act Compliance</w:t>
      </w:r>
    </w:p>
    <w:p>
      <w:pPr>
        <w:spacing w:after="100" w:before="80" w:line="276" w:lineRule="auto"/>
        <w:jc w:val="both"/>
      </w:pPr>
      <w:r>
        <w:rPr>
          <w:rFonts w:ascii="Arial" w:cs="Arial" w:eastAsia="Arial" w:hAnsi="Arial"/>
          <w:b w:val="false"/>
          <w:bCs w:val="false"/>
          <w:i w:val="false"/>
          <w:iCs w:val="false"/>
          <w:color w:val="1A1A1A"/>
          <w:sz w:val="22"/>
          <w:szCs w:val="22"/>
        </w:rPr>
        <w:t xml:space="preserve">For RIFs affecting 50 or more employees at a single location within any 30-day period, or 500+ employees company-wide, the federal WARN Act requires NexaCorp to provide 60 calendar days' advance written notice to affected employees, relevant state agencies, and local government. The Legal and HR teams will manage WARN Act compliance in all such situations. Failure to comply with WARN Act obligations creates significant legal liability for NexaCorp.</w:t>
      </w:r>
    </w:p>
    <w:p>
      <w:pPr>
        <w:spacing w:after="0" w:before="0"/>
      </w:pPr>
      <w:r>
        <w:br w:type="page"/>
      </w:r>
    </w:p>
    <w:p>
      <w:pPr>
        <w:shd w:fill="1B3A6B" w:val="clear"/>
        <w:spacing w:after="300" w:before="500"/>
        <w:jc w:val="center"/>
      </w:pPr>
      <w:r>
        <w:rPr>
          <w:rFonts w:ascii="Arial" w:cs="Arial" w:eastAsia="Arial" w:hAnsi="Arial"/>
          <w:b/>
          <w:bCs/>
          <w:color w:val="FFFFFF"/>
          <w:sz w:val="32"/>
          <w:szCs w:val="32"/>
        </w:rPr>
        <w:t xml:space="preserve">  APPENDICES  </w:t>
      </w:r>
    </w:p>
    <w:p>
      <w:pPr>
        <w:spacing w:after="200" w:before="200"/>
      </w:pPr>
    </w:p>
    <w:p>
      <w:pPr>
        <w:pStyle w:val="Heading1"/>
        <w:pBdr>
          <w:bottom w:val="single" w:color="2E75B6" w:sz="8" w:space="4"/>
        </w:pBdr>
        <w:spacing w:after="200" w:before="400"/>
      </w:pPr>
      <w:r>
        <w:rPr>
          <w:rFonts w:ascii="Arial" w:cs="Arial" w:eastAsia="Arial" w:hAnsi="Arial"/>
          <w:b/>
          <w:bCs/>
          <w:color w:val="1B3A6B"/>
          <w:sz w:val="36"/>
          <w:szCs w:val="36"/>
        </w:rPr>
        <w:t xml:space="preserve">Appendix A: Policy 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080"/>
        <w:gridCol w:w="5400"/>
        <w:gridCol w:w="2160"/>
      </w:tblGrid>
      <w:tr>
        <w:trPr>
          <w:tblHeader/>
        </w:trPr>
        <w:tc>
          <w:tcPr>
            <w:tcW w:type="dxa" w:w="7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Version</w:t>
            </w:r>
          </w:p>
        </w:tc>
        <w:tc>
          <w:tcPr>
            <w:tcW w:type="dxa" w:w="108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Date</w:t>
            </w:r>
          </w:p>
        </w:tc>
        <w:tc>
          <w:tcPr>
            <w:tcW w:type="dxa" w:w="54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Summary of Changes</w:t>
            </w:r>
          </w:p>
        </w:tc>
        <w:tc>
          <w:tcPr>
            <w:tcW w:type="dxa" w:w="21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Approved By</w:t>
            </w:r>
          </w:p>
        </w:tc>
      </w:tr>
      <w:tr>
        <w:tc>
          <w:tcPr>
            <w:tcW w:type="dxa" w:w="7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1.0</w:t>
            </w:r>
          </w:p>
        </w:tc>
        <w:tc>
          <w:tcPr>
            <w:tcW w:type="dxa" w:w="10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Jan 2010</w:t>
            </w:r>
          </w:p>
        </w:tc>
        <w:tc>
          <w:tcPr>
            <w:tcW w:type="dxa" w:w="5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Initial policy handbook issued</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CEO, CLO</w:t>
            </w:r>
          </w:p>
        </w:tc>
      </w:tr>
      <w:tr>
        <w:tc>
          <w:tcPr>
            <w:tcW w:type="dxa" w:w="7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2.0</w:t>
            </w:r>
          </w:p>
        </w:tc>
        <w:tc>
          <w:tcPr>
            <w:tcW w:type="dxa" w:w="10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Jan 2013</w:t>
            </w:r>
          </w:p>
        </w:tc>
        <w:tc>
          <w:tcPr>
            <w:tcW w:type="dxa" w:w="5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Added social media and BYOD policies; expanded ethics section</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ELT</w:t>
            </w:r>
          </w:p>
        </w:tc>
      </w:tr>
      <w:tr>
        <w:tc>
          <w:tcPr>
            <w:tcW w:type="dxa" w:w="7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2.5</w:t>
            </w:r>
          </w:p>
        </w:tc>
        <w:tc>
          <w:tcPr>
            <w:tcW w:type="dxa" w:w="10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Jul 2014</w:t>
            </w:r>
          </w:p>
        </w:tc>
        <w:tc>
          <w:tcPr>
            <w:tcW w:type="dxa" w:w="5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LTI programme added; salary bands updated</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CPO, CFO</w:t>
            </w:r>
          </w:p>
        </w:tc>
      </w:tr>
      <w:tr>
        <w:tc>
          <w:tcPr>
            <w:tcW w:type="dxa" w:w="7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3.0</w:t>
            </w:r>
          </w:p>
        </w:tc>
        <w:tc>
          <w:tcPr>
            <w:tcW w:type="dxa" w:w="10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Jan 2017</w:t>
            </w:r>
          </w:p>
        </w:tc>
        <w:tc>
          <w:tcPr>
            <w:tcW w:type="dxa" w:w="5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GDPR readiness updates; whistleblower channel added; EEO expanded</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ELT</w:t>
            </w:r>
          </w:p>
        </w:tc>
      </w:tr>
      <w:tr>
        <w:tc>
          <w:tcPr>
            <w:tcW w:type="dxa" w:w="7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4.0</w:t>
            </w:r>
          </w:p>
        </w:tc>
        <w:tc>
          <w:tcPr>
            <w:tcW w:type="dxa" w:w="10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Jan 2019</w:t>
            </w:r>
          </w:p>
        </w:tc>
        <w:tc>
          <w:tcPr>
            <w:tcW w:type="dxa" w:w="5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Remote work framework introduced; cyber incident response added</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ELT</w:t>
            </w:r>
          </w:p>
        </w:tc>
      </w:tr>
      <w:tr>
        <w:tc>
          <w:tcPr>
            <w:tcW w:type="dxa" w:w="7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4.5</w:t>
            </w:r>
          </w:p>
        </w:tc>
        <w:tc>
          <w:tcPr>
            <w:tcW w:type="dxa" w:w="10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Jul 2020</w:t>
            </w:r>
          </w:p>
        </w:tc>
        <w:tc>
          <w:tcPr>
            <w:tcW w:type="dxa" w:w="5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COVID-19 response addendum; mental health benefits added</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CPO, CMO</w:t>
            </w:r>
          </w:p>
        </w:tc>
      </w:tr>
      <w:tr>
        <w:tc>
          <w:tcPr>
            <w:tcW w:type="dxa" w:w="7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5.0</w:t>
            </w:r>
          </w:p>
        </w:tc>
        <w:tc>
          <w:tcPr>
            <w:tcW w:type="dxa" w:w="10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Jan 2022</w:t>
            </w:r>
          </w:p>
        </w:tc>
        <w:tc>
          <w:tcPr>
            <w:tcW w:type="dxa" w:w="5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Complete rewrite; AI policy added; CCPA updates; RIF expanded</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ELT</w:t>
            </w:r>
          </w:p>
        </w:tc>
      </w:tr>
      <w:tr>
        <w:tc>
          <w:tcPr>
            <w:tcW w:type="dxa" w:w="7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5.1</w:t>
            </w:r>
          </w:p>
        </w:tc>
        <w:tc>
          <w:tcPr>
            <w:tcW w:type="dxa" w:w="10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Jul 2024</w:t>
            </w:r>
          </w:p>
        </w:tc>
        <w:tc>
          <w:tcPr>
            <w:tcW w:type="dxa" w:w="54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Benefits update (fertility, stipends); California AB5 guidance added</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CPO, CLO</w:t>
            </w:r>
          </w:p>
        </w:tc>
      </w:tr>
      <w:tr>
        <w:tc>
          <w:tcPr>
            <w:tcW w:type="dxa" w:w="7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5.2</w:t>
            </w:r>
          </w:p>
        </w:tc>
        <w:tc>
          <w:tcPr>
            <w:tcW w:type="dxa" w:w="10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Jan 2025</w:t>
            </w:r>
          </w:p>
        </w:tc>
        <w:tc>
          <w:tcPr>
            <w:tcW w:type="dxa" w:w="54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International remote work restrictions tightened; DRS updated</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ELT</w:t>
            </w:r>
          </w:p>
        </w:tc>
      </w:tr>
    </w:tbl>
    <w:p>
      <w:pPr>
        <w:spacing w:after="200" w:before="200"/>
      </w:pPr>
    </w:p>
    <w:p>
      <w:pPr>
        <w:pStyle w:val="Heading1"/>
        <w:pBdr>
          <w:bottom w:val="single" w:color="2E75B6" w:sz="8" w:space="4"/>
        </w:pBdr>
        <w:spacing w:after="200" w:before="400"/>
      </w:pPr>
      <w:r>
        <w:rPr>
          <w:rFonts w:ascii="Arial" w:cs="Arial" w:eastAsia="Arial" w:hAnsi="Arial"/>
          <w:b/>
          <w:bCs/>
          <w:color w:val="1B3A6B"/>
          <w:sz w:val="36"/>
          <w:szCs w:val="36"/>
        </w:rPr>
        <w:t xml:space="preserve">Appendix B: Key Contacts &amp; Escalation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520"/>
        <w:gridCol w:w="2520"/>
      </w:tblGrid>
      <w:tr>
        <w:trPr>
          <w:tblHeader/>
        </w:trPr>
        <w:tc>
          <w:tcPr>
            <w:tcW w:type="dxa" w:w="21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Function</w:t>
            </w:r>
          </w:p>
        </w:tc>
        <w:tc>
          <w:tcPr>
            <w:tcW w:type="dxa" w:w="21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Contact / Team</w:t>
            </w:r>
          </w:p>
        </w:tc>
        <w:tc>
          <w:tcPr>
            <w:tcW w:type="dxa" w:w="25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Email</w:t>
            </w:r>
          </w:p>
        </w:tc>
        <w:tc>
          <w:tcPr>
            <w:tcW w:type="dxa" w:w="25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Phone / Portal</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HR General Enquiries</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HR Operations</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hr@nexacorp.com</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HRIS self-service portal</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Benefits Enquiries</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Benefits Team</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benefits@nexacorp.com</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+1-415-700-9010</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Payroll Enquiries</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Payroll Operations</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payroll@nexacorp.com</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+1-415-700-9020</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Ethics &amp; Conduct Reporting</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Ethics &amp; Compliance</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ethics@nexacorp.com</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+1-800-NEX-ETIX (24/7)</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Legal / Contract Queries</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Legal Operations</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legal@nexacorp.com</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+1-415-700-9030</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IT Support</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IT Service Desk</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itsupport@nexacorp.com</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+1-415-700-9040 (24/7)</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Security Incidents</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Security Operations Centre</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security@nexacorp.com</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+1-415-700-9911 (24/7)</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Privacy / Data Queries</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Chief Privacy Officer</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privacy@nexacorp.com</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+1-415-700-9050</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Travel &amp; Expenses</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Finance — T&amp;E Team</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travel@nexacorp.com</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Concur portal</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Procurement</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Procurement Team</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procurement@nexacorp.com</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NexaProcure portal</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EAP / Mental Health</w:t>
            </w:r>
          </w:p>
        </w:tc>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ComPsych GuidanceResources</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N/A (confidential)</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+1-800-235-4679 (24/7)</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Occupational Health</w:t>
            </w:r>
          </w:p>
        </w:tc>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EHS Team</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ehs@nexacorp.com</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+1-415-700-9060</w:t>
            </w:r>
          </w:p>
        </w:tc>
      </w:tr>
    </w:tbl>
    <w:p>
      <w:pPr>
        <w:spacing w:after="200" w:before="200"/>
      </w:pPr>
    </w:p>
    <w:p>
      <w:pPr>
        <w:pStyle w:val="Heading1"/>
        <w:pBdr>
          <w:bottom w:val="single" w:color="2E75B6" w:sz="8" w:space="4"/>
        </w:pBdr>
        <w:spacing w:after="200" w:before="400"/>
      </w:pPr>
      <w:r>
        <w:rPr>
          <w:rFonts w:ascii="Arial" w:cs="Arial" w:eastAsia="Arial" w:hAnsi="Arial"/>
          <w:b/>
          <w:bCs/>
          <w:color w:val="1B3A6B"/>
          <w:sz w:val="36"/>
          <w:szCs w:val="36"/>
        </w:rPr>
        <w:t xml:space="preserve">Appendix C: Glossary of Terms</w:t>
      </w:r>
    </w:p>
    <w:p>
      <w:pPr>
        <w:spacing w:after="100" w:before="80" w:line="276" w:lineRule="auto"/>
        <w:jc w:val="both"/>
      </w:pPr>
      <w:r>
        <w:rPr>
          <w:rFonts w:ascii="Arial" w:cs="Arial" w:eastAsia="Arial" w:hAnsi="Arial"/>
          <w:b w:val="false"/>
          <w:bCs w:val="false"/>
          <w:i w:val="false"/>
          <w:iCs w:val="false"/>
          <w:color w:val="1A1A1A"/>
          <w:sz w:val="22"/>
          <w:szCs w:val="22"/>
        </w:rPr>
        <w:t xml:space="preserve">The following definitions apply throughout this handbook: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rPr>
          <w:tblHeader/>
        </w:trPr>
        <w:tc>
          <w:tcPr>
            <w:tcW w:type="dxa" w:w="144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Term</w:t>
            </w:r>
          </w:p>
        </w:tc>
        <w:tc>
          <w:tcPr>
            <w:tcW w:type="dxa" w:w="79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Definition</w:t>
            </w:r>
          </w:p>
        </w:tc>
      </w:tr>
      <w:tr>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ADEA</w:t>
            </w:r>
          </w:p>
        </w:tc>
        <w:tc>
          <w:tcPr>
            <w:tcW w:type="dxa" w:w="7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Age Discrimination in Employment Act — US federal law prohibiting employment discrimination against persons 40 years and older.</w:t>
            </w:r>
          </w:p>
        </w:tc>
      </w:tr>
      <w:tr>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Business Day</w:t>
            </w:r>
          </w:p>
        </w:tc>
        <w:tc>
          <w:tcPr>
            <w:tcW w:type="dxa" w:w="7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Monday through Friday, excluding NexaCorp-designated public holidays.</w:t>
            </w:r>
          </w:p>
        </w:tc>
      </w:tr>
      <w:tr>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CCPA</w:t>
            </w:r>
          </w:p>
        </w:tc>
        <w:tc>
          <w:tcPr>
            <w:tcW w:type="dxa" w:w="7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California Consumer Privacy Act — California state privacy law governing the processing of California residents' personal information.</w:t>
            </w:r>
          </w:p>
        </w:tc>
      </w:tr>
      <w:tr>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Concur</w:t>
            </w:r>
          </w:p>
        </w:tc>
        <w:tc>
          <w:tcPr>
            <w:tcW w:type="dxa" w:w="7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NexaCorp's enterprise travel and expense management platform provided by SAP.</w:t>
            </w:r>
          </w:p>
        </w:tc>
      </w:tr>
      <w:tr>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CPM</w:t>
            </w:r>
          </w:p>
        </w:tc>
        <w:tc>
          <w:tcPr>
            <w:tcW w:type="dxa" w:w="7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Company Performance Multiplier — a coefficient applied to STI targets based on NexaCorp's aggregate financial performance vs plan.</w:t>
            </w:r>
          </w:p>
        </w:tc>
      </w:tr>
      <w:tr>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CISO</w:t>
            </w:r>
          </w:p>
        </w:tc>
        <w:tc>
          <w:tcPr>
            <w:tcW w:type="dxa" w:w="7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Chief Information Security Officer — executive responsible for information security strategy and operations.</w:t>
            </w:r>
          </w:p>
        </w:tc>
      </w:tr>
      <w:tr>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CLO</w:t>
            </w:r>
          </w:p>
        </w:tc>
        <w:tc>
          <w:tcPr>
            <w:tcW w:type="dxa" w:w="7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Chief Legal Officer — executive responsible for all legal, compliance, and ethics matters.</w:t>
            </w:r>
          </w:p>
        </w:tc>
      </w:tr>
      <w:tr>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DGC</w:t>
            </w:r>
          </w:p>
        </w:tc>
        <w:tc>
          <w:tcPr>
            <w:tcW w:type="dxa" w:w="7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Data Governance Council — cross-functional body responsible for NexaCorp's data governance framework.</w:t>
            </w:r>
          </w:p>
        </w:tc>
      </w:tr>
      <w:tr>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DI</w:t>
            </w:r>
          </w:p>
        </w:tc>
        <w:tc>
          <w:tcPr>
            <w:tcW w:type="dxa" w:w="7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Designated Insider — employee subject to trading window restrictions under NexaCorp's Securities Policy.</w:t>
            </w:r>
          </w:p>
        </w:tc>
      </w:tr>
      <w:tr>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EAP</w:t>
            </w:r>
          </w:p>
        </w:tc>
        <w:tc>
          <w:tcPr>
            <w:tcW w:type="dxa" w:w="7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Employee Assistance Programme — confidential counselling and support service for employees.</w:t>
            </w:r>
          </w:p>
        </w:tc>
      </w:tr>
      <w:tr>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ELT</w:t>
            </w:r>
          </w:p>
        </w:tc>
        <w:tc>
          <w:tcPr>
            <w:tcW w:type="dxa" w:w="7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Executive Leadership Team — NexaCorp's top executive body, comprising C-suite officers.</w:t>
            </w:r>
          </w:p>
        </w:tc>
      </w:tr>
      <w:tr>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ESPP</w:t>
            </w:r>
          </w:p>
        </w:tc>
        <w:tc>
          <w:tcPr>
            <w:tcW w:type="dxa" w:w="7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Employee Stock Purchase Plan — programme allowing employees to purchase NexaCorp stock at a discounted price.</w:t>
            </w:r>
          </w:p>
        </w:tc>
      </w:tr>
      <w:tr>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FMLA</w:t>
            </w:r>
          </w:p>
        </w:tc>
        <w:tc>
          <w:tcPr>
            <w:tcW w:type="dxa" w:w="7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Family and Medical Leave Act — US federal law providing eligible employees up to 12 weeks of unpaid leave.</w:t>
            </w:r>
          </w:p>
        </w:tc>
      </w:tr>
      <w:tr>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FTE</w:t>
            </w:r>
          </w:p>
        </w:tc>
        <w:tc>
          <w:tcPr>
            <w:tcW w:type="dxa" w:w="7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Full-Time Employee — an employee working 40+ hours per week on an indefinite employment contract.</w:t>
            </w:r>
          </w:p>
        </w:tc>
      </w:tr>
      <w:tr>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GDPR</w:t>
            </w:r>
          </w:p>
        </w:tc>
        <w:tc>
          <w:tcPr>
            <w:tcW w:type="dxa" w:w="7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General Data Protection Regulation — EU regulation governing the processing of personal data of EU residents.</w:t>
            </w:r>
          </w:p>
        </w:tc>
      </w:tr>
      <w:tr>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Grade</w:t>
            </w:r>
          </w:p>
        </w:tc>
        <w:tc>
          <w:tcPr>
            <w:tcW w:type="dxa" w:w="7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NexaCorp's internal job levelling system (Grades 1–12) aligned to the Job Architecture Framework (JAF).</w:t>
            </w:r>
          </w:p>
        </w:tc>
      </w:tr>
      <w:tr>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HDHP</w:t>
            </w:r>
          </w:p>
        </w:tc>
        <w:tc>
          <w:tcPr>
            <w:tcW w:type="dxa" w:w="7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High-Deductible Health Plan — medical insurance plan with lower premiums and higher deductibles, eligible for HSA pairing.</w:t>
            </w:r>
          </w:p>
        </w:tc>
      </w:tr>
      <w:tr>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HRIS</w:t>
            </w:r>
          </w:p>
        </w:tc>
        <w:tc>
          <w:tcPr>
            <w:tcW w:type="dxa" w:w="7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Human Resources Information System — NexaCorp's integrated HR management software platform.</w:t>
            </w:r>
          </w:p>
        </w:tc>
      </w:tr>
      <w:tr>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HSA</w:t>
            </w:r>
          </w:p>
        </w:tc>
        <w:tc>
          <w:tcPr>
            <w:tcW w:type="dxa" w:w="7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Health Savings Account — tax-advantaged savings account for medical expenses paired with a qualifying HDHP.</w:t>
            </w:r>
          </w:p>
        </w:tc>
      </w:tr>
      <w:tr>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IPR</w:t>
            </w:r>
          </w:p>
        </w:tc>
        <w:tc>
          <w:tcPr>
            <w:tcW w:type="dxa" w:w="7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Individual Performance Rating — the annual performance rating assigned to an employee on a 1–5 scale.</w:t>
            </w:r>
          </w:p>
        </w:tc>
      </w:tr>
      <w:tr>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JAF</w:t>
            </w:r>
          </w:p>
        </w:tc>
        <w:tc>
          <w:tcPr>
            <w:tcW w:type="dxa" w:w="7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Job Architecture Framework — NexaCorp's structured system for defining and grading all roles globally.</w:t>
            </w:r>
          </w:p>
        </w:tc>
      </w:tr>
      <w:tr>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LMS</w:t>
            </w:r>
          </w:p>
        </w:tc>
        <w:tc>
          <w:tcPr>
            <w:tcW w:type="dxa" w:w="7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Learning Management System — NexaCorp's platform for hosting and tracking all employee training (NexaAcademy™).</w:t>
            </w:r>
          </w:p>
        </w:tc>
      </w:tr>
      <w:tr>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LTI</w:t>
            </w:r>
          </w:p>
        </w:tc>
        <w:tc>
          <w:tcPr>
            <w:tcW w:type="dxa" w:w="7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Long-Term Incentive — equity-based compensation (RSUs) provided to eligible employees over multi-year vesting periods.</w:t>
            </w:r>
          </w:p>
        </w:tc>
      </w:tr>
      <w:tr>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MNPI</w:t>
            </w:r>
          </w:p>
        </w:tc>
        <w:tc>
          <w:tcPr>
            <w:tcW w:type="dxa" w:w="7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Material Non-Public Information — information about a publicly traded company not yet available to the public.</w:t>
            </w:r>
          </w:p>
        </w:tc>
      </w:tr>
      <w:tr>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OSHA</w:t>
            </w:r>
          </w:p>
        </w:tc>
        <w:tc>
          <w:tcPr>
            <w:tcW w:type="dxa" w:w="7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Occupational Safety and Health Administration — US federal agency responsible for workplace safety regulation.</w:t>
            </w:r>
          </w:p>
        </w:tc>
      </w:tr>
      <w:tr>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OKR</w:t>
            </w:r>
          </w:p>
        </w:tc>
        <w:tc>
          <w:tcPr>
            <w:tcW w:type="dxa" w:w="7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Objectives and Key Results — performance management framework linking individual goals to organisational objectives.</w:t>
            </w:r>
          </w:p>
        </w:tc>
      </w:tr>
      <w:tr>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PIA</w:t>
            </w:r>
          </w:p>
        </w:tc>
        <w:tc>
          <w:tcPr>
            <w:tcW w:type="dxa" w:w="7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Privacy Impact Assessment — structured assessment of privacy risks for new data processing activities.</w:t>
            </w:r>
          </w:p>
        </w:tc>
      </w:tr>
      <w:tr>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PIP</w:t>
            </w:r>
          </w:p>
        </w:tc>
        <w:tc>
          <w:tcPr>
            <w:tcW w:type="dxa" w:w="7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Performance Improvement Plan — structured plan to support an employee in addressing documented performance deficiencies.</w:t>
            </w:r>
          </w:p>
        </w:tc>
      </w:tr>
      <w:tr>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PTO</w:t>
            </w:r>
          </w:p>
        </w:tc>
        <w:tc>
          <w:tcPr>
            <w:tcW w:type="dxa" w:w="7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Paid Time Off — NexaCorp's unified leave bank combining vacation, sick, and personal days.</w:t>
            </w:r>
          </w:p>
        </w:tc>
      </w:tr>
      <w:tr>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RIF</w:t>
            </w:r>
          </w:p>
        </w:tc>
        <w:tc>
          <w:tcPr>
            <w:tcW w:type="dxa" w:w="7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Reduction in Force — involuntary job elimination, commonly referred to as a layoff.</w:t>
            </w:r>
          </w:p>
        </w:tc>
      </w:tr>
      <w:tr>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RSU</w:t>
            </w:r>
          </w:p>
        </w:tc>
        <w:tc>
          <w:tcPr>
            <w:tcW w:type="dxa" w:w="7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Restricted Stock Unit — equity grant that vests over time and converts to shares of NexaCorp common stock upon vesting.</w:t>
            </w:r>
          </w:p>
        </w:tc>
      </w:tr>
      <w:tr>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SOC</w:t>
            </w:r>
          </w:p>
        </w:tc>
        <w:tc>
          <w:tcPr>
            <w:tcW w:type="dxa" w:w="7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Security Operations Centre — NexaCorp's 24/7 team responsible for monitoring, detecting, and responding to cybersecurity incidents.</w:t>
            </w:r>
          </w:p>
        </w:tc>
      </w:tr>
      <w:tr>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STI</w:t>
            </w:r>
          </w:p>
        </w:tc>
        <w:tc>
          <w:tcPr>
            <w:tcW w:type="dxa" w:w="7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Short-Term Incentive — annual cash bonus paid under the NexaBonus™ programme.</w:t>
            </w:r>
          </w:p>
        </w:tc>
      </w:tr>
      <w:tr>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TMC</w:t>
            </w:r>
          </w:p>
        </w:tc>
        <w:tc>
          <w:tcPr>
            <w:tcW w:type="dxa" w:w="7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Travel Management Company — NexaCorp's contracted corporate travel agency (TravelConnect Pro).</w:t>
            </w:r>
          </w:p>
        </w:tc>
      </w:tr>
      <w:tr>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VQA</w:t>
            </w:r>
          </w:p>
        </w:tc>
        <w:tc>
          <w:tcPr>
            <w:tcW w:type="dxa" w:w="79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Vendor Qualification Assessment — mandatory due diligence process for all new vendor engagements.</w:t>
            </w:r>
          </w:p>
        </w:tc>
      </w:tr>
      <w:tr>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WARN Act</w:t>
            </w:r>
          </w:p>
        </w:tc>
        <w:tc>
          <w:tcPr>
            <w:tcW w:type="dxa" w:w="79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Worker Adjustment and Retraining Notification Act — US federal law requiring advance notice of large-scale layoffs.</w:t>
            </w:r>
          </w:p>
        </w:tc>
      </w:tr>
    </w:tbl>
    <w:p>
      <w:pPr>
        <w:spacing w:after="200" w:before="200"/>
      </w:pPr>
    </w:p>
    <w:p>
      <w:pPr>
        <w:pStyle w:val="Heading1"/>
        <w:pBdr>
          <w:bottom w:val="single" w:color="2E75B6" w:sz="8" w:space="4"/>
        </w:pBdr>
        <w:spacing w:after="200" w:before="400"/>
      </w:pPr>
      <w:r>
        <w:rPr>
          <w:rFonts w:ascii="Arial" w:cs="Arial" w:eastAsia="Arial" w:hAnsi="Arial"/>
          <w:b/>
          <w:bCs/>
          <w:color w:val="1B3A6B"/>
          <w:sz w:val="36"/>
          <w:szCs w:val="36"/>
        </w:rPr>
        <w:t xml:space="preserve">Appendix D: Employee Acknowledgement Form</w:t>
      </w:r>
    </w:p>
    <w:p>
      <w:pPr>
        <w:spacing w:after="100" w:before="80" w:line="276" w:lineRule="auto"/>
        <w:jc w:val="both"/>
      </w:pPr>
      <w:r>
        <w:rPr>
          <w:rFonts w:ascii="Arial" w:cs="Arial" w:eastAsia="Arial" w:hAnsi="Arial"/>
          <w:b w:val="false"/>
          <w:bCs w:val="false"/>
          <w:i w:val="false"/>
          <w:iCs w:val="false"/>
          <w:color w:val="1A1A1A"/>
          <w:sz w:val="22"/>
          <w:szCs w:val="22"/>
        </w:rPr>
        <w:t xml:space="preserve">This section must be completed by each employee annually via the HRIS portal. The hardcopy version below is for use in locations without HRIS access or upon specific HR request.</w:t>
      </w:r>
    </w:p>
    <w:p>
      <w:pP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Field</w:t>
            </w:r>
          </w:p>
        </w:tc>
        <w:tc>
          <w:tcPr>
            <w:tcW w:type="dxa" w:w="57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Employee Entry</w:t>
            </w:r>
          </w:p>
        </w:tc>
      </w:tr>
      <w:tr>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Full Legal Name</w:t>
            </w:r>
          </w:p>
        </w:tc>
        <w:tc>
          <w:tcPr>
            <w:tcW w:type="dxa" w:w="5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
            </w:r>
          </w:p>
        </w:tc>
      </w:tr>
      <w:tr>
        <w:tc>
          <w:tcPr>
            <w:tcW w:type="dxa" w:w="36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Employee ID (from HRIS)</w:t>
            </w:r>
          </w:p>
        </w:tc>
        <w:tc>
          <w:tcPr>
            <w:tcW w:type="dxa" w:w="5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
            </w:r>
          </w:p>
        </w:tc>
      </w:tr>
      <w:tr>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Department / Business Unit</w:t>
            </w:r>
          </w:p>
        </w:tc>
        <w:tc>
          <w:tcPr>
            <w:tcW w:type="dxa" w:w="5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
            </w:r>
          </w:p>
        </w:tc>
      </w:tr>
      <w:tr>
        <w:tc>
          <w:tcPr>
            <w:tcW w:type="dxa" w:w="36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Manager Name</w:t>
            </w:r>
          </w:p>
        </w:tc>
        <w:tc>
          <w:tcPr>
            <w:tcW w:type="dxa" w:w="5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
            </w:r>
          </w:p>
        </w:tc>
      </w:tr>
      <w:tr>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Work Location (City, Country)</w:t>
            </w:r>
          </w:p>
        </w:tc>
        <w:tc>
          <w:tcPr>
            <w:tcW w:type="dxa" w:w="5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
            </w:r>
          </w:p>
        </w:tc>
      </w:tr>
      <w:tr>
        <w:tc>
          <w:tcPr>
            <w:tcW w:type="dxa" w:w="36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Employment Classification</w:t>
            </w:r>
          </w:p>
        </w:tc>
        <w:tc>
          <w:tcPr>
            <w:tcW w:type="dxa" w:w="5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
            </w:r>
          </w:p>
        </w:tc>
      </w:tr>
      <w:tr>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Date of Acknowledgement</w:t>
            </w:r>
          </w:p>
        </w:tc>
        <w:tc>
          <w:tcPr>
            <w:tcW w:type="dxa" w:w="5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
            </w:r>
          </w:p>
        </w:tc>
      </w:tr>
    </w:tbl>
    <w:p>
      <w:pPr>
        <w:spacing w:after="120" w:before="120"/>
      </w:pPr>
    </w:p>
    <w:p>
      <w:pPr>
        <w:spacing w:after="100" w:before="80" w:line="276" w:lineRule="auto"/>
        <w:jc w:val="both"/>
      </w:pPr>
      <w:r>
        <w:rPr>
          <w:rFonts w:ascii="Arial" w:cs="Arial" w:eastAsia="Arial" w:hAnsi="Arial"/>
          <w:b w:val="false"/>
          <w:bCs w:val="false"/>
          <w:i w:val="false"/>
          <w:iCs w:val="false"/>
          <w:color w:val="1A1A1A"/>
          <w:sz w:val="22"/>
          <w:szCs w:val="22"/>
        </w:rPr>
        <w:t xml:space="preserve">Acknowledgement Statement: I, the undersigned, confirm that I have received, read, and understood the NexaCorp Enterprise Policy &amp; Procedures Handbook (Version 5.2, effective January 1, 2025). I acknowledge that this handbook constitutes a statement of NexaCorp's policies and expectations, and that compliance with its contents is a condition of my continued employment. I understand that NexaCorp reserves the right to amend, update, or revoke any policy in this handbook at any time with reasonable notice, except where such changes would conflict with applicable law.</w:t>
      </w:r>
    </w:p>
    <w:p>
      <w:pP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Signature</w:t>
            </w:r>
          </w:p>
        </w:tc>
        <w:tc>
          <w:tcPr>
            <w:tcW w:type="dxa" w:w="57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w:r>
          </w:p>
        </w:tc>
      </w:tr>
      <w:tr>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Employee Signature</w:t>
            </w:r>
          </w:p>
        </w:tc>
        <w:tc>
          <w:tcPr>
            <w:tcW w:type="dxa" w:w="5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___________________________</w:t>
            </w:r>
          </w:p>
        </w:tc>
      </w:tr>
      <w:tr>
        <w:tc>
          <w:tcPr>
            <w:tcW w:type="dxa" w:w="36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Print Name</w:t>
            </w:r>
          </w:p>
        </w:tc>
        <w:tc>
          <w:tcPr>
            <w:tcW w:type="dxa" w:w="5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___________________________</w:t>
            </w:r>
          </w:p>
        </w:tc>
      </w:tr>
      <w:tr>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Date</w:t>
            </w:r>
          </w:p>
        </w:tc>
        <w:tc>
          <w:tcPr>
            <w:tcW w:type="dxa" w:w="5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___________________________</w:t>
            </w:r>
          </w:p>
        </w:tc>
      </w:tr>
      <w:tr>
        <w:tc>
          <w:tcPr>
            <w:tcW w:type="dxa" w:w="36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HR Representative (Witness)</w:t>
            </w:r>
          </w:p>
        </w:tc>
        <w:tc>
          <w:tcPr>
            <w:tcW w:type="dxa" w:w="5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___________________________</w:t>
            </w:r>
          </w:p>
        </w:tc>
      </w:tr>
      <w:tr>
        <w:tc>
          <w:tcPr>
            <w:tcW w:type="dxa" w:w="36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HR Signature</w:t>
            </w:r>
          </w:p>
        </w:tc>
        <w:tc>
          <w:tcPr>
            <w:tcW w:type="dxa" w:w="5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___________________________</w:t>
            </w:r>
          </w:p>
        </w:tc>
      </w:tr>
      <w:tr>
        <w:tc>
          <w:tcPr>
            <w:tcW w:type="dxa" w:w="36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Date Received by HR</w:t>
            </w:r>
          </w:p>
        </w:tc>
        <w:tc>
          <w:tcPr>
            <w:tcW w:type="dxa" w:w="5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___________________________</w:t>
            </w:r>
          </w:p>
        </w:tc>
      </w:tr>
    </w:tbl>
    <w:p>
      <w:pPr>
        <w:spacing w:after="200" w:before="200"/>
      </w:pPr>
    </w:p>
    <w:p>
      <w:pPr>
        <w:pStyle w:val="Heading1"/>
        <w:pBdr>
          <w:bottom w:val="single" w:color="2E75B6" w:sz="8" w:space="4"/>
        </w:pBdr>
        <w:spacing w:after="200" w:before="400"/>
      </w:pPr>
      <w:r>
        <w:rPr>
          <w:rFonts w:ascii="Arial" w:cs="Arial" w:eastAsia="Arial" w:hAnsi="Arial"/>
          <w:b/>
          <w:bCs/>
          <w:color w:val="1B3A6B"/>
          <w:sz w:val="36"/>
          <w:szCs w:val="36"/>
        </w:rPr>
        <w:t xml:space="preserve">Appendix E: Key Forms &amp; Document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2520"/>
        <w:gridCol w:w="2280"/>
      </w:tblGrid>
      <w:tr>
        <w:trPr>
          <w:tblHeader/>
        </w:trPr>
        <w:tc>
          <w:tcPr>
            <w:tcW w:type="dxa" w:w="18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Form / Document ID</w:t>
            </w:r>
          </w:p>
        </w:tc>
        <w:tc>
          <w:tcPr>
            <w:tcW w:type="dxa" w:w="27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Title</w:t>
            </w:r>
          </w:p>
        </w:tc>
        <w:tc>
          <w:tcPr>
            <w:tcW w:type="dxa" w:w="252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Where to Find It</w:t>
            </w:r>
          </w:p>
        </w:tc>
        <w:tc>
          <w:tcPr>
            <w:tcW w:type="dxa" w:w="228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When Required</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COIDF-001</w:t>
            </w:r>
          </w:p>
        </w:tc>
        <w:tc>
          <w:tcPr>
            <w:tcW w:type="dxa" w:w="2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Conflict of Interest Disclosure Form</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HR Portal &gt; Ethics &amp; Compliance</w:t>
            </w:r>
          </w:p>
        </w:tc>
        <w:tc>
          <w:tcPr>
            <w:tcW w:type="dxa" w:w="22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Whenever a potential conflict arises</w:t>
            </w:r>
          </w:p>
        </w:tc>
      </w:tr>
      <w:tr>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HC-REQ</w:t>
            </w:r>
          </w:p>
        </w:tc>
        <w:tc>
          <w:tcPr>
            <w:tcW w:type="dxa" w:w="2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Headcount Request Form</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HRIS &gt; Recruitment Module</w:t>
            </w:r>
          </w:p>
        </w:tc>
        <w:tc>
          <w:tcPr>
            <w:tcW w:type="dxa" w:w="22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Before opening any new role</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WCA</w:t>
            </w:r>
          </w:p>
        </w:tc>
        <w:tc>
          <w:tcPr>
            <w:tcW w:type="dxa" w:w="2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Worker Classification Assessment</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Legal &gt; Procurement Forms</w:t>
            </w:r>
          </w:p>
        </w:tc>
        <w:tc>
          <w:tcPr>
            <w:tcW w:type="dxa" w:w="22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Before engaging an independent contractor</w:t>
            </w:r>
          </w:p>
        </w:tc>
      </w:tr>
      <w:tr>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HR-INT-01</w:t>
            </w:r>
          </w:p>
        </w:tc>
        <w:tc>
          <w:tcPr>
            <w:tcW w:type="dxa" w:w="2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Intern Benefits Eligibility Schedule</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HR Portal &gt; Benefits</w:t>
            </w:r>
          </w:p>
        </w:tc>
        <w:tc>
          <w:tcPr>
            <w:tcW w:type="dxa" w:w="22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During intern onboarding</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FAC-INC-01</w:t>
            </w:r>
          </w:p>
        </w:tc>
        <w:tc>
          <w:tcPr>
            <w:tcW w:type="dxa" w:w="2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Safety Incident Report Form</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Facilities Portal &gt; Safety</w:t>
            </w:r>
          </w:p>
        </w:tc>
        <w:tc>
          <w:tcPr>
            <w:tcW w:type="dxa" w:w="22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Within 24 hours of any incident</w:t>
            </w:r>
          </w:p>
        </w:tc>
      </w:tr>
      <w:tr>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HR-RW-02</w:t>
            </w:r>
          </w:p>
        </w:tc>
        <w:tc>
          <w:tcPr>
            <w:tcW w:type="dxa" w:w="2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Remote Work Safety Checklist</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HR Portal &gt; Remote Work</w:t>
            </w:r>
          </w:p>
        </w:tc>
        <w:tc>
          <w:tcPr>
            <w:tcW w:type="dxa" w:w="22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Annual; at start of remote arrangement</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HR-APPEAL-01</w:t>
            </w:r>
          </w:p>
        </w:tc>
        <w:tc>
          <w:tcPr>
            <w:tcW w:type="dxa" w:w="2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Grievance &amp; Appeal Process Guide</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HR Portal &gt; Employee Relations</w:t>
            </w:r>
          </w:p>
        </w:tc>
        <w:tc>
          <w:tcPr>
            <w:tcW w:type="dxa" w:w="22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Within 10 days of disciplinary outcome</w:t>
            </w:r>
          </w:p>
        </w:tc>
      </w:tr>
      <w:tr>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PIA Request</w:t>
            </w:r>
          </w:p>
        </w:tc>
        <w:tc>
          <w:tcPr>
            <w:tcW w:type="dxa" w:w="27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Privacy Impact Assessment Request</w:t>
            </w:r>
          </w:p>
        </w:tc>
        <w:tc>
          <w:tcPr>
            <w:tcW w:type="dxa" w:w="252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Email: privacy@nexacorp.com</w:t>
            </w:r>
          </w:p>
        </w:tc>
        <w:tc>
          <w:tcPr>
            <w:tcW w:type="dxa" w:w="228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30+ days before launch of new data processing</w:t>
            </w:r>
          </w:p>
        </w:tc>
      </w:tr>
      <w:tr>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NexaOffboard™ Checklist</w:t>
            </w:r>
          </w:p>
        </w:tc>
        <w:tc>
          <w:tcPr>
            <w:tcW w:type="dxa" w:w="27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Offboarding Process Checklist</w:t>
            </w:r>
          </w:p>
        </w:tc>
        <w:tc>
          <w:tcPr>
            <w:tcW w:type="dxa" w:w="252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HRIS &gt; Offboarding Module</w:t>
            </w:r>
          </w:p>
        </w:tc>
        <w:tc>
          <w:tcPr>
            <w:tcW w:type="dxa" w:w="228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Upon receipt of resignation or termination notice</w:t>
            </w:r>
          </w:p>
        </w:tc>
      </w:tr>
    </w:tbl>
    <w:p>
      <w:pPr>
        <w:spacing w:after="200" w:before="200"/>
      </w:pPr>
    </w:p>
    <w:p>
      <w:pPr>
        <w:pStyle w:val="Heading1"/>
        <w:pBdr>
          <w:bottom w:val="single" w:color="2E75B6" w:sz="8" w:space="4"/>
        </w:pBdr>
        <w:spacing w:after="200" w:before="400"/>
      </w:pPr>
      <w:r>
        <w:rPr>
          <w:rFonts w:ascii="Arial" w:cs="Arial" w:eastAsia="Arial" w:hAnsi="Arial"/>
          <w:b/>
          <w:bCs/>
          <w:color w:val="1B3A6B"/>
          <w:sz w:val="36"/>
          <w:szCs w:val="36"/>
        </w:rPr>
        <w:t xml:space="preserve">Appendix F: Country-Specific Addenda Index</w:t>
      </w:r>
    </w:p>
    <w:p>
      <w:pPr>
        <w:spacing w:after="100" w:before="80" w:line="276" w:lineRule="auto"/>
        <w:jc w:val="both"/>
      </w:pPr>
      <w:r>
        <w:rPr>
          <w:rFonts w:ascii="Arial" w:cs="Arial" w:eastAsia="Arial" w:hAnsi="Arial"/>
          <w:b w:val="false"/>
          <w:bCs w:val="false"/>
          <w:i w:val="false"/>
          <w:iCs w:val="false"/>
          <w:color w:val="1A1A1A"/>
          <w:sz w:val="22"/>
          <w:szCs w:val="22"/>
        </w:rPr>
        <w:t xml:space="preserve">The following country-specific addenda supplement this handbook in the jurisdictions listed. Where an addendum exists, employees and managers in that country should consult both the main handbook and the relevant addendum. Addenda are available on the HR Portal under 'Country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1440"/>
        <w:gridCol w:w="3960"/>
      </w:tblGrid>
      <w:tr>
        <w:trPr>
          <w:tblHeader/>
        </w:trPr>
        <w:tc>
          <w:tcPr>
            <w:tcW w:type="dxa" w:w="21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Country / Region</w:t>
            </w:r>
          </w:p>
        </w:tc>
        <w:tc>
          <w:tcPr>
            <w:tcW w:type="dxa" w:w="180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Addendum Code</w:t>
            </w:r>
          </w:p>
        </w:tc>
        <w:tc>
          <w:tcPr>
            <w:tcW w:type="dxa" w:w="144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Last Updated</w:t>
            </w:r>
          </w:p>
        </w:tc>
        <w:tc>
          <w:tcPr>
            <w:tcW w:type="dxa" w:w="3960"/>
            <w:tcBorders>
              <w:top w:val="single" w:color="C0C8D8" w:sz="1"/>
              <w:left w:val="single" w:color="C0C8D8" w:sz="1"/>
              <w:bottom w:val="single" w:color="C0C8D8" w:sz="1"/>
              <w:right w:val="single" w:color="C0C8D8" w:sz="1"/>
            </w:tcBorders>
            <w:shd w:fill="1B3A6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Key Variations</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United Kingdom</w:t>
            </w:r>
          </w:p>
        </w:tc>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ADDM-UK-v4.1</w:t>
            </w:r>
          </w:p>
        </w:tc>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Mar 2024</w:t>
            </w:r>
          </w:p>
        </w:tc>
        <w:tc>
          <w:tcPr>
            <w:tcW w:type="dxa" w:w="39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TUPE, Working Time Regulations, IR35, ACAS codes</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Germany</w:t>
            </w:r>
          </w:p>
        </w:tc>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ADDM-DE-v3.2</w:t>
            </w:r>
          </w:p>
        </w:tc>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Jan 2024</w:t>
            </w:r>
          </w:p>
        </w:tc>
        <w:tc>
          <w:tcPr>
            <w:tcW w:type="dxa" w:w="39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Works Council co-determination rights, BDSG, BetrVG</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France</w:t>
            </w:r>
          </w:p>
        </w:tc>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ADDM-FR-v3.0</w:t>
            </w:r>
          </w:p>
        </w:tc>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Sep 2023</w:t>
            </w:r>
          </w:p>
        </w:tc>
        <w:tc>
          <w:tcPr>
            <w:tcW w:type="dxa" w:w="39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35-hour week, mandatory profit sharing (participation), DUERP</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Singapore</w:t>
            </w:r>
          </w:p>
        </w:tc>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ADDM-SG-v2.5</w:t>
            </w:r>
          </w:p>
        </w:tc>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Jan 2024</w:t>
            </w:r>
          </w:p>
        </w:tc>
        <w:tc>
          <w:tcPr>
            <w:tcW w:type="dxa" w:w="39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Employment Act, MOM regulations, CPF, Tripartite Guidelines</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India</w:t>
            </w:r>
          </w:p>
        </w:tc>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ADDM-IN-v2.8</w:t>
            </w:r>
          </w:p>
        </w:tc>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Jan 2024</w:t>
            </w:r>
          </w:p>
        </w:tc>
        <w:tc>
          <w:tcPr>
            <w:tcW w:type="dxa" w:w="39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Labour Codes, Shops &amp; Establishments Act, PF, Gratuity Act</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Australia</w:t>
            </w:r>
          </w:p>
        </w:tc>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ADDM-AU-v3.1</w:t>
            </w:r>
          </w:p>
        </w:tc>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Jul 2024</w:t>
            </w:r>
          </w:p>
        </w:tc>
        <w:tc>
          <w:tcPr>
            <w:tcW w:type="dxa" w:w="39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Fair Work Act, NES, Modern Awards, superannuation</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Brazil</w:t>
            </w:r>
          </w:p>
        </w:tc>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ADDM-BR-v2.0</w:t>
            </w:r>
          </w:p>
        </w:tc>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Mar 2024</w:t>
            </w:r>
          </w:p>
        </w:tc>
        <w:tc>
          <w:tcPr>
            <w:tcW w:type="dxa" w:w="39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CLT, LGPD, FGTS, mandatory union agreements</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UAE / MENA</w:t>
            </w:r>
          </w:p>
        </w:tc>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ADDM-UAE-v1.5</w:t>
            </w:r>
          </w:p>
        </w:tc>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Jan 2024</w:t>
            </w:r>
          </w:p>
        </w:tc>
        <w:tc>
          <w:tcPr>
            <w:tcW w:type="dxa" w:w="39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UAE Labour Law, Emiratisation requirements, DIFC rules</w:t>
            </w:r>
          </w:p>
        </w:tc>
      </w:tr>
      <w:tr>
        <w:tc>
          <w:tcPr>
            <w:tcW w:type="dxa" w:w="21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Canada</w:t>
            </w:r>
          </w:p>
        </w:tc>
        <w:tc>
          <w:tcPr>
            <w:tcW w:type="dxa" w:w="180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ADDM-CA-v2.2</w:t>
            </w:r>
          </w:p>
        </w:tc>
        <w:tc>
          <w:tcPr>
            <w:tcW w:type="dxa" w:w="144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Jan 2024</w:t>
            </w:r>
          </w:p>
        </w:tc>
        <w:tc>
          <w:tcPr>
            <w:tcW w:type="dxa" w:w="3960"/>
            <w:tcBorders>
              <w:top w:val="single" w:color="C0C8D8" w:sz="1"/>
              <w:left w:val="single" w:color="C0C8D8" w:sz="1"/>
              <w:bottom w:val="single" w:color="C0C8D8" w:sz="1"/>
              <w:right w:val="single" w:color="C0C8D8" w:sz="1"/>
            </w:tcBorders>
            <w:shd w:fill="FFFFFF" w:val="clear"/>
            <w:tcMar>
              <w:top w:type="dxa" w:w="80"/>
              <w:left w:type="dxa" w:w="120"/>
              <w:bottom w:type="dxa" w:w="80"/>
              <w:right w:type="dxa" w:w="120"/>
            </w:tcMar>
          </w:tcPr>
          <w:p>
            <w:r>
              <w:rPr>
                <w:rFonts w:ascii="Arial" w:cs="Arial" w:eastAsia="Arial" w:hAnsi="Arial"/>
                <w:sz w:val="19"/>
                <w:szCs w:val="19"/>
              </w:rPr>
              <w:t xml:space="preserve">ESA (Ontario), PIPEDA, provincial variations by province</w:t>
            </w:r>
          </w:p>
        </w:tc>
      </w:tr>
      <w:tr>
        <w:tc>
          <w:tcPr>
            <w:tcW w:type="dxa" w:w="21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Netherlands</w:t>
            </w:r>
          </w:p>
        </w:tc>
        <w:tc>
          <w:tcPr>
            <w:tcW w:type="dxa" w:w="180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ADDM-NL-v2.0</w:t>
            </w:r>
          </w:p>
        </w:tc>
        <w:tc>
          <w:tcPr>
            <w:tcW w:type="dxa" w:w="144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Sep 2023</w:t>
            </w:r>
          </w:p>
        </w:tc>
        <w:tc>
          <w:tcPr>
            <w:tcW w:type="dxa" w:w="3960"/>
            <w:tcBorders>
              <w:top w:val="single" w:color="C0C8D8" w:sz="1"/>
              <w:left w:val="single" w:color="C0C8D8" w:sz="1"/>
              <w:bottom w:val="single" w:color="C0C8D8" w:sz="1"/>
              <w:right w:val="single" w:color="C0C8D8" w:sz="1"/>
            </w:tcBorders>
            <w:shd w:fill="F2F4F8" w:val="clear"/>
            <w:tcMar>
              <w:top w:type="dxa" w:w="80"/>
              <w:left w:type="dxa" w:w="120"/>
              <w:bottom w:type="dxa" w:w="80"/>
              <w:right w:type="dxa" w:w="120"/>
            </w:tcMar>
          </w:tcPr>
          <w:p>
            <w:r>
              <w:rPr>
                <w:rFonts w:ascii="Arial" w:cs="Arial" w:eastAsia="Arial" w:hAnsi="Arial"/>
                <w:sz w:val="19"/>
                <w:szCs w:val="19"/>
              </w:rPr>
              <w:t xml:space="preserve">Dutch Civil Code, Works Council, GDPR (Ap specific guidance)</w:t>
            </w:r>
          </w:p>
        </w:tc>
      </w:tr>
    </w:tbl>
    <w:p>
      <w:pPr>
        <w:spacing w:after="300" w:before="300"/>
      </w:pPr>
    </w:p>
    <w:p>
      <w:pPr>
        <w:pBdr>
          <w:top w:val="single" w:color="2E75B6" w:sz="4"/>
        </w:pBdr>
        <w:spacing w:after="100" w:before="400"/>
        <w:jc w:val="center"/>
      </w:pPr>
      <w:r>
        <w:rPr>
          <w:rFonts w:ascii="Arial" w:cs="Arial" w:eastAsia="Arial" w:hAnsi="Arial"/>
          <w:b/>
          <w:bCs/>
          <w:color w:val="1B3A6B"/>
          <w:sz w:val="18"/>
          <w:szCs w:val="18"/>
        </w:rPr>
        <w:t xml:space="preserve">NexaCorp Global — Enterprise Policy &amp; Procedures Handbook v5.2</w:t>
      </w:r>
    </w:p>
    <w:p>
      <w:pPr>
        <w:spacing w:after="40" w:before="40"/>
        <w:jc w:val="center"/>
      </w:pPr>
      <w:r>
        <w:rPr>
          <w:rFonts w:ascii="Arial" w:cs="Arial" w:eastAsia="Arial" w:hAnsi="Arial"/>
          <w:i/>
          <w:iCs/>
          <w:color w:val="1A1A1A"/>
          <w:sz w:val="17"/>
          <w:szCs w:val="17"/>
        </w:rPr>
        <w:t xml:space="preserve">© 2025 NexaCorp Global, Inc. All rights reserved. This document is the property of NexaCorp Global, Inc.</w:t>
      </w:r>
    </w:p>
    <w:p>
      <w:pPr>
        <w:spacing w:after="40" w:before="40"/>
        <w:jc w:val="center"/>
      </w:pPr>
      <w:r>
        <w:rPr>
          <w:rFonts w:ascii="Arial" w:cs="Arial" w:eastAsia="Arial" w:hAnsi="Arial"/>
          <w:i/>
          <w:iCs/>
          <w:color w:val="1A1A1A"/>
          <w:sz w:val="17"/>
          <w:szCs w:val="17"/>
        </w:rPr>
        <w:t xml:space="preserve">Unauthorised reproduction, distribution, or disclosure of this document, in whole or in part, is strictly prohibited.</w:t>
      </w:r>
    </w:p>
    <w:p>
      <w:pPr>
        <w:spacing w:after="40" w:before="40"/>
        <w:jc w:val="center"/>
      </w:pPr>
      <w:r>
        <w:rPr>
          <w:rFonts w:ascii="Arial" w:cs="Arial" w:eastAsia="Arial" w:hAnsi="Arial"/>
          <w:color w:val="1A1A1A"/>
          <w:sz w:val="17"/>
          <w:szCs w:val="17"/>
        </w:rPr>
        <w:t xml:space="preserve">Confidential — Internal Restricted  |  One NexaTower, 500 Innovation Drive, San Francisco, CA 94105</w:t>
      </w:r>
    </w:p>
    <w:sectPr>
      <w:headerReference w:type="default" r:id="rId7"/>
      <w:footerReference w:type="default" r:id="rId8"/>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tabs>
        <w:tab w:val="right" w:pos="9360"/>
      </w:tabs>
      <w:spacing w:after="0" w:before="80"/>
    </w:pPr>
    <w:r>
      <w:rPr>
        <w:rFonts w:ascii="Arial" w:cs="Arial" w:eastAsia="Arial" w:hAnsi="Arial"/>
        <w:i/>
        <w:iCs/>
        <w:color w:val="555555"/>
        <w:sz w:val="17"/>
        <w:szCs w:val="17"/>
      </w:rPr>
      <w:t xml:space="preserve">Internal Restricted — Not for External Distribution</w:t>
    </w:r>
    <w:r>
      <w:rPr>
        <w:rFonts w:ascii="Arial" w:cs="Arial" w:eastAsia="Arial" w:hAnsi="Arial"/>
        <w:color w:val="555555"/>
        <w:sz w:val="17"/>
        <w:szCs w:val="17"/>
      </w:rPr>
      <w:t xml:space="preserve">	© 2025 NexaCorp Global, Inc. — Internal Restricted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80" w:before="0"/>
    </w:pPr>
    <w:r>
      <w:rPr>
        <w:rFonts w:ascii="Arial" w:cs="Arial" w:eastAsia="Arial" w:hAnsi="Arial"/>
        <w:color w:val="2E75B6"/>
        <w:sz w:val="17"/>
        <w:szCs w:val="17"/>
      </w:rPr>
      <w:t xml:space="preserve">NexaCorp Global — Enterprise Policy &amp; Procedures Handbook</w:t>
    </w:r>
    <w:r>
      <w:rPr>
        <w:rFonts w:ascii="Arial" w:cs="Arial" w:eastAsia="Arial" w:hAnsi="Arial"/>
        <w:b/>
        <w:bCs/>
        <w:color w:val="C00000"/>
        <w:sz w:val="17"/>
        <w:szCs w:val="17"/>
      </w:rPr>
      <w:t xml:space="preserve">	Version 5.2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B3A6B"/>
      <w:sz w:val="36"/>
      <w:szCs w:val="36"/>
    </w:rPr>
  </w:style>
  <w:style w:type="paragraph" w:styleId="Heading2">
    <w:name w:val="Heading 2"/>
    <w:basedOn w:val="Normal"/>
    <w:next w:val="Normal"/>
    <w:qFormat/>
    <w:pPr>
      <w:spacing w:after="140" w:before="300"/>
      <w:outlineLvl w:val="1"/>
    </w:pPr>
    <w:rPr>
      <w:rFonts w:ascii="Arial" w:cs="Arial" w:eastAsia="Arial" w:hAnsi="Arial"/>
      <w:b/>
      <w:bCs/>
      <w:color w:val="2E75B6"/>
      <w:sz w:val="28"/>
      <w:szCs w:val="28"/>
    </w:rPr>
  </w:style>
  <w:style w:type="paragraph" w:styleId="Heading3">
    <w:name w:val="Heading 3"/>
    <w:basedOn w:val="Normal"/>
    <w:next w:val="Normal"/>
    <w:qFormat/>
    <w:pPr>
      <w:spacing w:after="100" w:before="220"/>
      <w:outlineLvl w:val="2"/>
    </w:pPr>
    <w:rPr>
      <w:rFonts w:ascii="Arial" w:cs="Arial" w:eastAsia="Arial" w:hAnsi="Arial"/>
      <w:b/>
      <w:bCs/>
      <w:color w:val="1B3A6B"/>
      <w:sz w:val="24"/>
      <w:szCs w:val="24"/>
    </w:rPr>
  </w:style>
  <w:style w:type="paragraph" w:styleId="Heading4">
    <w:name w:val="Heading 4"/>
    <w:basedOn w:val="Normal"/>
    <w:next w:val="Normal"/>
    <w:qFormat/>
    <w:pPr>
      <w:spacing w:after="80" w:before="180"/>
      <w:outlineLvl w:val="3"/>
    </w:pPr>
    <w:rPr>
      <w:rFonts w:ascii="Arial" w:cs="Arial" w:eastAsia="Arial" w:hAnsi="Arial"/>
      <w:b/>
      <w:bCs/>
      <w:i/>
      <w:i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2026-04-28T05:44:43.048Z</dcterms:created>
  <dcterms:modified xsi:type="dcterms:W3CDTF">2026-04-28T05:44:43.050Z</dcterms:modified>
</cp:coreProperties>
</file>

<file path=docProps/custom.xml><?xml version="1.0" encoding="utf-8"?>
<Properties xmlns="http://schemas.openxmlformats.org/officeDocument/2006/custom-properties" xmlns:vt="http://schemas.openxmlformats.org/officeDocument/2006/docPropsVTypes"/>
</file>