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48"/>
          <w:szCs w:val="48"/>
        </w:rPr>
        <w:t xml:space="preserve">Face, Voice, or Both: An Audio-Visual Deepfake Detection Framework and a Voice-Branch Study on ASVspoof 2019</w:t>
      </w:r>
    </w:p>
    <w:p>
      <w:pPr>
        <w:spacing w:after="0"/>
        <w:jc w:val="center"/>
      </w:pPr>
      <w:r>
        <w:rPr>
          <w:rFonts w:ascii="Times New Roman" w:cs="Times New Roman" w:eastAsia="Times New Roman" w:hAnsi="Times New Roman"/>
          <w:sz w:val="22"/>
          <w:szCs w:val="22"/>
        </w:rPr>
        <w:t xml:space="preserve">Author One</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Author Two</w:t>
      </w:r>
      <w:r>
        <w:rPr>
          <w:rFonts w:ascii="Times New Roman" w:cs="Times New Roman" w:eastAsia="Times New Roman" w:hAnsi="Times New Roman"/>
          <w:sz w:val="22"/>
          <w:szCs w:val="22"/>
          <w:vertAlign w:val="superscript"/>
        </w:rPr>
        <w:t xml:space="preserve">1</w:t>
      </w:r>
    </w:p>
    <w:p>
      <w:pPr>
        <w:spacing w:after="0"/>
        <w:jc w:val="center"/>
      </w:pP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i/>
          <w:iCs/>
          <w:sz w:val="18"/>
          <w:szCs w:val="18"/>
        </w:rPr>
        <w:t xml:space="preserve">Department of Computer Science and Engineering, University Name, City, Country</w:t>
      </w:r>
    </w:p>
    <w:p>
      <w:pPr>
        <w:spacing w:after="200"/>
        <w:jc w:val="center"/>
      </w:pPr>
      <w:r>
        <w:rPr>
          <w:rFonts w:ascii="Times New Roman" w:cs="Times New Roman" w:eastAsia="Times New Roman" w:hAnsi="Times New Roman"/>
          <w:sz w:val="18"/>
          <w:szCs w:val="18"/>
        </w:rPr>
        <w:t xml:space="preserve">Email: author.one@university.edu, author.two@university.edu</w:t>
      </w:r>
    </w:p>
    <w:p>
      <w:pPr>
        <w:sectPr>
          <w:pgSz w:w="12240" w:h="15840" w:orient="portrait"/>
          <w:pgMar w:top="1080" w:right="900" w:bottom="1440" w:left="900" w:header="708" w:footer="708" w:gutter="0"/>
          <w:pgNumType/>
          <w:cols w:num="1"/>
          <w:docGrid w:linePitch="360"/>
        </w:sectPr>
      </w:pPr>
    </w:p>
    <w:p>
      <w:pPr>
        <w:spacing w:after="60" w:line="216"/>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 A manipulated video can carry a synthetic face, a cloned voice, or both, yet most detectors inspect a single channel and are tested on clean clips drawn from the same generators they were trained on. This paper describes a modular audio-visual detector built with both gaps in mind. It pairs an EfficientNet-B0 face branch with a ResNet-18 log-mel voice branch, offers rule-based and learned fusion, and ships a degradation protocol and Grad-CAM explanations. The pipeline is implemented, unit-tested and publicly released. We report the first completed experiment: the voice branch, trained on a class-balanced subset of ASVspoof 2019 LA (5,000 clips per partition) and scored once on the official evaluation partition, where eleven of thirteen attack systems never appear in training. The model reaches an AUC of 0.977 (95% CI 0.973–0.981) and an equal error rate (EER) of 6.2% (5.5–7.0%). Errors are concentrated rather than spread out: attack A17 is flagged in only 1.2% of its clips at the default threshold, and removing it lowers the pooled EER to 3.2%. Validation AUC reached 1.0 by the third epoch and therefore gave no warning of this gap. The visual, fusion and robustness experiments await dataset access and are specified here as a protocol. </w:t>
      </w:r>
    </w:p>
    <w:p>
      <w:pPr>
        <w:spacing w:after="120" w:line="216"/>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i/>
          <w:iCs/>
          <w:sz w:val="18"/>
          <w:szCs w:val="18"/>
        </w:rPr>
        <w:t xml:space="preserve"> deepfake detection, audio anti-spoofing, multimodal fusion, ASVspoof 2019, generalisation, calibration, Grad-CAM </w:t>
      </w:r>
    </w:p>
    <w:p>
      <w:pPr>
        <w:keepNext/>
        <w:spacing w:after="80" w:before="160"/>
        <w:jc w:val="center"/>
      </w:pPr>
      <w:r>
        <w:rPr>
          <w:rFonts w:ascii="Times New Roman" w:cs="Times New Roman" w:eastAsia="Times New Roman" w:hAnsi="Times New Roman"/>
          <w:smallCaps w:val="false"/>
          <w:sz w:val="20"/>
          <w:szCs w:val="20"/>
        </w:rPr>
        <w:t xml:space="preserve">I. INTRODUCTION</w:t>
      </w:r>
    </w:p>
    <w:p>
      <w:pPr>
        <w:spacing w:after="60" w:line="228"/>
        <w:ind w:firstLine="202"/>
        <w:jc w:val="both"/>
      </w:pPr>
      <w:r>
        <w:rPr>
          <w:rFonts w:ascii="Times New Roman" w:cs="Times New Roman" w:eastAsia="Times New Roman" w:hAnsi="Times New Roman"/>
          <w:sz w:val="20"/>
          <w:szCs w:val="20"/>
        </w:rPr>
        <w:t xml:space="preserve">Generative models can now swap a face, replay another person's expressions, or clone a voice from a few seconds of speech. Combined, they let an attacker impersonate someone in both channels at once. A detector that is useful outside a laboratory has to answer three practical questions. Which channel was altered? Does the answer survive the re-encoding that every sharing platform applies? And can a human reviewer see why the system decided as it did?</w:t>
      </w:r>
    </w:p>
    <w:p>
      <w:pPr>
        <w:spacing w:after="60" w:line="228"/>
        <w:ind w:firstLine="202"/>
        <w:jc w:val="both"/>
      </w:pPr>
      <w:r>
        <w:rPr>
          <w:rFonts w:ascii="Times New Roman" w:cs="Times New Roman" w:eastAsia="Times New Roman" w:hAnsi="Times New Roman"/>
          <w:sz w:val="20"/>
          <w:szCs w:val="20"/>
        </w:rPr>
        <w:t xml:space="preserve">Existing work answers these questions unevenly. Face-forensics benchmarks [1]–[3] and speech anti-spoofing challenges [4] grew up separately, so face detectors ignore the soundtrack and speech countermeasures ignore the picture. Cross-dataset studies repeatedly show that a high score on the training distribution says little about performance on new generators [5], [6], and a recent in-the-wild benchmark reports AUC losses of roughly half for both video and audio detectors compared with earlier test sets [7]. Decision thresholds and probability calibration, which determine what a deployed system actually flags, receive far less attention than ranking metrics.</w:t>
      </w:r>
    </w:p>
    <w:p>
      <w:pPr>
        <w:spacing w:after="60" w:line="228"/>
        <w:ind w:firstLine="202"/>
        <w:jc w:val="both"/>
      </w:pPr>
      <w:r>
        <w:rPr>
          <w:rFonts w:ascii="Times New Roman" w:cs="Times New Roman" w:eastAsia="Times New Roman" w:hAnsi="Times New Roman"/>
          <w:sz w:val="20"/>
          <w:szCs w:val="20"/>
        </w:rPr>
        <w:t xml:space="preserve">This paper makes four contributions.</w:t>
      </w:r>
    </w:p>
    <w:p>
      <w:pPr>
        <w:tabs>
          <w:tab w:val="left" w:pos="300"/>
        </w:tabs>
        <w:spacing w:after="40" w:line="228"/>
        <w:ind w:left="300" w:hanging="300"/>
        <w:jc w:val="both"/>
      </w:pPr>
      <w:r>
        <w:rPr>
          <w:rFonts w:ascii="Times New Roman" w:cs="Times New Roman" w:eastAsia="Times New Roman" w:hAnsi="Times New Roman"/>
          <w:sz w:val="20"/>
          <w:szCs w:val="20"/>
        </w:rPr>
        <w:t xml:space="preserve">1)	</w:t>
      </w:r>
      <w:r>
        <w:rPr>
          <w:rFonts w:ascii="Times New Roman" w:cs="Times New Roman" w:eastAsia="Times New Roman" w:hAnsi="Times New Roman"/>
          <w:b/>
          <w:bCs/>
          <w:sz w:val="20"/>
          <w:szCs w:val="20"/>
        </w:rPr>
        <w:t xml:space="preserve">Framework.</w:t>
      </w:r>
      <w:r>
        <w:rPr>
          <w:rFonts w:ascii="Times New Roman" w:cs="Times New Roman" w:eastAsia="Times New Roman" w:hAnsi="Times New Roman"/>
          <w:sz w:val="20"/>
          <w:szCs w:val="20"/>
        </w:rPr>
        <w:t xml:space="preserve"> A modular pipeline, from dataset download to demo, with a face branch, a voice branch and two fusion schemes. The code base has an automated test suite and fixed random seeds.</w:t>
      </w:r>
    </w:p>
    <w:p>
      <w:pPr>
        <w:tabs>
          <w:tab w:val="left" w:pos="300"/>
        </w:tabs>
        <w:spacing w:after="40" w:line="228"/>
        <w:ind w:left="300" w:hanging="300"/>
        <w:jc w:val="both"/>
      </w:pPr>
      <w:r>
        <w:rPr>
          <w:rFonts w:ascii="Times New Roman" w:cs="Times New Roman" w:eastAsia="Times New Roman" w:hAnsi="Times New Roman"/>
          <w:sz w:val="20"/>
          <w:szCs w:val="20"/>
        </w:rPr>
        <w:t xml:space="preserve">2)	</w:t>
      </w:r>
      <w:r>
        <w:rPr>
          <w:rFonts w:ascii="Times New Roman" w:cs="Times New Roman" w:eastAsia="Times New Roman" w:hAnsi="Times New Roman"/>
          <w:b/>
          <w:bCs/>
          <w:sz w:val="20"/>
          <w:szCs w:val="20"/>
        </w:rPr>
        <w:t xml:space="preserve">Label-aware fusion.</w:t>
      </w:r>
      <w:r>
        <w:rPr>
          <w:rFonts w:ascii="Times New Roman" w:cs="Times New Roman" w:eastAsia="Times New Roman" w:hAnsi="Times New Roman"/>
          <w:sz w:val="20"/>
          <w:szCs w:val="20"/>
        </w:rPr>
        <w:t xml:space="preserve"> A formulation in which the overall label is “fake if either channel is fake”, which motivates max and noisy-OR late fusion and a learned fusion layer trained with modality dropout.</w:t>
      </w:r>
    </w:p>
    <w:p>
      <w:pPr>
        <w:tabs>
          <w:tab w:val="left" w:pos="300"/>
        </w:tabs>
        <w:spacing w:after="40" w:line="228"/>
        <w:ind w:left="300" w:hanging="300"/>
        <w:jc w:val="both"/>
      </w:pPr>
      <w:r>
        <w:rPr>
          <w:rFonts w:ascii="Times New Roman" w:cs="Times New Roman" w:eastAsia="Times New Roman" w:hAnsi="Times New Roman"/>
          <w:sz w:val="20"/>
          <w:szCs w:val="20"/>
        </w:rPr>
        <w:t xml:space="preserve">3)	</w:t>
      </w:r>
      <w:r>
        <w:rPr>
          <w:rFonts w:ascii="Times New Roman" w:cs="Times New Roman" w:eastAsia="Times New Roman" w:hAnsi="Times New Roman"/>
          <w:b/>
          <w:bCs/>
          <w:sz w:val="20"/>
          <w:szCs w:val="20"/>
        </w:rPr>
        <w:t xml:space="preserve">Stress protocol.</w:t>
      </w:r>
      <w:r>
        <w:rPr>
          <w:rFonts w:ascii="Times New Roman" w:cs="Times New Roman" w:eastAsia="Times New Roman" w:hAnsi="Times New Roman"/>
          <w:sz w:val="20"/>
          <w:szCs w:val="20"/>
        </w:rPr>
        <w:t xml:space="preserve"> Seven degradations at three severities each, plus face-only and voice-only conditions, defined before any result was seen.</w:t>
      </w:r>
    </w:p>
    <w:p>
      <w:pPr>
        <w:tabs>
          <w:tab w:val="left" w:pos="300"/>
        </w:tabs>
        <w:spacing w:after="40" w:line="228"/>
        <w:ind w:left="300" w:hanging="300"/>
        <w:jc w:val="both"/>
      </w:pPr>
      <w:r>
        <w:rPr>
          <w:rFonts w:ascii="Times New Roman" w:cs="Times New Roman" w:eastAsia="Times New Roman" w:hAnsi="Times New Roman"/>
          <w:sz w:val="20"/>
          <w:szCs w:val="20"/>
        </w:rPr>
        <w:t xml:space="preserve">4)	</w:t>
      </w:r>
      <w:r>
        <w:rPr>
          <w:rFonts w:ascii="Times New Roman" w:cs="Times New Roman" w:eastAsia="Times New Roman" w:hAnsi="Times New Roman"/>
          <w:b/>
          <w:bCs/>
          <w:sz w:val="20"/>
          <w:szCs w:val="20"/>
        </w:rPr>
        <w:t xml:space="preserve">Voice-branch evidence.</w:t>
      </w:r>
      <w:r>
        <w:rPr>
          <w:rFonts w:ascii="Times New Roman" w:cs="Times New Roman" w:eastAsia="Times New Roman" w:hAnsi="Times New Roman"/>
          <w:sz w:val="20"/>
          <w:szCs w:val="20"/>
        </w:rPr>
        <w:t xml:space="preserve"> A full analysis of the first trained model, including bootstrap intervals, per-attack behaviour, threshold sensitivity and calibration, together with an account of why validation could not predict the test outcome.</w:t>
      </w:r>
    </w:p>
    <w:p>
      <w:pPr>
        <w:spacing w:after="60" w:line="228"/>
        <w:ind w:firstLine="202"/>
        <w:jc w:val="both"/>
      </w:pPr>
      <w:r>
        <w:rPr>
          <w:rFonts w:ascii="Times New Roman" w:cs="Times New Roman" w:eastAsia="Times New Roman" w:hAnsi="Times New Roman"/>
          <w:i/>
          <w:iCs/>
          <w:sz w:val="20"/>
          <w:szCs w:val="20"/>
        </w:rPr>
        <w:t xml:space="preserve">Scope.</w:t>
      </w:r>
      <w:r>
        <w:rPr>
          <w:rFonts w:ascii="Times New Roman" w:cs="Times New Roman" w:eastAsia="Times New Roman" w:hAnsi="Times New Roman"/>
          <w:sz w:val="20"/>
          <w:szCs w:val="20"/>
        </w:rPr>
        <w:t xml:space="preserve"> Only the voice branch has been trained on real data so far; FakeAVCeleb access is still pending. Section III describes the full system, whereas Sections IV and V cover only what has been measured. We avoid any claim about fusion or robustness gains that the data do not yet support.</w:t>
      </w:r>
    </w:p>
    <w:p>
      <w:pPr>
        <w:keepNext/>
        <w:spacing w:after="80" w:before="160"/>
        <w:jc w:val="center"/>
      </w:pPr>
      <w:r>
        <w:rPr>
          <w:rFonts w:ascii="Times New Roman" w:cs="Times New Roman" w:eastAsia="Times New Roman" w:hAnsi="Times New Roman"/>
          <w:smallCaps w:val="false"/>
          <w:sz w:val="20"/>
          <w:szCs w:val="20"/>
        </w:rPr>
        <w:t xml:space="preserve">II. RELATED WORK</w:t>
      </w:r>
    </w:p>
    <w:p>
      <w:pPr>
        <w:keepNext/>
        <w:spacing w:after="40" w:before="100"/>
      </w:pPr>
      <w:r>
        <w:rPr>
          <w:rFonts w:ascii="Times New Roman" w:cs="Times New Roman" w:eastAsia="Times New Roman" w:hAnsi="Times New Roman"/>
          <w:i/>
          <w:iCs/>
          <w:sz w:val="20"/>
          <w:szCs w:val="20"/>
        </w:rPr>
        <w:t xml:space="preserve">A. Datasets</w:t>
      </w:r>
    </w:p>
    <w:p>
      <w:pPr>
        <w:spacing w:after="60" w:line="228"/>
        <w:ind w:firstLine="202"/>
        <w:jc w:val="both"/>
      </w:pPr>
      <w:r>
        <w:rPr>
          <w:rFonts w:ascii="Times New Roman" w:cs="Times New Roman" w:eastAsia="Times New Roman" w:hAnsi="Times New Roman"/>
          <w:sz w:val="20"/>
          <w:szCs w:val="20"/>
        </w:rPr>
        <w:t xml:space="preserve">FaceForensics++ supplies four manipulation methods at three compression levels and showed that detection accuracy falls as compression rises [1]. Celeb-DF raised visual quality to reduce telltale artefacts [2], and the DFDC corpus added more than a hundred thousand clips recorded by paid actors under varied conditions [3]. For speech, ASVspoof 2019 pairs bona fide recordings with text-to-speech and voice-conversion attacks, and places attacks in its evaluation partition that are absent from training [4], [8]. FakeAVCeleb is the main resource where the face and the voice are labelled separately, giving four combinations of real or fake video with real or fake audio [9].</w:t>
      </w:r>
    </w:p>
    <w:p>
      <w:pPr>
        <w:keepNext/>
        <w:spacing w:after="40" w:before="100"/>
      </w:pPr>
      <w:r>
        <w:rPr>
          <w:rFonts w:ascii="Times New Roman" w:cs="Times New Roman" w:eastAsia="Times New Roman" w:hAnsi="Times New Roman"/>
          <w:i/>
          <w:iCs/>
          <w:sz w:val="20"/>
          <w:szCs w:val="20"/>
        </w:rPr>
        <w:t xml:space="preserve">B. Face and voice detectors</w:t>
      </w:r>
    </w:p>
    <w:p>
      <w:pPr>
        <w:spacing w:after="60" w:line="228"/>
        <w:ind w:firstLine="202"/>
        <w:jc w:val="both"/>
      </w:pPr>
      <w:r>
        <w:rPr>
          <w:rFonts w:ascii="Times New Roman" w:cs="Times New Roman" w:eastAsia="Times New Roman" w:hAnsi="Times New Roman"/>
          <w:sz w:val="20"/>
          <w:szCs w:val="20"/>
        </w:rPr>
        <w:t xml:space="preserve">Early face detectors were small convolutional classifiers such as MesoNet [10], followed by Xception baselines [11] and EfficientNet backbones [12]. Later work targets cues that should transfer across generators, for example blending boundaries [13], self-blended training images [14] and lip-reading features [15]. On the audio side, spectrogram CNNs, raw-waveform models [16], graph-attention networks [17] and self-supervised front ends [18] are all common in ASVspoof work. SpecAugment-style masking [19] is a common regulariser.</w:t>
      </w:r>
    </w:p>
    <w:p>
      <w:pPr>
        <w:keepNext/>
        <w:spacing w:after="40" w:before="100"/>
      </w:pPr>
      <w:r>
        <w:rPr>
          <w:rFonts w:ascii="Times New Roman" w:cs="Times New Roman" w:eastAsia="Times New Roman" w:hAnsi="Times New Roman"/>
          <w:i/>
          <w:iCs/>
          <w:sz w:val="20"/>
          <w:szCs w:val="20"/>
        </w:rPr>
        <w:t xml:space="preserve">C. Audio-visual and multimodal detection</w:t>
      </w:r>
    </w:p>
    <w:p>
      <w:pPr>
        <w:spacing w:after="60" w:line="228"/>
        <w:ind w:firstLine="202"/>
        <w:jc w:val="both"/>
      </w:pPr>
      <w:r>
        <w:rPr>
          <w:rFonts w:ascii="Times New Roman" w:cs="Times New Roman" w:eastAsia="Times New Roman" w:hAnsi="Times New Roman"/>
          <w:sz w:val="20"/>
          <w:szCs w:val="20"/>
        </w:rPr>
        <w:t xml:space="preserve">Multimodal learning is usually organised as early, intermediate or late fusion [20]. Randomly hiding a modality during training teaches a model to cope when an input is missing [21]. Audio-visual deepfake detectors exploit identity [22], learned audio-visual correspondence [23], and discourse-level mismatch with temporal localisation [24], [25]. Whether a second modality improves generalisation, rather than merely widening the set of attacks that can be caught, remains an open empirical question.</w:t>
      </w:r>
    </w:p>
    <w:p>
      <w:pPr>
        <w:keepNext/>
        <w:spacing w:after="40" w:before="100"/>
      </w:pPr>
      <w:r>
        <w:rPr>
          <w:rFonts w:ascii="Times New Roman" w:cs="Times New Roman" w:eastAsia="Times New Roman" w:hAnsi="Times New Roman"/>
          <w:i/>
          <w:iCs/>
          <w:sz w:val="20"/>
          <w:szCs w:val="20"/>
        </w:rPr>
        <w:t xml:space="preserve">D. Robustness, explanation and calibration</w:t>
      </w:r>
    </w:p>
    <w:p>
      <w:pPr>
        <w:spacing w:after="60" w:line="228"/>
        <w:ind w:firstLine="202"/>
        <w:jc w:val="both"/>
      </w:pPr>
      <w:r>
        <w:rPr>
          <w:rFonts w:ascii="Times New Roman" w:cs="Times New Roman" w:eastAsia="Times New Roman" w:hAnsi="Times New Roman"/>
          <w:sz w:val="20"/>
          <w:szCs w:val="20"/>
        </w:rPr>
        <w:t xml:space="preserve">Corruption benchmarks quantify how fast accuracy decays under blur, noise and compression [26]. Grad-CAM [27] produces coarse class-specific heatmaps, but saliency methods can look plausible while being insensitive to the model's parameters [28], so heatmaps should be read as hints. Modern networks are frequently over-confident [29], which matters whenever a fixed threshold is used.</w:t>
      </w:r>
    </w:p>
    <w:p>
      <w:pPr>
        <w:keepNext/>
        <w:spacing w:after="80" w:before="160"/>
        <w:jc w:val="center"/>
      </w:pPr>
      <w:r>
        <w:rPr>
          <w:rFonts w:ascii="Times New Roman" w:cs="Times New Roman" w:eastAsia="Times New Roman" w:hAnsi="Times New Roman"/>
          <w:smallCaps w:val="false"/>
          <w:sz w:val="20"/>
          <w:szCs w:val="20"/>
        </w:rPr>
        <w:t xml:space="preserve">III. SYSTEM DESIGN</w:t>
      </w:r>
    </w:p>
    <w:p>
      <w:pPr>
        <w:keepNext/>
        <w:spacing w:after="40" w:before="100"/>
      </w:pPr>
      <w:r>
        <w:rPr>
          <w:rFonts w:ascii="Times New Roman" w:cs="Times New Roman" w:eastAsia="Times New Roman" w:hAnsi="Times New Roman"/>
          <w:i/>
          <w:iCs/>
          <w:sz w:val="20"/>
          <w:szCs w:val="20"/>
        </w:rPr>
        <w:t xml:space="preserve">A. Overview</w:t>
      </w:r>
    </w:p>
    <w:p>
      <w:pPr>
        <w:spacing w:after="60" w:line="228"/>
        <w:ind w:firstLine="202"/>
        <w:jc w:val="both"/>
      </w:pPr>
      <w:r>
        <w:rPr>
          <w:rFonts w:ascii="Times New Roman" w:cs="Times New Roman" w:eastAsia="Times New Roman" w:hAnsi="Times New Roman"/>
          <w:sz w:val="20"/>
          <w:szCs w:val="20"/>
        </w:rPr>
        <w:t xml:space="preserve">Fig. 1 shows the pipeline. A video is split into frames and an audio track. Face crops feed the visual branch and a log-mel spectrogram feeds the audio branch. Each branch yields a logit and an embedding, and a fusion stage combines them into one probability of fake. Degradations can be inserted before either backbone, and Grad-CAM is computed from the final score. Blue boxes mark the components evaluated in this paper; dashed boxes are implemented and tested but await data.</w:t>
      </w:r>
    </w:p>
    <w:p>
      <w:pPr>
        <w:sectPr>
          <w:type w:val="continuous"/>
          <w:pgSz w:w="12240" w:h="15840" w:orient="portrait"/>
          <w:pgMar w:top="1080" w:right="900" w:bottom="1440" w:left="900" w:header="708" w:footer="708" w:gutter="0"/>
          <w:pgNumType/>
          <w:cols w:space="360" w:num="2" w:equalWidth="true"/>
          <w:docGrid w:linePitch="360"/>
        </w:sectPr>
      </w:pPr>
    </w:p>
    <w:p>
      <w:pPr>
        <w:keepNext/>
        <w:spacing w:after="40" w:before="80"/>
        <w:jc w:val="center"/>
      </w:pPr>
      <w:r>
        <w:drawing>
          <wp:inline distT="0" distB="0" distL="0" distR="0">
            <wp:extent cx="6543675"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543675" cy="2514600"/>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Pipeline of the proposed detector. The two branches run in parallel and meet in a fusion stage. Shaded boxes are the components evaluated in Section V.</w:t>
      </w:r>
    </w:p>
    <w:p>
      <w:pPr>
        <w:sectPr>
          <w:type w:val="continuous"/>
          <w:pgSz w:w="12240" w:h="15840" w:orient="portrait"/>
          <w:pgMar w:top="1080" w:right="900" w:bottom="1440" w:left="900" w:header="708" w:footer="708" w:gutter="0"/>
          <w:pgNumType/>
          <w:cols w:num="1"/>
          <w:docGrid w:linePitch="360"/>
        </w:sectPr>
      </w:pPr>
    </w:p>
    <w:p>
      <w:pPr>
        <w:keepNext/>
        <w:spacing w:after="40" w:before="100"/>
      </w:pPr>
      <w:r>
        <w:rPr>
          <w:rFonts w:ascii="Times New Roman" w:cs="Times New Roman" w:eastAsia="Times New Roman" w:hAnsi="Times New Roman"/>
          <w:i/>
          <w:iCs/>
          <w:sz w:val="20"/>
          <w:szCs w:val="20"/>
        </w:rPr>
        <w:t xml:space="preserve">B. Preprocessing</w:t>
      </w:r>
    </w:p>
    <w:p>
      <w:pPr>
        <w:spacing w:after="60" w:line="228"/>
        <w:ind w:firstLine="202"/>
        <w:jc w:val="both"/>
      </w:pPr>
      <w:r>
        <w:rPr>
          <w:rFonts w:ascii="Times New Roman" w:cs="Times New Roman" w:eastAsia="Times New Roman" w:hAnsi="Times New Roman"/>
          <w:i/>
          <w:iCs/>
          <w:sz w:val="20"/>
          <w:szCs w:val="20"/>
        </w:rPr>
        <w:t xml:space="preserve">Frames and faces.</w:t>
      </w:r>
      <w:r>
        <w:rPr>
          <w:rFonts w:ascii="Times New Roman" w:cs="Times New Roman" w:eastAsia="Times New Roman" w:hAnsi="Times New Roman"/>
          <w:sz w:val="20"/>
          <w:szCs w:val="20"/>
        </w:rPr>
        <w:t xml:space="preserve"> Sixteen frames are sampled uniformly from each video. YuNet [30] locates the face, the box is enlarged by a factor of 1.3, and the crop is resized to 224</w:t>
      </w:r>
      <w:r>
        <w:rPr>
          <w:rFonts w:ascii="Times New Roman" w:cs="Times New Roman" w:eastAsia="Times New Roman" w:hAnsi="Times New Roman"/>
          <w:i w:val="false"/>
          <w:iCs w:val="false"/>
          <w:sz w:val="20"/>
          <w:szCs w:val="20"/>
        </w:rPr>
        <w:t xml:space="preserve">×</w:t>
      </w:r>
      <w:r>
        <w:rPr>
          <w:rFonts w:ascii="Times New Roman" w:cs="Times New Roman" w:eastAsia="Times New Roman" w:hAnsi="Times New Roman"/>
          <w:sz w:val="20"/>
          <w:szCs w:val="20"/>
        </w:rPr>
        <w:t xml:space="preserve">224. A frame without a detection reuses the previous box.</w:t>
      </w:r>
    </w:p>
    <w:p>
      <w:pPr>
        <w:spacing w:after="60" w:line="228"/>
        <w:ind w:firstLine="202"/>
        <w:jc w:val="both"/>
      </w:pPr>
      <w:r>
        <w:rPr>
          <w:rFonts w:ascii="Times New Roman" w:cs="Times New Roman" w:eastAsia="Times New Roman" w:hAnsi="Times New Roman"/>
          <w:i/>
          <w:iCs/>
          <w:sz w:val="20"/>
          <w:szCs w:val="20"/>
        </w:rPr>
        <w:t xml:space="preserve">Audio.</w:t>
      </w:r>
      <w:r>
        <w:rPr>
          <w:rFonts w:ascii="Times New Roman" w:cs="Times New Roman" w:eastAsia="Times New Roman" w:hAnsi="Times New Roman"/>
          <w:sz w:val="20"/>
          <w:szCs w:val="20"/>
        </w:rPr>
        <w:t xml:space="preserve"> The track is decoded with ffmpeg to 16 kHz mono and truncated to ten seconds. A 128-band mel spectrogram is computed with librosa [31] using a 400-sample (25 ms) window, a 160-sample (10 ms) hop and a 512-point FFT, then converted to decibels with a floor of -100 dB. A four-second window gives a 128</w:t>
      </w:r>
      <w:r>
        <w:rPr>
          <w:rFonts w:ascii="Times New Roman" w:cs="Times New Roman" w:eastAsia="Times New Roman" w:hAnsi="Times New Roman"/>
          <w:i w:val="false"/>
          <w:iCs w:val="false"/>
          <w:sz w:val="20"/>
          <w:szCs w:val="20"/>
        </w:rPr>
        <w:t xml:space="preserve">×</w:t>
      </w:r>
      <w:r>
        <w:rPr>
          <w:rFonts w:ascii="Times New Roman" w:cs="Times New Roman" w:eastAsia="Times New Roman" w:hAnsi="Times New Roman"/>
          <w:sz w:val="20"/>
          <w:szCs w:val="20"/>
        </w:rPr>
        <w:t xml:space="preserve">401 input: a random crop during training and a centre crop at test time. Each window is standardised to zero mean and unit variance,</w:t>
      </w:r>
    </w:p>
    <w:p>
      <w:pPr>
        <w:tabs>
          <w:tab w:val="center" w:pos="2520"/>
          <w:tab w:val="right" w:pos="5040"/>
        </w:tabs>
        <w:spacing w:after="40" w:before="40"/>
      </w:pPr>
      <w:r>
        <w:rPr>
          <w:rFonts w:ascii="Times New Roman" w:cs="Times New Roman" w:eastAsia="Times New Roman" w:hAnsi="Times New Roman"/>
          <w:sz w:val="20"/>
          <w:szCs w:val="20"/>
        </w:rPr>
        <w:t xml:space="preserve">	</w:t>
      </w:r>
      <w:r>
        <w:drawing>
          <wp:inline distT="0" distB="0" distL="0" distR="0">
            <wp:extent cx="12954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95400" cy="219075"/>
                    </a:xfrm>
                    <a:prstGeom prst="rect">
                      <a:avLst/>
                    </a:prstGeom>
                  </pic:spPr>
                </pic:pic>
              </a:graphicData>
            </a:graphic>
          </wp:inline>
        </w:drawing>
      </w:r>
      <w:r>
        <w:rPr>
          <w:rFonts w:ascii="Times New Roman" w:cs="Times New Roman" w:eastAsia="Times New Roman" w:hAnsi="Times New Roman"/>
          <w:sz w:val="20"/>
          <w:szCs w:val="20"/>
        </w:rPr>
        <w:t xml:space="preserve">	(1)</w:t>
      </w:r>
    </w:p>
    <w:p>
      <w:pPr>
        <w:keepNext/>
        <w:spacing w:after="40" w:before="100"/>
      </w:pPr>
      <w:r>
        <w:rPr>
          <w:rFonts w:ascii="Times New Roman" w:cs="Times New Roman" w:eastAsia="Times New Roman" w:hAnsi="Times New Roman"/>
          <w:i/>
          <w:iCs/>
          <w:sz w:val="20"/>
          <w:szCs w:val="20"/>
        </w:rPr>
        <w:t xml:space="preserve">C. Visual branch</w:t>
      </w:r>
    </w:p>
    <w:p>
      <w:pPr>
        <w:spacing w:after="60" w:line="228"/>
        <w:ind w:firstLine="202"/>
        <w:jc w:val="both"/>
      </w:pPr>
      <w:r>
        <w:rPr>
          <w:rFonts w:ascii="Times New Roman" w:cs="Times New Roman" w:eastAsia="Times New Roman" w:hAnsi="Times New Roman"/>
          <w:sz w:val="20"/>
          <w:szCs w:val="20"/>
        </w:rPr>
        <w:t xml:space="preserve">An ImageNet-pretrained [32] EfficientNet-B0 [12] from the timm library [33] encodes every valid frame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rPr>
        <w:t xml:space="preserve"> into </w:t>
      </w:r>
      <w:r>
        <w:rPr>
          <w:rFonts w:ascii="Times New Roman" w:cs="Times New Roman" w:eastAsia="Times New Roman" w:hAnsi="Times New Roman"/>
          <w:b/>
          <w:bCs/>
          <w:i w:val="false"/>
          <w:iCs w:val="false"/>
          <w:sz w:val="20"/>
          <w:szCs w:val="20"/>
        </w:rPr>
        <w:t xml:space="preserve">f</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i w:val="false"/>
          <w:iCs w:val="false"/>
          <w:sz w:val="20"/>
          <w:szCs w:val="20"/>
        </w:rPr>
        <w:t xml:space="preserve">∈ℝ</w:t>
      </w:r>
      <w:r>
        <w:rPr>
          <w:rFonts w:ascii="Times New Roman" w:cs="Times New Roman" w:eastAsia="Times New Roman" w:hAnsi="Times New Roman"/>
          <w:sz w:val="20"/>
          <w:szCs w:val="20"/>
          <w:vertAlign w:val="superscript"/>
        </w:rPr>
        <w:t xml:space="preserve">1280</w:t>
      </w:r>
      <w:r>
        <w:rPr>
          <w:rFonts w:ascii="Times New Roman" w:cs="Times New Roman" w:eastAsia="Times New Roman" w:hAnsi="Times New Roman"/>
          <w:sz w:val="20"/>
          <w:szCs w:val="20"/>
        </w:rPr>
        <w:t xml:space="preserve"> (4.0 M parameters). With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the set of frames that contain a face,</w:t>
      </w:r>
    </w:p>
    <w:p>
      <w:pPr>
        <w:tabs>
          <w:tab w:val="center" w:pos="2520"/>
          <w:tab w:val="right" w:pos="5040"/>
        </w:tabs>
        <w:spacing w:after="40" w:before="40"/>
      </w:pPr>
      <w:r>
        <w:rPr>
          <w:rFonts w:ascii="Times New Roman" w:cs="Times New Roman" w:eastAsia="Times New Roman" w:hAnsi="Times New Roman"/>
          <w:sz w:val="20"/>
          <w:szCs w:val="20"/>
        </w:rPr>
        <w:t xml:space="preserve">	</w:t>
      </w:r>
      <w:r>
        <w:drawing>
          <wp:inline distT="0" distB="0" distL="0" distR="0">
            <wp:extent cx="19240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276225"/>
                    </a:xfrm>
                    <a:prstGeom prst="rect">
                      <a:avLst/>
                    </a:prstGeom>
                  </pic:spPr>
                </pic:pic>
              </a:graphicData>
            </a:graphic>
          </wp:inline>
        </w:drawing>
      </w:r>
      <w:r>
        <w:rPr>
          <w:rFonts w:ascii="Times New Roman" w:cs="Times New Roman" w:eastAsia="Times New Roman" w:hAnsi="Times New Roman"/>
          <w:sz w:val="20"/>
          <w:szCs w:val="20"/>
        </w:rPr>
        <w:t xml:space="preserve">	(2)</w:t>
      </w:r>
    </w:p>
    <w:p>
      <w:pPr>
        <w:spacing w:after="60" w:line="228"/>
        <w:ind w:firstLine="202"/>
        <w:jc w:val="both"/>
      </w:pPr>
      <w:r>
        <w:rPr>
          <w:rFonts w:ascii="Times New Roman" w:cs="Times New Roman" w:eastAsia="Times New Roman" w:hAnsi="Times New Roman"/>
          <w:sz w:val="20"/>
          <w:szCs w:val="20"/>
        </w:rPr>
        <w:t xml:space="preserve">Frames without a face are masked out rather than fed to the network as blanks. The training target is the video label alone, so a real face with a cloned voice counts as real for this branch.</w:t>
      </w:r>
    </w:p>
    <w:p>
      <w:pPr>
        <w:keepNext/>
        <w:spacing w:after="40" w:before="100"/>
      </w:pPr>
      <w:r>
        <w:rPr>
          <w:rFonts w:ascii="Times New Roman" w:cs="Times New Roman" w:eastAsia="Times New Roman" w:hAnsi="Times New Roman"/>
          <w:i/>
          <w:iCs/>
          <w:sz w:val="20"/>
          <w:szCs w:val="20"/>
        </w:rPr>
        <w:t xml:space="preserve">D. Audio branch</w:t>
      </w:r>
    </w:p>
    <w:p>
      <w:pPr>
        <w:spacing w:after="60" w:line="228"/>
        <w:ind w:firstLine="202"/>
        <w:jc w:val="both"/>
      </w:pPr>
      <w:r>
        <w:rPr>
          <w:rFonts w:ascii="Times New Roman" w:cs="Times New Roman" w:eastAsia="Times New Roman" w:hAnsi="Times New Roman"/>
          <w:sz w:val="20"/>
          <w:szCs w:val="20"/>
        </w:rPr>
        <w:t xml:space="preserve">An ImageNet-pretrained ResNet-18 [34] treats S̃ as an image; the single channel is repeated three times so the pretrained stem can be reused. The 512-dimensional pooled embedding </w:t>
      </w:r>
      <w:r>
        <w:rPr>
          <w:rFonts w:ascii="Times New Roman" w:cs="Times New Roman" w:eastAsia="Times New Roman" w:hAnsi="Times New Roman"/>
          <w:b/>
          <w:bCs/>
          <w:i w:val="false"/>
          <w:iCs w:val="false"/>
          <w:sz w:val="20"/>
          <w:szCs w:val="20"/>
        </w:rPr>
        <w:t xml:space="preserve">z</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sz w:val="20"/>
          <w:szCs w:val="20"/>
        </w:rPr>
        <w:t xml:space="preserve"> passes through dropout (0.3) and a linear layer to give the logit </w:t>
      </w:r>
      <w:r>
        <w:rPr>
          <w:rFonts w:ascii="Times New Roman" w:cs="Times New Roman" w:eastAsia="Times New Roman" w:hAnsi="Times New Roman"/>
          <w:i w:val="false"/>
          <w:iCs w:val="false"/>
          <w:sz w:val="20"/>
          <w:szCs w:val="20"/>
        </w:rPr>
        <w:t xml:space="preserve">ℓ</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sz w:val="20"/>
          <w:szCs w:val="20"/>
        </w:rPr>
        <w:t xml:space="preserve">. The backbone has 11.2 M parameters. SpecAugment [19] is applied in training with two frequency masks of at most 16 bands and two time masks of at most 40 frames, filled with the window mean.</w:t>
      </w:r>
    </w:p>
    <w:p>
      <w:pPr>
        <w:keepNext/>
        <w:spacing w:after="40" w:before="100"/>
      </w:pPr>
      <w:r>
        <w:rPr>
          <w:rFonts w:ascii="Times New Roman" w:cs="Times New Roman" w:eastAsia="Times New Roman" w:hAnsi="Times New Roman"/>
          <w:i/>
          <w:iCs/>
          <w:sz w:val="20"/>
          <w:szCs w:val="20"/>
        </w:rPr>
        <w:t xml:space="preserve">E. Fusion</w:t>
      </w:r>
    </w:p>
    <w:p>
      <w:pPr>
        <w:spacing w:after="60" w:line="228"/>
        <w:ind w:firstLine="202"/>
        <w:jc w:val="both"/>
      </w:pPr>
      <w:r>
        <w:rPr>
          <w:rFonts w:ascii="Times New Roman" w:cs="Times New Roman" w:eastAsia="Times New Roman" w:hAnsi="Times New Roman"/>
          <w:sz w:val="20"/>
          <w:szCs w:val="20"/>
        </w:rPr>
        <w:t xml:space="preserve">Let </w:t>
      </w:r>
      <w:r>
        <w:rPr>
          <w:rFonts w:ascii="Times New Roman" w:cs="Times New Roman" w:eastAsia="Times New Roman" w:hAnsi="Times New Roman"/>
          <w:i/>
          <w:iCs/>
          <w:sz w:val="20"/>
          <w:szCs w:val="20"/>
        </w:rPr>
        <w:t xml:space="preserve">y</w:t>
      </w:r>
      <w:r>
        <w:rPr>
          <w:rFonts w:ascii="Times New Roman" w:cs="Times New Roman" w:eastAsia="Times New Roman" w:hAnsi="Times New Roman"/>
          <w:i/>
          <w:iCs/>
          <w:sz w:val="20"/>
          <w:szCs w:val="20"/>
          <w:vertAlign w:val="subscript"/>
        </w:rPr>
        <w:t xml:space="preserve">v</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y</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i w:val="false"/>
          <w:iCs w:val="false"/>
          <w:sz w:val="20"/>
          <w:szCs w:val="20"/>
        </w:rPr>
        <w:t xml:space="preserve">∈</w:t>
      </w:r>
      <w:r>
        <w:rPr>
          <w:rFonts w:ascii="Times New Roman" w:cs="Times New Roman" w:eastAsia="Times New Roman" w:hAnsi="Times New Roman"/>
          <w:sz w:val="20"/>
          <w:szCs w:val="20"/>
        </w:rPr>
        <w:t xml:space="preserve">{0,1} denote the face and voice labels and let the overall label be</w:t>
      </w:r>
    </w:p>
    <w:p>
      <w:pPr>
        <w:tabs>
          <w:tab w:val="center" w:pos="2520"/>
          <w:tab w:val="right" w:pos="5040"/>
        </w:tabs>
        <w:spacing w:after="40" w:before="40"/>
      </w:pPr>
      <w:r>
        <w:rPr>
          <w:rFonts w:ascii="Times New Roman" w:cs="Times New Roman" w:eastAsia="Times New Roman" w:hAnsi="Times New Roman"/>
          <w:sz w:val="20"/>
          <w:szCs w:val="20"/>
        </w:rPr>
        <w:t xml:space="preserve">	</w:t>
      </w:r>
      <w:r>
        <w:drawing>
          <wp:inline distT="0" distB="0" distL="0" distR="0">
            <wp:extent cx="5715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 cy="161925"/>
                    </a:xfrm>
                    <a:prstGeom prst="rect">
                      <a:avLst/>
                    </a:prstGeom>
                  </pic:spPr>
                </pic:pic>
              </a:graphicData>
            </a:graphic>
          </wp:inline>
        </w:drawing>
      </w:r>
      <w:r>
        <w:rPr>
          <w:rFonts w:ascii="Times New Roman" w:cs="Times New Roman" w:eastAsia="Times New Roman" w:hAnsi="Times New Roman"/>
          <w:sz w:val="20"/>
          <w:szCs w:val="20"/>
        </w:rPr>
        <w:t xml:space="preserve">	(3)</w:t>
      </w:r>
    </w:p>
    <w:p>
      <w:pPr>
        <w:spacing w:after="60" w:line="228"/>
        <w:ind w:firstLine="202"/>
        <w:jc w:val="both"/>
      </w:pPr>
      <w:r>
        <w:rPr>
          <w:rFonts w:ascii="Times New Roman" w:cs="Times New Roman" w:eastAsia="Times New Roman" w:hAnsi="Times New Roman"/>
          <w:sz w:val="20"/>
          <w:szCs w:val="20"/>
        </w:rPr>
        <w:t xml:space="preserve">that is, a clip is fake if either channel is fake. With branch probabilities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v</w:t>
      </w:r>
      <w:r>
        <w:rPr>
          <w:rFonts w:ascii="Times New Roman" w:cs="Times New Roman" w:eastAsia="Times New Roman" w:hAnsi="Times New Roman"/>
          <w:sz w:val="20"/>
          <w:szCs w:val="20"/>
        </w:rPr>
        <w:t xml:space="preserve">=</w:t>
      </w:r>
      <w:r>
        <w:rPr>
          <w:rFonts w:ascii="Times New Roman" w:cs="Times New Roman" w:eastAsia="Times New Roman" w:hAnsi="Times New Roman"/>
          <w:i w:val="false"/>
          <w:iCs w:val="false"/>
          <w:sz w:val="20"/>
          <w:szCs w:val="20"/>
        </w:rPr>
        <w:t xml:space="preserve">σ</w:t>
      </w:r>
      <w:r>
        <w:rPr>
          <w:rFonts w:ascii="Times New Roman" w:cs="Times New Roman" w:eastAsia="Times New Roman" w:hAnsi="Times New Roman"/>
          <w:sz w:val="20"/>
          <w:szCs w:val="20"/>
        </w:rPr>
        <w:t xml:space="preserve">(</w:t>
      </w:r>
      <w:r>
        <w:rPr>
          <w:rFonts w:ascii="Times New Roman" w:cs="Times New Roman" w:eastAsia="Times New Roman" w:hAnsi="Times New Roman"/>
          <w:i w:val="false"/>
          <w:iCs w:val="false"/>
          <w:sz w:val="20"/>
          <w:szCs w:val="20"/>
        </w:rPr>
        <w:t xml:space="preserve">ℓ</w:t>
      </w:r>
      <w:r>
        <w:rPr>
          <w:rFonts w:ascii="Times New Roman" w:cs="Times New Roman" w:eastAsia="Times New Roman" w:hAnsi="Times New Roman"/>
          <w:i/>
          <w:iCs/>
          <w:sz w:val="20"/>
          <w:szCs w:val="20"/>
          <w:vertAlign w:val="subscript"/>
        </w:rPr>
        <w:t xml:space="preserve">v</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sz w:val="20"/>
          <w:szCs w:val="20"/>
        </w:rPr>
        <w:t xml:space="preserve">=</w:t>
      </w:r>
      <w:r>
        <w:rPr>
          <w:rFonts w:ascii="Times New Roman" w:cs="Times New Roman" w:eastAsia="Times New Roman" w:hAnsi="Times New Roman"/>
          <w:i w:val="false"/>
          <w:iCs w:val="false"/>
          <w:sz w:val="20"/>
          <w:szCs w:val="20"/>
        </w:rPr>
        <w:t xml:space="preserve">σ</w:t>
      </w:r>
      <w:r>
        <w:rPr>
          <w:rFonts w:ascii="Times New Roman" w:cs="Times New Roman" w:eastAsia="Times New Roman" w:hAnsi="Times New Roman"/>
          <w:sz w:val="20"/>
          <w:szCs w:val="20"/>
        </w:rPr>
        <w:t xml:space="preserve">(</w:t>
      </w:r>
      <w:r>
        <w:rPr>
          <w:rFonts w:ascii="Times New Roman" w:cs="Times New Roman" w:eastAsia="Times New Roman" w:hAnsi="Times New Roman"/>
          <w:i w:val="false"/>
          <w:iCs w:val="false"/>
          <w:sz w:val="20"/>
          <w:szCs w:val="20"/>
        </w:rPr>
        <w:t xml:space="preserve">ℓ</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sz w:val="20"/>
          <w:szCs w:val="20"/>
        </w:rPr>
        <w:t xml:space="preserve">), three training-free late rules are available:</w:t>
      </w:r>
    </w:p>
    <w:p>
      <w:pPr>
        <w:tabs>
          <w:tab w:val="center" w:pos="2520"/>
          <w:tab w:val="right" w:pos="5040"/>
        </w:tabs>
        <w:spacing w:after="40" w:before="40"/>
      </w:pPr>
      <w:r>
        <w:rPr>
          <w:rFonts w:ascii="Times New Roman" w:cs="Times New Roman" w:eastAsia="Times New Roman" w:hAnsi="Times New Roman"/>
          <w:sz w:val="20"/>
          <w:szCs w:val="20"/>
        </w:rPr>
        <w:t xml:space="preserve">	</w:t>
      </w:r>
      <w:r>
        <w:drawing>
          <wp:inline distT="0" distB="0" distL="0" distR="0">
            <wp:extent cx="10001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00125" cy="161925"/>
                    </a:xfrm>
                    <a:prstGeom prst="rect">
                      <a:avLst/>
                    </a:prstGeom>
                  </pic:spPr>
                </pic:pic>
              </a:graphicData>
            </a:graphic>
          </wp:inline>
        </w:drawing>
      </w:r>
      <w:r>
        <w:rPr>
          <w:rFonts w:ascii="Times New Roman" w:cs="Times New Roman" w:eastAsia="Times New Roman" w:hAnsi="Times New Roman"/>
          <w:sz w:val="20"/>
          <w:szCs w:val="20"/>
        </w:rPr>
        <w:t xml:space="preserve">	(4)</w:t>
      </w:r>
    </w:p>
    <w:p>
      <w:pPr>
        <w:tabs>
          <w:tab w:val="center" w:pos="2520"/>
          <w:tab w:val="right" w:pos="5040"/>
        </w:tabs>
        <w:spacing w:after="40" w:before="40"/>
      </w:pPr>
      <w:r>
        <w:rPr>
          <w:rFonts w:ascii="Times New Roman" w:cs="Times New Roman" w:eastAsia="Times New Roman" w:hAnsi="Times New Roman"/>
          <w:sz w:val="20"/>
          <w:szCs w:val="20"/>
        </w:rPr>
        <w:t xml:space="preserve">	</w:t>
      </w:r>
      <w:r>
        <w:drawing>
          <wp:inline distT="0" distB="0" distL="0" distR="0">
            <wp:extent cx="131445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14450" cy="161925"/>
                    </a:xfrm>
                    <a:prstGeom prst="rect">
                      <a:avLst/>
                    </a:prstGeom>
                  </pic:spPr>
                </pic:pic>
              </a:graphicData>
            </a:graphic>
          </wp:inline>
        </w:drawing>
      </w:r>
      <w:r>
        <w:rPr>
          <w:rFonts w:ascii="Times New Roman" w:cs="Times New Roman" w:eastAsia="Times New Roman" w:hAnsi="Times New Roman"/>
          <w:sz w:val="20"/>
          <w:szCs w:val="20"/>
        </w:rPr>
        <w:t xml:space="preserve">	(5)</w:t>
      </w:r>
    </w:p>
    <w:p>
      <w:pPr>
        <w:tabs>
          <w:tab w:val="center" w:pos="2520"/>
          <w:tab w:val="right" w:pos="5040"/>
        </w:tabs>
        <w:spacing w:after="40" w:before="40"/>
      </w:pPr>
      <w:r>
        <w:rPr>
          <w:rFonts w:ascii="Times New Roman" w:cs="Times New Roman" w:eastAsia="Times New Roman" w:hAnsi="Times New Roman"/>
          <w:sz w:val="20"/>
          <w:szCs w:val="20"/>
        </w:rPr>
        <w:t xml:space="preserve">	</w:t>
      </w:r>
      <w:r>
        <w:drawing>
          <wp:inline distT="0" distB="0" distL="0" distR="0">
            <wp:extent cx="120015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00150" cy="161925"/>
                    </a:xfrm>
                    <a:prstGeom prst="rect">
                      <a:avLst/>
                    </a:prstGeom>
                  </pic:spPr>
                </pic:pic>
              </a:graphicData>
            </a:graphic>
          </wp:inline>
        </w:drawing>
      </w:r>
      <w:r>
        <w:rPr>
          <w:rFonts w:ascii="Times New Roman" w:cs="Times New Roman" w:eastAsia="Times New Roman" w:hAnsi="Times New Roman"/>
          <w:sz w:val="20"/>
          <w:szCs w:val="20"/>
        </w:rPr>
        <w:t xml:space="preserve">	(6)</w:t>
      </w:r>
    </w:p>
    <w:p>
      <w:pPr>
        <w:spacing w:after="60" w:line="228"/>
        <w:ind w:firstLine="202"/>
        <w:jc w:val="both"/>
      </w:pPr>
      <w:r>
        <w:rPr>
          <w:rFonts w:ascii="Times New Roman" w:cs="Times New Roman" w:eastAsia="Times New Roman" w:hAnsi="Times New Roman"/>
          <w:sz w:val="20"/>
          <w:szCs w:val="20"/>
        </w:rPr>
        <w:t xml:space="preserve">Max and noisy-OR mirror the logical OR in (3), whereas the weighted mean dilutes a confident detection in one channel with an unsure score from the other. The rule, and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 in steps of 0.05, are chosen by validation AUC. The learned alternative concatenates both embeddings with two presence flags </w:t>
      </w:r>
      <w:r>
        <w:rPr>
          <w:rFonts w:ascii="Times New Roman" w:cs="Times New Roman" w:eastAsia="Times New Roman" w:hAnsi="Times New Roman"/>
          <w:i/>
          <w:iCs/>
          <w:sz w:val="20"/>
          <w:szCs w:val="20"/>
        </w:rPr>
        <w:t xml:space="preserve">m</w:t>
      </w:r>
      <w:r>
        <w:rPr>
          <w:rFonts w:ascii="Times New Roman" w:cs="Times New Roman" w:eastAsia="Times New Roman" w:hAnsi="Times New Roman"/>
          <w:i/>
          <w:iCs/>
          <w:sz w:val="20"/>
          <w:szCs w:val="20"/>
          <w:vertAlign w:val="subscript"/>
        </w:rPr>
        <w:t xml:space="preserve">v</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m</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i w:val="false"/>
          <w:iCs w:val="false"/>
          <w:sz w:val="20"/>
          <w:szCs w:val="20"/>
        </w:rPr>
        <w:t xml:space="preserve">∈</w:t>
      </w:r>
      <w:r>
        <w:rPr>
          <w:rFonts w:ascii="Times New Roman" w:cs="Times New Roman" w:eastAsia="Times New Roman" w:hAnsi="Times New Roman"/>
          <w:sz w:val="20"/>
          <w:szCs w:val="20"/>
        </w:rPr>
        <w:t xml:space="preserve">{0,1},</w:t>
      </w:r>
    </w:p>
    <w:p>
      <w:pPr>
        <w:tabs>
          <w:tab w:val="center" w:pos="2520"/>
          <w:tab w:val="right" w:pos="5040"/>
        </w:tabs>
        <w:spacing w:after="40" w:before="40"/>
      </w:pPr>
      <w:r>
        <w:rPr>
          <w:rFonts w:ascii="Times New Roman" w:cs="Times New Roman" w:eastAsia="Times New Roman" w:hAnsi="Times New Roman"/>
          <w:sz w:val="20"/>
          <w:szCs w:val="20"/>
        </w:rPr>
        <w:t xml:space="preserve">	</w:t>
      </w:r>
      <w:r>
        <w:drawing>
          <wp:inline distT="0" distB="0" distL="0" distR="0">
            <wp:extent cx="23145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14575" cy="161925"/>
                    </a:xfrm>
                    <a:prstGeom prst="rect">
                      <a:avLst/>
                    </a:prstGeom>
                  </pic:spPr>
                </pic:pic>
              </a:graphicData>
            </a:graphic>
          </wp:inline>
        </w:drawing>
      </w:r>
      <w:r>
        <w:rPr>
          <w:rFonts w:ascii="Times New Roman" w:cs="Times New Roman" w:eastAsia="Times New Roman" w:hAnsi="Times New Roman"/>
          <w:sz w:val="20"/>
          <w:szCs w:val="20"/>
        </w:rPr>
        <w:t xml:space="preserve">	(7)</w:t>
      </w:r>
    </w:p>
    <w:p>
      <w:pPr>
        <w:spacing w:after="60" w:line="228"/>
        <w:ind w:firstLine="202"/>
        <w:jc w:val="both"/>
      </w:pPr>
      <w:r>
        <w:rPr>
          <w:rFonts w:ascii="Times New Roman" w:cs="Times New Roman" w:eastAsia="Times New Roman" w:hAnsi="Times New Roman"/>
          <w:sz w:val="20"/>
          <w:szCs w:val="20"/>
        </w:rPr>
        <w:t xml:space="preserve">with 256 hidden units. During training one modality is hidden with probability 0.2 [21], so that clips lacking a face or a soundtrack are still handled.</w:t>
      </w:r>
    </w:p>
    <w:p>
      <w:pPr>
        <w:keepNext/>
        <w:spacing w:after="40" w:before="100"/>
      </w:pPr>
      <w:r>
        <w:rPr>
          <w:rFonts w:ascii="Times New Roman" w:cs="Times New Roman" w:eastAsia="Times New Roman" w:hAnsi="Times New Roman"/>
          <w:i/>
          <w:iCs/>
          <w:sz w:val="20"/>
          <w:szCs w:val="20"/>
        </w:rPr>
        <w:t xml:space="preserve">F. Training objective</w:t>
      </w:r>
    </w:p>
    <w:p>
      <w:pPr>
        <w:spacing w:after="60" w:line="228"/>
        <w:ind w:firstLine="202"/>
        <w:jc w:val="both"/>
      </w:pPr>
      <w:r>
        <w:rPr>
          <w:rFonts w:ascii="Times New Roman" w:cs="Times New Roman" w:eastAsia="Times New Roman" w:hAnsi="Times New Roman"/>
          <w:sz w:val="20"/>
          <w:szCs w:val="20"/>
        </w:rPr>
        <w:t xml:space="preserve">Each branch is trained with class-weighted binary cross-entropy,</w:t>
      </w:r>
    </w:p>
    <w:p>
      <w:pPr>
        <w:tabs>
          <w:tab w:val="center" w:pos="2520"/>
          <w:tab w:val="right" w:pos="5040"/>
        </w:tabs>
        <w:spacing w:after="40" w:before="40"/>
      </w:pPr>
      <w:r>
        <w:rPr>
          <w:rFonts w:ascii="Times New Roman" w:cs="Times New Roman" w:eastAsia="Times New Roman" w:hAnsi="Times New Roman"/>
          <w:sz w:val="20"/>
          <w:szCs w:val="20"/>
        </w:rPr>
        <w:t xml:space="preserve">	</w:t>
      </w:r>
      <w:r>
        <w:drawing>
          <wp:inline distT="0" distB="0" distL="0" distR="0">
            <wp:extent cx="25146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514600" cy="333375"/>
                    </a:xfrm>
                    <a:prstGeom prst="rect">
                      <a:avLst/>
                    </a:prstGeom>
                  </pic:spPr>
                </pic:pic>
              </a:graphicData>
            </a:graphic>
          </wp:inline>
        </w:drawing>
      </w:r>
      <w:r>
        <w:rPr>
          <w:rFonts w:ascii="Times New Roman" w:cs="Times New Roman" w:eastAsia="Times New Roman" w:hAnsi="Times New Roman"/>
          <w:sz w:val="20"/>
          <w:szCs w:val="20"/>
        </w:rPr>
        <w:t xml:space="preserve">	(8)</w:t>
      </w:r>
    </w:p>
    <w:p>
      <w:pPr>
        <w:spacing w:after="60" w:line="228"/>
        <w:ind w:firstLine="202"/>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val="false"/>
          <w:iCs w:val="false"/>
          <w:sz w:val="20"/>
          <w:szCs w:val="20"/>
        </w:rPr>
        <w:t xml:space="preserve">λ</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real</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fake</w:t>
      </w:r>
      <w:r>
        <w:rPr>
          <w:rFonts w:ascii="Times New Roman" w:cs="Times New Roman" w:eastAsia="Times New Roman" w:hAnsi="Times New Roman"/>
          <w:sz w:val="20"/>
          <w:szCs w:val="20"/>
        </w:rPr>
        <w:t xml:space="preserve">, which equals 1 for the balanced subset used here.</w:t>
      </w:r>
    </w:p>
    <w:p>
      <w:pPr>
        <w:keepNext/>
        <w:spacing w:after="40" w:before="100"/>
      </w:pPr>
      <w:r>
        <w:rPr>
          <w:rFonts w:ascii="Times New Roman" w:cs="Times New Roman" w:eastAsia="Times New Roman" w:hAnsi="Times New Roman"/>
          <w:i/>
          <w:iCs/>
          <w:sz w:val="20"/>
          <w:szCs w:val="20"/>
        </w:rPr>
        <w:t xml:space="preserve">G. Stress protocol</w:t>
      </w:r>
    </w:p>
    <w:p>
      <w:pPr>
        <w:spacing w:after="60" w:line="228"/>
        <w:ind w:firstLine="202"/>
        <w:jc w:val="both"/>
      </w:pPr>
      <w:r>
        <w:rPr>
          <w:rFonts w:ascii="Times New Roman" w:cs="Times New Roman" w:eastAsia="Times New Roman" w:hAnsi="Times New Roman"/>
          <w:sz w:val="20"/>
          <w:szCs w:val="20"/>
        </w:rPr>
        <w:t xml:space="preserve">Table I lists the planned degradations. Video operations act on the face-crop sequence, which approximates platform re-encoding of the face region but is not identical to compressing whole frames before detection. Audio operations act on the stored waveform before the spectrogram is computed. Two further conditions, face-only and voice-only, remove one modality entirely. Optional robust training applies a random degradation to each sample with probability 0.5. The design follows the logic of corruption benchmarks [26].</w:t>
      </w:r>
    </w:p>
    <w:p>
      <w:pPr>
        <w:spacing w:after="0" w:before="120"/>
        <w:jc w:val="center"/>
      </w:pPr>
      <w:r>
        <w:rPr>
          <w:rFonts w:ascii="Times New Roman" w:cs="Times New Roman" w:eastAsia="Times New Roman" w:hAnsi="Times New Roman"/>
          <w:smallCaps/>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Planned Degradation Protocol (Implemented, Not Yet Run)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916"/>
        <w:gridCol w:w="2290"/>
        <w:gridCol w:w="458"/>
        <w:gridCol w:w="687"/>
        <w:gridCol w:w="689"/>
      </w:tblGrid>
      <w:tr>
        <w:trPr>
          <w:cantSplit/>
        </w:trPr>
        <w:tc>
          <w:tcPr>
            <w:tcW w:type="dxa" w:w="916"/>
            <w:tcBorders>
              <w:top w:val="single" w:color="000000" w:sz="8"/>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Modality</w:t>
            </w:r>
          </w:p>
        </w:tc>
        <w:tc>
          <w:tcPr>
            <w:tcW w:type="dxa" w:w="2290"/>
            <w:tcBorders>
              <w:top w:val="single" w:color="000000" w:sz="8"/>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Degradation</w:t>
            </w:r>
          </w:p>
        </w:tc>
        <w:tc>
          <w:tcPr>
            <w:tcW w:type="dxa" w:w="458"/>
            <w:tcBorders>
              <w:top w:val="single" w:color="000000" w:sz="8"/>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Mild</w:t>
            </w:r>
          </w:p>
        </w:tc>
        <w:tc>
          <w:tcPr>
            <w:tcW w:type="dxa" w:w="687"/>
            <w:tcBorders>
              <w:top w:val="single" w:color="000000" w:sz="8"/>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Medium</w:t>
            </w:r>
          </w:p>
        </w:tc>
        <w:tc>
          <w:tcPr>
            <w:tcW w:type="dxa" w:w="689"/>
            <w:tcBorders>
              <w:top w:val="single" w:color="000000" w:sz="8"/>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Severe</w:t>
            </w:r>
          </w:p>
        </w:tc>
      </w:tr>
      <w:tr>
        <w:trPr>
          <w:cantSplit/>
        </w:trPr>
        <w:tc>
          <w:tcPr>
            <w:tcW w:type="dxa" w:w="916"/>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Video</w:t>
            </w:r>
          </w:p>
        </w:tc>
        <w:tc>
          <w:tcPr>
            <w:tcW w:type="dxa" w:w="229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JPEG quality</w:t>
            </w:r>
          </w:p>
        </w:tc>
        <w:tc>
          <w:tcPr>
            <w:tcW w:type="dxa" w:w="458"/>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90</w:t>
            </w:r>
          </w:p>
        </w:tc>
        <w:tc>
          <w:tcPr>
            <w:tcW w:type="dxa" w:w="687"/>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50</w:t>
            </w:r>
          </w:p>
        </w:tc>
        <w:tc>
          <w:tcPr>
            <w:tcW w:type="dxa" w:w="689"/>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20</w:t>
            </w:r>
          </w:p>
        </w:tc>
      </w:tr>
      <w:tr>
        <w:trPr>
          <w:cantSplit/>
        </w:trPr>
        <w:tc>
          <w:tcPr>
            <w:tcW w:type="dxa" w:w="916"/>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Video</w:t>
            </w:r>
          </w:p>
        </w:tc>
        <w:tc>
          <w:tcPr>
            <w:tcW w:type="dxa" w:w="229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H.264 CRF</w:t>
            </w:r>
          </w:p>
        </w:tc>
        <w:tc>
          <w:tcPr>
            <w:tcW w:type="dxa" w:w="458"/>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23</w:t>
            </w:r>
          </w:p>
        </w:tc>
        <w:tc>
          <w:tcPr>
            <w:tcW w:type="dxa" w:w="687"/>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30</w:t>
            </w:r>
          </w:p>
        </w:tc>
        <w:tc>
          <w:tcPr>
            <w:tcW w:type="dxa" w:w="689"/>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40</w:t>
            </w:r>
          </w:p>
        </w:tc>
      </w:tr>
      <w:tr>
        <w:trPr>
          <w:cantSplit/>
        </w:trPr>
        <w:tc>
          <w:tcPr>
            <w:tcW w:type="dxa" w:w="916"/>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Video</w:t>
            </w:r>
          </w:p>
        </w:tc>
        <w:tc>
          <w:tcPr>
            <w:tcW w:type="dxa" w:w="229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Gaussian blur </w:t>
            </w:r>
            <w:r>
              <w:rPr>
                <w:rFonts w:ascii="Times New Roman" w:cs="Times New Roman" w:eastAsia="Times New Roman" w:hAnsi="Times New Roman"/>
                <w:i w:val="false"/>
                <w:iCs w:val="false"/>
                <w:sz w:val="16"/>
                <w:szCs w:val="16"/>
              </w:rPr>
              <w:t xml:space="preserve">σ</w:t>
            </w:r>
          </w:p>
        </w:tc>
        <w:tc>
          <w:tcPr>
            <w:tcW w:type="dxa" w:w="458"/>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1</w:t>
            </w:r>
          </w:p>
        </w:tc>
        <w:tc>
          <w:tcPr>
            <w:tcW w:type="dxa" w:w="687"/>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2</w:t>
            </w:r>
          </w:p>
        </w:tc>
        <w:tc>
          <w:tcPr>
            <w:tcW w:type="dxa" w:w="689"/>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3</w:t>
            </w:r>
          </w:p>
        </w:tc>
      </w:tr>
      <w:tr>
        <w:trPr>
          <w:cantSplit/>
        </w:trPr>
        <w:tc>
          <w:tcPr>
            <w:tcW w:type="dxa" w:w="916"/>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Video</w:t>
            </w:r>
          </w:p>
        </w:tc>
        <w:tc>
          <w:tcPr>
            <w:tcW w:type="dxa" w:w="229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Gaussian noise </w:t>
            </w:r>
            <w:r>
              <w:rPr>
                <w:rFonts w:ascii="Times New Roman" w:cs="Times New Roman" w:eastAsia="Times New Roman" w:hAnsi="Times New Roman"/>
                <w:i w:val="false"/>
                <w:iCs w:val="false"/>
                <w:sz w:val="16"/>
                <w:szCs w:val="16"/>
              </w:rPr>
              <w:t xml:space="preserve">σ</w:t>
            </w:r>
          </w:p>
        </w:tc>
        <w:tc>
          <w:tcPr>
            <w:tcW w:type="dxa" w:w="458"/>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5</w:t>
            </w:r>
          </w:p>
        </w:tc>
        <w:tc>
          <w:tcPr>
            <w:tcW w:type="dxa" w:w="687"/>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15</w:t>
            </w:r>
          </w:p>
        </w:tc>
        <w:tc>
          <w:tcPr>
            <w:tcW w:type="dxa" w:w="689"/>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30</w:t>
            </w:r>
          </w:p>
        </w:tc>
      </w:tr>
      <w:tr>
        <w:trPr>
          <w:cantSplit/>
        </w:trPr>
        <w:tc>
          <w:tcPr>
            <w:tcW w:type="dxa" w:w="916"/>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Video</w:t>
            </w:r>
          </w:p>
        </w:tc>
        <w:tc>
          <w:tcPr>
            <w:tcW w:type="dxa" w:w="229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Downscale factor</w:t>
            </w:r>
          </w:p>
        </w:tc>
        <w:tc>
          <w:tcPr>
            <w:tcW w:type="dxa" w:w="458"/>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2</w:t>
            </w:r>
            <w:r>
              <w:rPr>
                <w:rFonts w:ascii="Times New Roman" w:cs="Times New Roman" w:eastAsia="Times New Roman" w:hAnsi="Times New Roman"/>
                <w:i w:val="false"/>
                <w:iCs w:val="false"/>
                <w:sz w:val="16"/>
                <w:szCs w:val="16"/>
              </w:rPr>
              <w:t xml:space="preserve">×</w:t>
            </w:r>
          </w:p>
        </w:tc>
        <w:tc>
          <w:tcPr>
            <w:tcW w:type="dxa" w:w="687"/>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3</w:t>
            </w:r>
            <w:r>
              <w:rPr>
                <w:rFonts w:ascii="Times New Roman" w:cs="Times New Roman" w:eastAsia="Times New Roman" w:hAnsi="Times New Roman"/>
                <w:i w:val="false"/>
                <w:iCs w:val="false"/>
                <w:sz w:val="16"/>
                <w:szCs w:val="16"/>
              </w:rPr>
              <w:t xml:space="preserve">×</w:t>
            </w:r>
          </w:p>
        </w:tc>
        <w:tc>
          <w:tcPr>
            <w:tcW w:type="dxa" w:w="689"/>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4</w:t>
            </w:r>
            <w:r>
              <w:rPr>
                <w:rFonts w:ascii="Times New Roman" w:cs="Times New Roman" w:eastAsia="Times New Roman" w:hAnsi="Times New Roman"/>
                <w:i w:val="false"/>
                <w:iCs w:val="false"/>
                <w:sz w:val="16"/>
                <w:szCs w:val="16"/>
              </w:rPr>
              <w:t xml:space="preserve">×</w:t>
            </w:r>
          </w:p>
        </w:tc>
      </w:tr>
      <w:tr>
        <w:trPr>
          <w:cantSplit/>
        </w:trPr>
        <w:tc>
          <w:tcPr>
            <w:tcW w:type="dxa" w:w="916"/>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Audio</w:t>
            </w:r>
          </w:p>
        </w:tc>
        <w:tc>
          <w:tcPr>
            <w:tcW w:type="dxa" w:w="229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White-noise SNR (dB)</w:t>
            </w:r>
          </w:p>
        </w:tc>
        <w:tc>
          <w:tcPr>
            <w:tcW w:type="dxa" w:w="458"/>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20</w:t>
            </w:r>
          </w:p>
        </w:tc>
        <w:tc>
          <w:tcPr>
            <w:tcW w:type="dxa" w:w="687"/>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10</w:t>
            </w:r>
          </w:p>
        </w:tc>
        <w:tc>
          <w:tcPr>
            <w:tcW w:type="dxa" w:w="689"/>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5</w:t>
            </w:r>
          </w:p>
        </w:tc>
      </w:tr>
      <w:tr>
        <w:trPr>
          <w:cantSplit/>
        </w:trPr>
        <w:tc>
          <w:tcPr>
            <w:tcW w:type="dxa" w:w="916"/>
            <w:tcBorders>
              <w:top w:val="none" w:color="FFFFFF" w:sz="0"/>
              <w:left w:val="none" w:color="FFFFFF" w:sz="0"/>
              <w:bottom w:val="single" w:color="000000" w:sz="8"/>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Audio</w:t>
            </w:r>
          </w:p>
        </w:tc>
        <w:tc>
          <w:tcPr>
            <w:tcW w:type="dxa" w:w="2290"/>
            <w:tcBorders>
              <w:top w:val="none" w:color="FFFFFF" w:sz="0"/>
              <w:left w:val="none" w:color="FFFFFF" w:sz="0"/>
              <w:bottom w:val="single" w:color="000000" w:sz="8"/>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MP3 bitrate (kbit/s)</w:t>
            </w:r>
          </w:p>
        </w:tc>
        <w:tc>
          <w:tcPr>
            <w:tcW w:type="dxa" w:w="458"/>
            <w:tcBorders>
              <w:top w:val="none" w:color="FFFFFF" w:sz="0"/>
              <w:left w:val="none" w:color="FFFFFF" w:sz="0"/>
              <w:bottom w:val="single" w:color="000000" w:sz="8"/>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64</w:t>
            </w:r>
          </w:p>
        </w:tc>
        <w:tc>
          <w:tcPr>
            <w:tcW w:type="dxa" w:w="687"/>
            <w:tcBorders>
              <w:top w:val="none" w:color="FFFFFF" w:sz="0"/>
              <w:left w:val="none" w:color="FFFFFF" w:sz="0"/>
              <w:bottom w:val="single" w:color="000000" w:sz="8"/>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32</w:t>
            </w:r>
          </w:p>
        </w:tc>
        <w:tc>
          <w:tcPr>
            <w:tcW w:type="dxa" w:w="689"/>
            <w:tcBorders>
              <w:top w:val="none" w:color="FFFFFF" w:sz="0"/>
              <w:left w:val="none" w:color="FFFFFF" w:sz="0"/>
              <w:bottom w:val="single" w:color="000000" w:sz="8"/>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16</w:t>
            </w:r>
          </w:p>
        </w:tc>
      </w:tr>
    </w:tbl>
    <w:p>
      <w:pPr>
        <w:spacing w:after="80"/>
      </w:pPr>
    </w:p>
    <w:p>
      <w:pPr>
        <w:keepNext/>
        <w:spacing w:after="40" w:before="100"/>
      </w:pPr>
      <w:r>
        <w:rPr>
          <w:rFonts w:ascii="Times New Roman" w:cs="Times New Roman" w:eastAsia="Times New Roman" w:hAnsi="Times New Roman"/>
          <w:i/>
          <w:iCs/>
          <w:sz w:val="20"/>
          <w:szCs w:val="20"/>
        </w:rPr>
        <w:t xml:space="preserve">H. Explanation</w:t>
      </w:r>
    </w:p>
    <w:p>
      <w:pPr>
        <w:spacing w:after="60" w:line="228"/>
        <w:ind w:firstLine="202"/>
        <w:jc w:val="both"/>
      </w:pPr>
      <w:r>
        <w:rPr>
          <w:rFonts w:ascii="Times New Roman" w:cs="Times New Roman" w:eastAsia="Times New Roman" w:hAnsi="Times New Roman"/>
          <w:sz w:val="20"/>
          <w:szCs w:val="20"/>
        </w:rPr>
        <w:t xml:space="preserve">For a convolutional layer with activation maps </w:t>
      </w:r>
      <w:r>
        <w:rPr>
          <w:rFonts w:ascii="Times New Roman" w:cs="Times New Roman" w:eastAsia="Times New Roman" w:hAnsi="Times New Roman"/>
          <w:i/>
          <w:iCs/>
          <w:sz w:val="20"/>
          <w:szCs w:val="20"/>
        </w:rPr>
        <w:t xml:space="preserve">A</w:t>
      </w:r>
      <w:r>
        <w:rPr>
          <w:rFonts w:ascii="Times New Roman" w:cs="Times New Roman" w:eastAsia="Times New Roman" w:hAnsi="Times New Roman"/>
          <w:i/>
          <w:iCs/>
          <w:sz w:val="20"/>
          <w:szCs w:val="20"/>
          <w:vertAlign w:val="superscript"/>
        </w:rPr>
        <w:t xml:space="preserve">k</w:t>
      </w:r>
      <w:r>
        <w:rPr>
          <w:rFonts w:ascii="Times New Roman" w:cs="Times New Roman" w:eastAsia="Times New Roman" w:hAnsi="Times New Roman"/>
          <w:sz w:val="20"/>
          <w:szCs w:val="20"/>
        </w:rPr>
        <w:t xml:space="preserve">, Grad-CAM [27] weights each map by the spatially averaged gradient of the output logit </w:t>
      </w:r>
      <w:r>
        <w:rPr>
          <w:rFonts w:ascii="Times New Roman" w:cs="Times New Roman" w:eastAsia="Times New Roman" w:hAnsi="Times New Roman"/>
          <w:i w:val="false"/>
          <w:iCs w:val="false"/>
          <w:sz w:val="20"/>
          <w:szCs w:val="20"/>
        </w:rPr>
        <w:t xml:space="preserve">ℓ</w:t>
      </w:r>
      <w:r>
        <w:rPr>
          <w:rFonts w:ascii="Times New Roman" w:cs="Times New Roman" w:eastAsia="Times New Roman" w:hAnsi="Times New Roman"/>
          <w:sz w:val="20"/>
          <w:szCs w:val="20"/>
        </w:rPr>
        <w:t xml:space="preserve">,</w:t>
      </w:r>
    </w:p>
    <w:p>
      <w:pPr>
        <w:tabs>
          <w:tab w:val="center" w:pos="2520"/>
          <w:tab w:val="right" w:pos="5040"/>
        </w:tabs>
        <w:spacing w:after="40" w:before="40"/>
      </w:pPr>
      <w:r>
        <w:rPr>
          <w:rFonts w:ascii="Times New Roman" w:cs="Times New Roman" w:eastAsia="Times New Roman" w:hAnsi="Times New Roman"/>
          <w:sz w:val="20"/>
          <w:szCs w:val="20"/>
        </w:rPr>
        <w:t xml:space="preserve">	</w:t>
      </w:r>
      <w:r>
        <w:drawing>
          <wp:inline distT="0" distB="0" distL="0" distR="0">
            <wp:extent cx="1876425"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76425" cy="285750"/>
                    </a:xfrm>
                    <a:prstGeom prst="rect">
                      <a:avLst/>
                    </a:prstGeom>
                  </pic:spPr>
                </pic:pic>
              </a:graphicData>
            </a:graphic>
          </wp:inline>
        </w:drawing>
      </w:r>
      <w:r>
        <w:rPr>
          <w:rFonts w:ascii="Times New Roman" w:cs="Times New Roman" w:eastAsia="Times New Roman" w:hAnsi="Times New Roman"/>
          <w:sz w:val="20"/>
          <w:szCs w:val="20"/>
        </w:rPr>
        <w:t xml:space="preserve">	(9)</w:t>
      </w:r>
    </w:p>
    <w:p>
      <w:pPr>
        <w:spacing w:after="60" w:line="228"/>
        <w:ind w:firstLine="202"/>
        <w:jc w:val="both"/>
      </w:pPr>
      <w:r>
        <w:rPr>
          <w:rFonts w:ascii="Times New Roman" w:cs="Times New Roman" w:eastAsia="Times New Roman" w:hAnsi="Times New Roman"/>
          <w:sz w:val="20"/>
          <w:szCs w:val="20"/>
        </w:rPr>
        <w:t xml:space="preserve">and upsamples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rPr>
        <w:t xml:space="preserve"> to the input. We hook the last convolutional block of each branch (EfficientNet </w:t>
      </w:r>
      <w:r>
        <w:rPr>
          <w:rFonts w:ascii="Courier New" w:cs="Courier New" w:eastAsia="Courier New" w:hAnsi="Courier New"/>
          <w:sz w:val="20"/>
          <w:szCs w:val="20"/>
        </w:rPr>
        <w:t xml:space="preserve">bn2</w:t>
      </w:r>
      <w:r>
        <w:rPr>
          <w:rFonts w:ascii="Times New Roman" w:cs="Times New Roman" w:eastAsia="Times New Roman" w:hAnsi="Times New Roman"/>
          <w:sz w:val="20"/>
          <w:szCs w:val="20"/>
        </w:rPr>
        <w:t xml:space="preserve">, ResNet </w:t>
      </w:r>
      <w:r>
        <w:rPr>
          <w:rFonts w:ascii="Courier New" w:cs="Courier New" w:eastAsia="Courier New" w:hAnsi="Courier New"/>
          <w:sz w:val="20"/>
          <w:szCs w:val="20"/>
        </w:rPr>
        <w:t xml:space="preserve">layer4</w:t>
      </w:r>
      <w:r>
        <w:rPr>
          <w:rFonts w:ascii="Times New Roman" w:cs="Times New Roman" w:eastAsia="Times New Roman" w:hAnsi="Times New Roman"/>
          <w:sz w:val="20"/>
          <w:szCs w:val="20"/>
        </w:rPr>
        <w:t xml:space="preserve">), giving a 7</w:t>
      </w:r>
      <w:r>
        <w:rPr>
          <w:rFonts w:ascii="Times New Roman" w:cs="Times New Roman" w:eastAsia="Times New Roman" w:hAnsi="Times New Roman"/>
          <w:i w:val="false"/>
          <w:iCs w:val="false"/>
          <w:sz w:val="20"/>
          <w:szCs w:val="20"/>
        </w:rPr>
        <w:t xml:space="preserve">×</w:t>
      </w:r>
      <w:r>
        <w:rPr>
          <w:rFonts w:ascii="Times New Roman" w:cs="Times New Roman" w:eastAsia="Times New Roman" w:hAnsi="Times New Roman"/>
          <w:sz w:val="20"/>
          <w:szCs w:val="20"/>
        </w:rPr>
        <w:t xml:space="preserve">7 map per face and a 4</w:t>
      </w:r>
      <w:r>
        <w:rPr>
          <w:rFonts w:ascii="Times New Roman" w:cs="Times New Roman" w:eastAsia="Times New Roman" w:hAnsi="Times New Roman"/>
          <w:i w:val="false"/>
          <w:iCs w:val="false"/>
          <w:sz w:val="20"/>
          <w:szCs w:val="20"/>
        </w:rPr>
        <w:t xml:space="preserve">×</w:t>
      </w:r>
      <w:r>
        <w:rPr>
          <w:rFonts w:ascii="Times New Roman" w:cs="Times New Roman" w:eastAsia="Times New Roman" w:hAnsi="Times New Roman"/>
          <w:sz w:val="20"/>
          <w:szCs w:val="20"/>
        </w:rPr>
        <w:t xml:space="preserve">13 map per spectrogram. For the fused model, one backward pass of the fused logit yields maps for every face frame and for the spectrogram together.</w:t>
      </w:r>
    </w:p>
    <w:p>
      <w:pPr>
        <w:keepNext/>
        <w:spacing w:after="80" w:before="160"/>
        <w:jc w:val="center"/>
      </w:pPr>
      <w:r>
        <w:rPr>
          <w:rFonts w:ascii="Times New Roman" w:cs="Times New Roman" w:eastAsia="Times New Roman" w:hAnsi="Times New Roman"/>
          <w:smallCaps w:val="false"/>
          <w:sz w:val="20"/>
          <w:szCs w:val="20"/>
        </w:rPr>
        <w:t xml:space="preserve">IV. EXPERIMENTAL SETUP</w:t>
      </w:r>
    </w:p>
    <w:p>
      <w:pPr>
        <w:keepNext/>
        <w:spacing w:after="40" w:before="100"/>
      </w:pPr>
      <w:r>
        <w:rPr>
          <w:rFonts w:ascii="Times New Roman" w:cs="Times New Roman" w:eastAsia="Times New Roman" w:hAnsi="Times New Roman"/>
          <w:i/>
          <w:iCs/>
          <w:sz w:val="20"/>
          <w:szCs w:val="20"/>
        </w:rPr>
        <w:t xml:space="preserve">A. Data</w:t>
      </w:r>
    </w:p>
    <w:p>
      <w:pPr>
        <w:spacing w:after="60" w:line="228"/>
        <w:ind w:firstLine="202"/>
        <w:jc w:val="both"/>
      </w:pPr>
      <w:r>
        <w:rPr>
          <w:rFonts w:ascii="Times New Roman" w:cs="Times New Roman" w:eastAsia="Times New Roman" w:hAnsi="Times New Roman"/>
          <w:sz w:val="20"/>
          <w:szCs w:val="20"/>
        </w:rPr>
        <w:t xml:space="preserve">Table II places the four datasets in the study. Only ASVspoof 2019 LA has been trained and evaluated so far. We keep its official protocol: the training, development and evaluation partitions become our train, validation and test splits (Fig. 2). Because the full partitions are large, we draw up to 2,500 bona fide and 2,500 spoofed clips per partition with seed 42, giving 5,000 clips per split. The training and development partitions contain attacks A01–A06. The evaluation partition contains A07–A19, of which A16 and A19 reuse the algorithms of A04 and A06 and the other eleven are unseen [4]. Our test set contains 171–209 clips per attack.</w:t>
      </w:r>
    </w:p>
    <w:p>
      <w:pPr>
        <w:spacing w:after="0" w:before="120"/>
        <w:jc w:val="center"/>
      </w:pPr>
      <w:r>
        <w:rPr>
          <w:rFonts w:ascii="Times New Roman" w:cs="Times New Roman" w:eastAsia="Times New Roman" w:hAnsi="Times New Roman"/>
          <w:smallCaps/>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Datasets and Their Role in the Study</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85"/>
        <w:gridCol w:w="2816"/>
        <w:gridCol w:w="1039"/>
      </w:tblGrid>
      <w:tr>
        <w:trPr>
          <w:cantSplit/>
        </w:trPr>
        <w:tc>
          <w:tcPr>
            <w:tcW w:type="dxa" w:w="1185"/>
            <w:tcBorders>
              <w:top w:val="single" w:color="000000" w:sz="8"/>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Dataset</w:t>
            </w:r>
          </w:p>
        </w:tc>
        <w:tc>
          <w:tcPr>
            <w:tcW w:type="dxa" w:w="2816"/>
            <w:tcBorders>
              <w:top w:val="single" w:color="000000" w:sz="8"/>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Role</w:t>
            </w:r>
          </w:p>
        </w:tc>
        <w:tc>
          <w:tcPr>
            <w:tcW w:type="dxa" w:w="1039"/>
            <w:tcBorders>
              <w:top w:val="single" w:color="000000" w:sz="8"/>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Status</w:t>
            </w:r>
          </w:p>
        </w:tc>
      </w:tr>
      <w:tr>
        <w:trPr>
          <w:cantSplit/>
        </w:trPr>
        <w:tc>
          <w:tcPr>
            <w:tcW w:type="dxa" w:w="1185"/>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ASVspoof 2019 LA</w:t>
            </w:r>
          </w:p>
        </w:tc>
        <w:tc>
          <w:tcPr>
            <w:tcW w:type="dxa" w:w="2816"/>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Voice-branch training, per-attack testing</w:t>
            </w:r>
          </w:p>
        </w:tc>
        <w:tc>
          <w:tcPr>
            <w:tcW w:type="dxa" w:w="1039"/>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Used here</w:t>
            </w:r>
          </w:p>
        </w:tc>
      </w:tr>
      <w:tr>
        <w:trPr>
          <w:cantSplit/>
        </w:trPr>
        <w:tc>
          <w:tcPr>
            <w:tcW w:type="dxa" w:w="1185"/>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FakeAVCeleb</w:t>
            </w:r>
          </w:p>
        </w:tc>
        <w:tc>
          <w:tcPr>
            <w:tcW w:type="dxa" w:w="2816"/>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Main audio-visual training and test; four label categories</w:t>
            </w:r>
          </w:p>
        </w:tc>
        <w:tc>
          <w:tcPr>
            <w:tcW w:type="dxa" w:w="1039"/>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Access pending</w:t>
            </w:r>
          </w:p>
        </w:tc>
      </w:tr>
      <w:tr>
        <w:trPr>
          <w:cantSplit/>
        </w:trPr>
        <w:tc>
          <w:tcPr>
            <w:tcW w:type="dxa" w:w="1185"/>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DFDC (sample)</w:t>
            </w:r>
          </w:p>
        </w:tc>
        <w:tc>
          <w:tcPr>
            <w:tcW w:type="dxa" w:w="2816"/>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Pipeline development, visual baseline</w:t>
            </w:r>
          </w:p>
        </w:tc>
        <w:tc>
          <w:tcPr>
            <w:tcW w:type="dxa" w:w="1039"/>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Planned</w:t>
            </w:r>
          </w:p>
        </w:tc>
      </w:tr>
      <w:tr>
        <w:trPr>
          <w:cantSplit/>
        </w:trPr>
        <w:tc>
          <w:tcPr>
            <w:tcW w:type="dxa" w:w="1185"/>
            <w:tcBorders>
              <w:top w:val="none" w:color="FFFFFF" w:sz="0"/>
              <w:left w:val="none" w:color="FFFFFF" w:sz="0"/>
              <w:bottom w:val="single" w:color="000000" w:sz="8"/>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Celeb-DF v2</w:t>
            </w:r>
          </w:p>
        </w:tc>
        <w:tc>
          <w:tcPr>
            <w:tcW w:type="dxa" w:w="2816"/>
            <w:tcBorders>
              <w:top w:val="none" w:color="FFFFFF" w:sz="0"/>
              <w:left w:val="none" w:color="FFFFFF" w:sz="0"/>
              <w:bottom w:val="single" w:color="000000" w:sz="8"/>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Cross-dataset test of the visual branch</w:t>
            </w:r>
          </w:p>
        </w:tc>
        <w:tc>
          <w:tcPr>
            <w:tcW w:type="dxa" w:w="1039"/>
            <w:tcBorders>
              <w:top w:val="none" w:color="FFFFFF" w:sz="0"/>
              <w:left w:val="none" w:color="FFFFFF" w:sz="0"/>
              <w:bottom w:val="single" w:color="000000" w:sz="8"/>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Planned</w:t>
            </w:r>
          </w:p>
        </w:tc>
      </w:tr>
    </w:tbl>
    <w:p>
      <w:pPr>
        <w:spacing w:after="80"/>
      </w:pPr>
    </w:p>
    <w:p>
      <w:pPr>
        <w:keepNext/>
        <w:spacing w:after="40" w:before="80"/>
        <w:jc w:val="center"/>
      </w:pPr>
      <w:r>
        <w:drawing>
          <wp:inline distT="0" distB="0" distL="0" distR="0">
            <wp:extent cx="2943225"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43225" cy="13620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ASVspoof 2019 LA subset used for the voice branch. Each split is balanced; labels inside the bars name the attack systems present.</w:t>
      </w:r>
    </w:p>
    <w:p>
      <w:pPr>
        <w:keepNext/>
        <w:spacing w:after="40" w:before="100"/>
      </w:pPr>
      <w:r>
        <w:rPr>
          <w:rFonts w:ascii="Times New Roman" w:cs="Times New Roman" w:eastAsia="Times New Roman" w:hAnsi="Times New Roman"/>
          <w:i/>
          <w:iCs/>
          <w:sz w:val="20"/>
          <w:szCs w:val="20"/>
        </w:rPr>
        <w:t xml:space="preserve">B. Training configuration</w:t>
      </w:r>
    </w:p>
    <w:p>
      <w:pPr>
        <w:spacing w:after="60" w:line="228"/>
        <w:ind w:firstLine="202"/>
        <w:jc w:val="both"/>
      </w:pPr>
      <w:r>
        <w:rPr>
          <w:rFonts w:ascii="Times New Roman" w:cs="Times New Roman" w:eastAsia="Times New Roman" w:hAnsi="Times New Roman"/>
          <w:sz w:val="20"/>
          <w:szCs w:val="20"/>
        </w:rPr>
        <w:t xml:space="preserve">Table III lists the voice-branch settings, taken from the saved run configuration. The model was trained in PyTorch [35] on a single Tesla T4 GPU in Google Colab with mixed precision [36]. We used AdamW [37] with a cosine learning-rate schedule [38]. The classifier head learns ten times faster than the backbone, and the backbone is frozen during the first epoch.</w:t>
      </w:r>
    </w:p>
    <w:p>
      <w:pPr>
        <w:spacing w:after="0" w:before="120"/>
        <w:jc w:val="center"/>
      </w:pPr>
      <w:r>
        <w:rPr>
          <w:rFonts w:ascii="Times New Roman" w:cs="Times New Roman" w:eastAsia="Times New Roman" w:hAnsi="Times New Roman"/>
          <w:smallCaps/>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Voice-Branch Training Configuration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80"/>
        <w:gridCol w:w="3360"/>
      </w:tblGrid>
      <w:tr>
        <w:trPr>
          <w:cantSplit/>
        </w:trPr>
        <w:tc>
          <w:tcPr>
            <w:tcW w:type="dxa" w:w="1680"/>
            <w:tcBorders>
              <w:top w:val="single" w:color="000000" w:sz="8"/>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Item</w:t>
            </w:r>
          </w:p>
        </w:tc>
        <w:tc>
          <w:tcPr>
            <w:tcW w:type="dxa" w:w="3360"/>
            <w:tcBorders>
              <w:top w:val="single" w:color="000000" w:sz="8"/>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Value</w:t>
            </w:r>
          </w:p>
        </w:tc>
      </w:tr>
      <w:tr>
        <w:trPr>
          <w:cantSplit/>
        </w:trPr>
        <w:tc>
          <w:tcPr>
            <w:tcW w:type="dxa" w:w="168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Backbone</w:t>
            </w:r>
          </w:p>
        </w:tc>
        <w:tc>
          <w:tcPr>
            <w:tcW w:type="dxa" w:w="336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ResNet-18, ImageNet initialisation</w:t>
            </w:r>
          </w:p>
        </w:tc>
      </w:tr>
      <w:tr>
        <w:trPr>
          <w:cantSplit/>
        </w:trPr>
        <w:tc>
          <w:tcPr>
            <w:tcW w:type="dxa" w:w="16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Input</w:t>
            </w:r>
          </w:p>
        </w:tc>
        <w:tc>
          <w:tcPr>
            <w:tcW w:type="dxa" w:w="33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128</w:t>
            </w:r>
            <w:r>
              <w:rPr>
                <w:rFonts w:ascii="Times New Roman" w:cs="Times New Roman" w:eastAsia="Times New Roman" w:hAnsi="Times New Roman"/>
                <w:i w:val="false"/>
                <w:iCs w:val="false"/>
                <w:sz w:val="16"/>
                <w:szCs w:val="16"/>
              </w:rPr>
              <w:t xml:space="preserve">×</w:t>
            </w:r>
            <w:r>
              <w:rPr>
                <w:rFonts w:ascii="Times New Roman" w:cs="Times New Roman" w:eastAsia="Times New Roman" w:hAnsi="Times New Roman"/>
                <w:sz w:val="16"/>
                <w:szCs w:val="16"/>
              </w:rPr>
              <w:t xml:space="preserve">401 log-mel, per-window standardised</w:t>
            </w:r>
          </w:p>
        </w:tc>
      </w:tr>
      <w:tr>
        <w:trPr>
          <w:cantSplit/>
        </w:trPr>
        <w:tc>
          <w:tcPr>
            <w:tcW w:type="dxa" w:w="16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Optimiser</w:t>
            </w:r>
          </w:p>
        </w:tc>
        <w:tc>
          <w:tcPr>
            <w:tcW w:type="dxa" w:w="33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AdamW, weight decay 10</w:t>
            </w:r>
            <w:r>
              <w:rPr>
                <w:rFonts w:ascii="Times New Roman" w:cs="Times New Roman" w:eastAsia="Times New Roman" w:hAnsi="Times New Roman"/>
                <w:sz w:val="16"/>
                <w:szCs w:val="16"/>
                <w:vertAlign w:val="superscript"/>
              </w:rPr>
              <w:t xml:space="preserve">-4</w:t>
            </w:r>
          </w:p>
        </w:tc>
      </w:tr>
      <w:tr>
        <w:trPr>
          <w:cantSplit/>
        </w:trPr>
        <w:tc>
          <w:tcPr>
            <w:tcW w:type="dxa" w:w="16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Learning rate</w:t>
            </w:r>
          </w:p>
        </w:tc>
        <w:tc>
          <w:tcPr>
            <w:tcW w:type="dxa" w:w="33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10</w:t>
            </w:r>
            <w:r>
              <w:rPr>
                <w:rFonts w:ascii="Times New Roman" w:cs="Times New Roman" w:eastAsia="Times New Roman" w:hAnsi="Times New Roman"/>
                <w:sz w:val="16"/>
                <w:szCs w:val="16"/>
                <w:vertAlign w:val="superscript"/>
              </w:rPr>
              <w:t xml:space="preserve">-4</w:t>
            </w:r>
            <w:r>
              <w:rPr>
                <w:rFonts w:ascii="Times New Roman" w:cs="Times New Roman" w:eastAsia="Times New Roman" w:hAnsi="Times New Roman"/>
                <w:sz w:val="16"/>
                <w:szCs w:val="16"/>
              </w:rPr>
              <w:t xml:space="preserve"> backbone, 10</w:t>
            </w:r>
            <w:r>
              <w:rPr>
                <w:rFonts w:ascii="Times New Roman" w:cs="Times New Roman" w:eastAsia="Times New Roman" w:hAnsi="Times New Roman"/>
                <w:sz w:val="16"/>
                <w:szCs w:val="16"/>
                <w:vertAlign w:val="superscript"/>
              </w:rPr>
              <w:t xml:space="preserve">-3</w:t>
            </w:r>
            <w:r>
              <w:rPr>
                <w:rFonts w:ascii="Times New Roman" w:cs="Times New Roman" w:eastAsia="Times New Roman" w:hAnsi="Times New Roman"/>
                <w:sz w:val="16"/>
                <w:szCs w:val="16"/>
              </w:rPr>
              <w:t xml:space="preserve"> head</w:t>
            </w:r>
          </w:p>
        </w:tc>
      </w:tr>
      <w:tr>
        <w:trPr>
          <w:cantSplit/>
        </w:trPr>
        <w:tc>
          <w:tcPr>
            <w:tcW w:type="dxa" w:w="16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Schedule</w:t>
            </w:r>
          </w:p>
        </w:tc>
        <w:tc>
          <w:tcPr>
            <w:tcW w:type="dxa" w:w="33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Cosine annealing, </w:t>
            </w:r>
            <w:r>
              <w:rPr>
                <w:rFonts w:ascii="Times New Roman" w:cs="Times New Roman" w:eastAsia="Times New Roman" w:hAnsi="Times New Roman"/>
                <w:i/>
                <w:iCs/>
                <w:sz w:val="16"/>
                <w:szCs w:val="16"/>
              </w:rPr>
              <w:t xml:space="preserve">T</w:t>
            </w:r>
            <w:r>
              <w:rPr>
                <w:rFonts w:ascii="Times New Roman" w:cs="Times New Roman" w:eastAsia="Times New Roman" w:hAnsi="Times New Roman"/>
                <w:sz w:val="16"/>
                <w:szCs w:val="16"/>
                <w:vertAlign w:val="subscript"/>
              </w:rPr>
              <w:t xml:space="preserve">max</w:t>
            </w:r>
            <w:r>
              <w:rPr>
                <w:rFonts w:ascii="Times New Roman" w:cs="Times New Roman" w:eastAsia="Times New Roman" w:hAnsi="Times New Roman"/>
                <w:sz w:val="16"/>
                <w:szCs w:val="16"/>
              </w:rPr>
              <w:t xml:space="preserve">=15 epochs</w:t>
            </w:r>
          </w:p>
        </w:tc>
      </w:tr>
      <w:tr>
        <w:trPr>
          <w:cantSplit/>
        </w:trPr>
        <w:tc>
          <w:tcPr>
            <w:tcW w:type="dxa" w:w="16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Batch size, dropout</w:t>
            </w:r>
          </w:p>
        </w:tc>
        <w:tc>
          <w:tcPr>
            <w:tcW w:type="dxa" w:w="33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32, 0.3</w:t>
            </w:r>
          </w:p>
        </w:tc>
      </w:tr>
      <w:tr>
        <w:trPr>
          <w:cantSplit/>
        </w:trPr>
        <w:tc>
          <w:tcPr>
            <w:tcW w:type="dxa" w:w="16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Gradient clipping</w:t>
            </w:r>
          </w:p>
        </w:tc>
        <w:tc>
          <w:tcPr>
            <w:tcW w:type="dxa" w:w="33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Global norm 1.0</w:t>
            </w:r>
          </w:p>
        </w:tc>
      </w:tr>
      <w:tr>
        <w:trPr>
          <w:cantSplit/>
        </w:trPr>
        <w:tc>
          <w:tcPr>
            <w:tcW w:type="dxa" w:w="16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Frozen backbone</w:t>
            </w:r>
          </w:p>
        </w:tc>
        <w:tc>
          <w:tcPr>
            <w:tcW w:type="dxa" w:w="33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First epoch</w:t>
            </w:r>
          </w:p>
        </w:tc>
      </w:tr>
      <w:tr>
        <w:trPr>
          <w:cantSplit/>
        </w:trPr>
        <w:tc>
          <w:tcPr>
            <w:tcW w:type="dxa" w:w="16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Early stopping</w:t>
            </w:r>
          </w:p>
        </w:tc>
        <w:tc>
          <w:tcPr>
            <w:tcW w:type="dxa" w:w="33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Validation AUC, patience 3</w:t>
            </w:r>
          </w:p>
        </w:tc>
      </w:tr>
      <w:tr>
        <w:trPr>
          <w:cantSplit/>
        </w:trPr>
        <w:tc>
          <w:tcPr>
            <w:tcW w:type="dxa" w:w="16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Augmentation</w:t>
            </w:r>
          </w:p>
        </w:tc>
        <w:tc>
          <w:tcPr>
            <w:tcW w:type="dxa" w:w="33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Random 4 s crop, SpecAugment</w:t>
            </w:r>
          </w:p>
        </w:tc>
      </w:tr>
      <w:tr>
        <w:trPr>
          <w:cantSplit/>
        </w:trPr>
        <w:tc>
          <w:tcPr>
            <w:tcW w:type="dxa" w:w="16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Seed</w:t>
            </w:r>
          </w:p>
        </w:tc>
        <w:tc>
          <w:tcPr>
            <w:tcW w:type="dxa" w:w="33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42</w:t>
            </w:r>
          </w:p>
        </w:tc>
      </w:tr>
      <w:tr>
        <w:trPr>
          <w:cantSplit/>
        </w:trPr>
        <w:tc>
          <w:tcPr>
            <w:tcW w:type="dxa" w:w="16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Hardware</w:t>
            </w:r>
          </w:p>
        </w:tc>
        <w:tc>
          <w:tcPr>
            <w:tcW w:type="dxa" w:w="33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Colab Tesla T4, PyTorch 2.11 (CUDA 13.0)</w:t>
            </w:r>
          </w:p>
        </w:tc>
      </w:tr>
      <w:tr>
        <w:trPr>
          <w:cantSplit/>
        </w:trPr>
        <w:tc>
          <w:tcPr>
            <w:tcW w:type="dxa" w:w="1680"/>
            <w:tcBorders>
              <w:top w:val="none" w:color="FFFFFF" w:sz="0"/>
              <w:left w:val="none" w:color="FFFFFF" w:sz="0"/>
              <w:bottom w:val="single" w:color="000000" w:sz="8"/>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Time per epoch</w:t>
            </w:r>
          </w:p>
        </w:tc>
        <w:tc>
          <w:tcPr>
            <w:tcW w:type="dxa" w:w="3360"/>
            <w:tcBorders>
              <w:top w:val="none" w:color="FFFFFF" w:sz="0"/>
              <w:left w:val="none" w:color="FFFFFF" w:sz="0"/>
              <w:bottom w:val="single" w:color="000000" w:sz="8"/>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about 157 s</w:t>
            </w:r>
          </w:p>
        </w:tc>
      </w:tr>
    </w:tbl>
    <w:p>
      <w:pPr>
        <w:spacing w:after="80"/>
      </w:pPr>
    </w:p>
    <w:p>
      <w:pPr>
        <w:keepNext/>
        <w:spacing w:after="40" w:before="100"/>
      </w:pPr>
      <w:r>
        <w:rPr>
          <w:rFonts w:ascii="Times New Roman" w:cs="Times New Roman" w:eastAsia="Times New Roman" w:hAnsi="Times New Roman"/>
          <w:i/>
          <w:iCs/>
          <w:sz w:val="20"/>
          <w:szCs w:val="20"/>
        </w:rPr>
        <w:t xml:space="preserve">C. Metrics and statistics</w:t>
      </w:r>
    </w:p>
    <w:p>
      <w:pPr>
        <w:spacing w:after="60" w:line="228"/>
        <w:ind w:firstLine="202"/>
        <w:jc w:val="both"/>
      </w:pPr>
      <w:r>
        <w:rPr>
          <w:rFonts w:ascii="Times New Roman" w:cs="Times New Roman" w:eastAsia="Times New Roman" w:hAnsi="Times New Roman"/>
          <w:sz w:val="20"/>
          <w:szCs w:val="20"/>
        </w:rPr>
        <w:t xml:space="preserve">Spoof is the positive class and each model outputs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val="false"/>
          <w:iCs w:val="false"/>
          <w:sz w:val="20"/>
          <w:szCs w:val="20"/>
        </w:rPr>
        <w:t xml:space="preserve">spoof</w:t>
      </w:r>
      <w:r>
        <w:rPr>
          <w:rFonts w:ascii="Times New Roman" w:cs="Times New Roman" w:eastAsia="Times New Roman" w:hAnsi="Times New Roman"/>
          <w:sz w:val="20"/>
          <w:szCs w:val="20"/>
        </w:rPr>
        <w:t xml:space="preserve">). We report the area under the ROC curve (AUC) [39] and the equal error rate, the common value of false-alarm rate and miss rate at the threshold where they meet. A detection error trade-off (DET) view [40] is also provided. At fixed thresholds we give accuracy, precision, recall and F1. Calibration is summarised by the expected calibration error over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=15 equal-width bins [41],</w:t>
      </w:r>
    </w:p>
    <w:p>
      <w:pPr>
        <w:tabs>
          <w:tab w:val="center" w:pos="2520"/>
          <w:tab w:val="right" w:pos="5040"/>
        </w:tabs>
        <w:spacing w:after="40" w:before="40"/>
      </w:pPr>
      <w:r>
        <w:rPr>
          <w:rFonts w:ascii="Times New Roman" w:cs="Times New Roman" w:eastAsia="Times New Roman" w:hAnsi="Times New Roman"/>
          <w:sz w:val="20"/>
          <w:szCs w:val="20"/>
        </w:rPr>
        <w:t xml:space="preserve">	</w:t>
      </w:r>
      <w:r>
        <w:drawing>
          <wp:inline distT="0" distB="0" distL="0" distR="0">
            <wp:extent cx="18669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66900" cy="333375"/>
                    </a:xfrm>
                    <a:prstGeom prst="rect">
                      <a:avLst/>
                    </a:prstGeom>
                  </pic:spPr>
                </pic:pic>
              </a:graphicData>
            </a:graphic>
          </wp:inline>
        </w:drawing>
      </w:r>
      <w:r>
        <w:rPr>
          <w:rFonts w:ascii="Times New Roman" w:cs="Times New Roman" w:eastAsia="Times New Roman" w:hAnsi="Times New Roman"/>
          <w:sz w:val="20"/>
          <w:szCs w:val="20"/>
        </w:rPr>
        <w:t xml:space="preserve">	(10)</w:t>
      </w:r>
    </w:p>
    <w:p>
      <w:pPr>
        <w:spacing w:after="60" w:line="228"/>
        <w:ind w:firstLine="202"/>
        <w:jc w:val="both"/>
      </w:pPr>
      <w:r>
        <w:rPr>
          <w:rFonts w:ascii="Times New Roman" w:cs="Times New Roman" w:eastAsia="Times New Roman" w:hAnsi="Times New Roman"/>
          <w:sz w:val="20"/>
          <w:szCs w:val="20"/>
        </w:rPr>
        <w:t xml:space="preserve">together with the Brier score [42] and the negative log-likelihood. Confidence intervals are percentile intervals from 2,000 stratified bootstrap resamples of the test clips [43]. These intervals describe sampling variation of the test set only; they do not capture training randomness, since a single seed was run. Per-attack figures score each attack's clips against all 2,500 bona fide test clips.</w:t>
      </w:r>
    </w:p>
    <w:p>
      <w:pPr>
        <w:keepNext/>
        <w:spacing w:after="40" w:before="100"/>
      </w:pPr>
      <w:r>
        <w:rPr>
          <w:rFonts w:ascii="Times New Roman" w:cs="Times New Roman" w:eastAsia="Times New Roman" w:hAnsi="Times New Roman"/>
          <w:i/>
          <w:iCs/>
          <w:sz w:val="20"/>
          <w:szCs w:val="20"/>
        </w:rPr>
        <w:t xml:space="preserve">D. Model selection and test use</w:t>
      </w:r>
    </w:p>
    <w:p>
      <w:pPr>
        <w:spacing w:after="60" w:line="228"/>
        <w:ind w:firstLine="202"/>
        <w:jc w:val="both"/>
      </w:pPr>
      <w:r>
        <w:rPr>
          <w:rFonts w:ascii="Times New Roman" w:cs="Times New Roman" w:eastAsia="Times New Roman" w:hAnsi="Times New Roman"/>
          <w:sz w:val="20"/>
          <w:szCs w:val="20"/>
        </w:rPr>
        <w:t xml:space="preserve">The checkpoint with the best validation AUC was evaluated on the test split once. No hyper-parameter was tuned on test data. The EER threshold is, by definition, computed from the test scores, so metrics at that threshold are post-hoc diagnostics and not attainable operating points.</w:t>
      </w:r>
    </w:p>
    <w:p>
      <w:pPr>
        <w:keepNext/>
        <w:spacing w:after="80" w:before="160"/>
        <w:jc w:val="center"/>
      </w:pPr>
      <w:r>
        <w:rPr>
          <w:rFonts w:ascii="Times New Roman" w:cs="Times New Roman" w:eastAsia="Times New Roman" w:hAnsi="Times New Roman"/>
          <w:smallCaps w:val="false"/>
          <w:sz w:val="20"/>
          <w:szCs w:val="20"/>
        </w:rPr>
        <w:t xml:space="preserve">V. RESULTS AND ANALYSIS</w:t>
      </w:r>
    </w:p>
    <w:p>
      <w:pPr>
        <w:keepNext/>
        <w:spacing w:after="40" w:before="100"/>
      </w:pPr>
      <w:r>
        <w:rPr>
          <w:rFonts w:ascii="Times New Roman" w:cs="Times New Roman" w:eastAsia="Times New Roman" w:hAnsi="Times New Roman"/>
          <w:i/>
          <w:iCs/>
          <w:sz w:val="20"/>
          <w:szCs w:val="20"/>
        </w:rPr>
        <w:t xml:space="preserve">A. Training behaviour</w:t>
      </w:r>
    </w:p>
    <w:p>
      <w:pPr>
        <w:spacing w:after="60" w:line="228"/>
        <w:ind w:firstLine="202"/>
        <w:jc w:val="both"/>
      </w:pPr>
      <w:r>
        <w:rPr>
          <w:rFonts w:ascii="Times New Roman" w:cs="Times New Roman" w:eastAsia="Times New Roman" w:hAnsi="Times New Roman"/>
          <w:sz w:val="20"/>
          <w:szCs w:val="20"/>
        </w:rPr>
        <w:t xml:space="preserve">Fig. 3 shows the run. Training loss fell steadily. Validation AUC jumped from 0.855 to 0.99999 once the backbone was unfrozen, and reached exactly 1.0 at epoch 3. Because later epochs never improved on that value, the patience counter expired after epoch 6 and the epoch-3 checkpoint was kept. The six epochs took 15.7 minutes in total.</w:t>
      </w:r>
    </w:p>
    <w:p>
      <w:pPr>
        <w:spacing w:after="60" w:line="228"/>
        <w:ind w:firstLine="202"/>
        <w:jc w:val="both"/>
      </w:pPr>
      <w:r>
        <w:rPr>
          <w:rFonts w:ascii="Times New Roman" w:cs="Times New Roman" w:eastAsia="Times New Roman" w:hAnsi="Times New Roman"/>
          <w:sz w:val="20"/>
          <w:szCs w:val="20"/>
        </w:rPr>
        <w:t xml:space="preserve">The validation curve is the first warning sign. The development partition shares its six attack systems with the training partition, so near-perfect validation scores only show that the model has learned those six. The test AUC of 0.977, drawn as a horizontal line in Fig. 3, sits below every validation point from epoch 2 onward.</w:t>
      </w:r>
    </w:p>
    <w:p>
      <w:pPr>
        <w:keepNext/>
        <w:spacing w:after="40" w:before="80"/>
        <w:jc w:val="center"/>
      </w:pPr>
      <w:r>
        <w:drawing>
          <wp:inline distT="0" distB="0" distL="0" distR="0">
            <wp:extent cx="32004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00400" cy="153352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Left: training and validation loss per epoch (log scale). Right: validation AUC and accuracy against the final test AUC. The dotted line at epoch 3 marks the selected checkpoint.</w:t>
      </w:r>
    </w:p>
    <w:p>
      <w:pPr>
        <w:keepNext/>
        <w:spacing w:after="40" w:before="100"/>
      </w:pPr>
      <w:r>
        <w:rPr>
          <w:rFonts w:ascii="Times New Roman" w:cs="Times New Roman" w:eastAsia="Times New Roman" w:hAnsi="Times New Roman"/>
          <w:i/>
          <w:iCs/>
          <w:sz w:val="20"/>
          <w:szCs w:val="20"/>
        </w:rPr>
        <w:t xml:space="preserve">B. Aggregate test performance</w:t>
      </w:r>
    </w:p>
    <w:p>
      <w:pPr>
        <w:spacing w:after="60" w:line="228"/>
        <w:ind w:firstLine="202"/>
        <w:jc w:val="both"/>
      </w:pPr>
      <w:r>
        <w:rPr>
          <w:rFonts w:ascii="Times New Roman" w:cs="Times New Roman" w:eastAsia="Times New Roman" w:hAnsi="Times New Roman"/>
          <w:sz w:val="20"/>
          <w:szCs w:val="20"/>
        </w:rPr>
        <w:t xml:space="preserve">Table IV gives the headline numbers and Fig. 4 the corresponding curves. The model ranks spoofed speech above bona fide speech with an AUC of 0.977 (0.973–0.981). The EER is 6.2% (5.5–7.0%).</w:t>
      </w:r>
    </w:p>
    <w:p>
      <w:pPr>
        <w:spacing w:after="60" w:line="228"/>
        <w:ind w:firstLine="202"/>
        <w:jc w:val="both"/>
      </w:pPr>
      <w:r>
        <w:rPr>
          <w:rFonts w:ascii="Times New Roman" w:cs="Times New Roman" w:eastAsia="Times New Roman" w:hAnsi="Times New Roman"/>
          <w:sz w:val="20"/>
          <w:szCs w:val="20"/>
        </w:rPr>
        <w:t xml:space="preserve">The pooled figures hide a split. Excluding A17, the AUC rises to 0.996 and the EER falls to 3.2%. A17 alone has an AUC of 0.725 and an EER of 34.4% (bootstrap interval 30.4–38.4%). In the DET plot of Fig. 4 the A17 curve crosses the equal-error diagonal near 34%, far from the other two curves.</w:t>
      </w:r>
    </w:p>
    <w:p>
      <w:pPr>
        <w:spacing w:after="0" w:before="120"/>
        <w:jc w:val="center"/>
      </w:pPr>
      <w:r>
        <w:rPr>
          <w:rFonts w:ascii="Times New Roman" w:cs="Times New Roman" w:eastAsia="Times New Roman" w:hAnsi="Times New Roman"/>
          <w:smallCaps/>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Test Results on the ASVspoof 2019 LA Evaluation Subset (</w:t>
      </w:r>
      <w:r>
        <w:rPr>
          <w:rFonts w:ascii="Times New Roman" w:cs="Times New Roman" w:eastAsia="Times New Roman" w:hAnsi="Times New Roman"/>
          <w:i/>
          <w:iCs/>
          <w:smallCaps/>
          <w:sz w:val="16"/>
          <w:szCs w:val="16"/>
        </w:rPr>
        <w:t xml:space="preserve">n</w:t>
      </w:r>
      <w:r>
        <w:rPr>
          <w:rFonts w:ascii="Times New Roman" w:cs="Times New Roman" w:eastAsia="Times New Roman" w:hAnsi="Times New Roman"/>
          <w:smallCaps/>
          <w:sz w:val="16"/>
          <w:szCs w:val="16"/>
        </w:rPr>
        <w:t xml:space="preserve">=5,000)</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085"/>
        <w:gridCol w:w="1955"/>
      </w:tblGrid>
      <w:tr>
        <w:trPr>
          <w:cantSplit/>
        </w:trPr>
        <w:tc>
          <w:tcPr>
            <w:tcW w:type="dxa" w:w="3085"/>
            <w:tcBorders>
              <w:top w:val="single" w:color="000000" w:sz="8"/>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Metric</w:t>
            </w:r>
          </w:p>
        </w:tc>
        <w:tc>
          <w:tcPr>
            <w:tcW w:type="dxa" w:w="1955"/>
            <w:tcBorders>
              <w:top w:val="single" w:color="000000" w:sz="8"/>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Value (95% CI)</w:t>
            </w:r>
          </w:p>
        </w:tc>
      </w:tr>
      <w:tr>
        <w:trPr>
          <w:cantSplit/>
        </w:trPr>
        <w:tc>
          <w:tcPr>
            <w:tcW w:type="dxa" w:w="3085"/>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AUC</w:t>
            </w:r>
          </w:p>
        </w:tc>
        <w:tc>
          <w:tcPr>
            <w:tcW w:type="dxa" w:w="1955"/>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0.977 (0.973–0.981)</w:t>
            </w:r>
          </w:p>
        </w:tc>
      </w:tr>
      <w:tr>
        <w:trPr>
          <w:cantSplit/>
        </w:trPr>
        <w:tc>
          <w:tcPr>
            <w:tcW w:type="dxa" w:w="3085"/>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EER (%)</w:t>
            </w:r>
          </w:p>
        </w:tc>
        <w:tc>
          <w:tcPr>
            <w:tcW w:type="dxa" w:w="1955"/>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6.2 (5.5–7.0)</w:t>
            </w:r>
          </w:p>
        </w:tc>
      </w:tr>
      <w:tr>
        <w:trPr>
          <w:cantSplit/>
        </w:trPr>
        <w:tc>
          <w:tcPr>
            <w:tcW w:type="dxa" w:w="3085"/>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Accuracy at threshold 0.5 (%)</w:t>
            </w:r>
          </w:p>
        </w:tc>
        <w:tc>
          <w:tcPr>
            <w:tcW w:type="dxa" w:w="1955"/>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91.24</w:t>
            </w:r>
          </w:p>
        </w:tc>
      </w:tr>
      <w:tr>
        <w:trPr>
          <w:cantSplit/>
        </w:trPr>
        <w:tc>
          <w:tcPr>
            <w:tcW w:type="dxa" w:w="3085"/>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Precision / recall at 0.5</w:t>
            </w:r>
          </w:p>
        </w:tc>
        <w:tc>
          <w:tcPr>
            <w:tcW w:type="dxa" w:w="1955"/>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0.991 / 0.832</w:t>
            </w:r>
          </w:p>
        </w:tc>
      </w:tr>
      <w:tr>
        <w:trPr>
          <w:cantSplit/>
        </w:trPr>
        <w:tc>
          <w:tcPr>
            <w:tcW w:type="dxa" w:w="3085"/>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F1 at 0.5</w:t>
            </w:r>
          </w:p>
        </w:tc>
        <w:tc>
          <w:tcPr>
            <w:tcW w:type="dxa" w:w="1955"/>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0.905</w:t>
            </w:r>
          </w:p>
        </w:tc>
      </w:tr>
      <w:tr>
        <w:trPr>
          <w:cantSplit/>
        </w:trPr>
        <w:tc>
          <w:tcPr>
            <w:tcW w:type="dxa" w:w="3085"/>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Accuracy at EER threshold (%)</w:t>
            </w:r>
            <w:r>
              <w:rPr>
                <w:rFonts w:ascii="Times New Roman" w:cs="Times New Roman" w:eastAsia="Times New Roman" w:hAnsi="Times New Roman"/>
                <w:sz w:val="16"/>
                <w:szCs w:val="16"/>
                <w:vertAlign w:val="superscript"/>
              </w:rPr>
              <w:t xml:space="preserve">*</w:t>
            </w:r>
          </w:p>
        </w:tc>
        <w:tc>
          <w:tcPr>
            <w:tcW w:type="dxa" w:w="1955"/>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93.8</w:t>
            </w:r>
          </w:p>
        </w:tc>
      </w:tr>
      <w:tr>
        <w:trPr>
          <w:cantSplit/>
        </w:trPr>
        <w:tc>
          <w:tcPr>
            <w:tcW w:type="dxa" w:w="3085"/>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AUC excluding A17</w:t>
            </w:r>
          </w:p>
        </w:tc>
        <w:tc>
          <w:tcPr>
            <w:tcW w:type="dxa" w:w="1955"/>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0.996</w:t>
            </w:r>
          </w:p>
        </w:tc>
      </w:tr>
      <w:tr>
        <w:trPr>
          <w:cantSplit/>
        </w:trPr>
        <w:tc>
          <w:tcPr>
            <w:tcW w:type="dxa" w:w="3085"/>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EER excluding A17 (%)</w:t>
            </w:r>
          </w:p>
        </w:tc>
        <w:tc>
          <w:tcPr>
            <w:tcW w:type="dxa" w:w="1955"/>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3.2</w:t>
            </w:r>
          </w:p>
        </w:tc>
      </w:tr>
      <w:tr>
        <w:trPr>
          <w:cantSplit/>
        </w:trPr>
        <w:tc>
          <w:tcPr>
            <w:tcW w:type="dxa" w:w="3085"/>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EER on A17 only (%)</w:t>
            </w:r>
          </w:p>
        </w:tc>
        <w:tc>
          <w:tcPr>
            <w:tcW w:type="dxa" w:w="1955"/>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34.4 (30.4–38.4)</w:t>
            </w:r>
          </w:p>
        </w:tc>
      </w:tr>
      <w:tr>
        <w:trPr>
          <w:cantSplit/>
        </w:trPr>
        <w:tc>
          <w:tcPr>
            <w:tcW w:type="dxa" w:w="3085"/>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Brier score / NLL</w:t>
            </w:r>
          </w:p>
        </w:tc>
        <w:tc>
          <w:tcPr>
            <w:tcW w:type="dxa" w:w="1955"/>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0.076 / 0.425</w:t>
            </w:r>
          </w:p>
        </w:tc>
      </w:tr>
      <w:tr>
        <w:trPr>
          <w:cantSplit/>
        </w:trPr>
        <w:tc>
          <w:tcPr>
            <w:tcW w:type="dxa" w:w="3085"/>
            <w:tcBorders>
              <w:top w:val="none" w:color="FFFFFF" w:sz="0"/>
              <w:left w:val="none" w:color="FFFFFF" w:sz="0"/>
              <w:bottom w:val="single" w:color="000000" w:sz="8"/>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ECE (15 bins)</w:t>
            </w:r>
          </w:p>
        </w:tc>
        <w:tc>
          <w:tcPr>
            <w:tcW w:type="dxa" w:w="1955"/>
            <w:tcBorders>
              <w:top w:val="none" w:color="FFFFFF" w:sz="0"/>
              <w:left w:val="none" w:color="FFFFFF" w:sz="0"/>
              <w:bottom w:val="single" w:color="000000" w:sz="8"/>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0.083</w:t>
            </w:r>
          </w:p>
        </w:tc>
      </w:tr>
    </w:tbl>
    <w:p>
      <w:pPr>
        <w:spacing w:after="80" w:before="30"/>
        <w:jc w:val="both"/>
      </w:pPr>
      <w:r>
        <w:rPr>
          <w:rFonts w:ascii="Times New Roman" w:cs="Times New Roman" w:eastAsia="Times New Roman" w:hAnsi="Times New Roman"/>
          <w:sz w:val="14"/>
          <w:szCs w:val="14"/>
          <w:vertAlign w:val="superscript"/>
        </w:rPr>
        <w:t xml:space="preserve">*</w:t>
      </w:r>
      <w:r>
        <w:rPr>
          <w:rFonts w:ascii="Times New Roman" w:cs="Times New Roman" w:eastAsia="Times New Roman" w:hAnsi="Times New Roman"/>
          <w:sz w:val="14"/>
          <w:szCs w:val="14"/>
        </w:rPr>
        <w:t xml:space="preserve">Threshold 0.0102 was chosen on the test scores, so this is a diagnostic and not a deployable setting.</w:t>
      </w:r>
    </w:p>
    <w:p>
      <w:pPr>
        <w:keepNext/>
        <w:spacing w:after="40" w:before="80"/>
        <w:jc w:val="center"/>
      </w:pPr>
      <w:r>
        <w:drawing>
          <wp:inline distT="0" distB="0" distL="0" distR="0">
            <wp:extent cx="32004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00400" cy="16287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sz w:val="16"/>
          <w:szCs w:val="16"/>
        </w:rPr>
        <w:t xml:space="preserve">ROC (left) and DET (right) curves for all attacks, for A17 alone and for all attacks except A17. The star marks the EER operating point. DET axes are probit-scaled.</w:t>
      </w:r>
    </w:p>
    <w:p>
      <w:pPr>
        <w:keepNext/>
        <w:spacing w:after="40" w:before="100"/>
      </w:pPr>
      <w:r>
        <w:rPr>
          <w:rFonts w:ascii="Times New Roman" w:cs="Times New Roman" w:eastAsia="Times New Roman" w:hAnsi="Times New Roman"/>
          <w:i/>
          <w:iCs/>
          <w:sz w:val="20"/>
          <w:szCs w:val="20"/>
        </w:rPr>
        <w:t xml:space="preserve">C. Operating point</w:t>
      </w:r>
    </w:p>
    <w:p>
      <w:pPr>
        <w:spacing w:after="60" w:line="228"/>
        <w:ind w:firstLine="202"/>
        <w:jc w:val="both"/>
      </w:pPr>
      <w:r>
        <w:rPr>
          <w:rFonts w:ascii="Times New Roman" w:cs="Times New Roman" w:eastAsia="Times New Roman" w:hAnsi="Times New Roman"/>
          <w:sz w:val="20"/>
          <w:szCs w:val="20"/>
        </w:rPr>
        <w:t xml:space="preserve">At the default threshold of 0.5 the detector accepts  99.2% of bona fide clips (19 false alarms in 2,500) but catches only 83.2% of spoofs; 419 spoofed clips are missed (Fig. 5). The error is lopsided: a false-alarm rate of 0.8% against a miss rate of 16.8%. Fig. 6 shows why. Bona fide scores pile up near zero, but a long tail of spoofs sits at low and intermediate scores. At the EER threshold the two error rates match at 6.2%, yet that threshold is as low as 0.0102, and it flags 155 bona fide clips where the default flags 19. Fig. 9 (right) plots both error rates against the threshold; the default 0.5 lies in a region where the miss rate rises steeply.</w:t>
      </w:r>
    </w:p>
    <w:p>
      <w:pPr>
        <w:keepNext/>
        <w:spacing w:after="40" w:before="80"/>
        <w:jc w:val="center"/>
      </w:pPr>
      <w:r>
        <w:drawing>
          <wp:inline distT="0" distB="0" distL="0" distR="0">
            <wp:extent cx="303847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038475" cy="1485900"/>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5. </w:t>
      </w:r>
      <w:r>
        <w:rPr>
          <w:rFonts w:ascii="Times New Roman" w:cs="Times New Roman" w:eastAsia="Times New Roman" w:hAnsi="Times New Roman"/>
          <w:sz w:val="16"/>
          <w:szCs w:val="16"/>
        </w:rPr>
        <w:t xml:space="preserve">Confusion matrices at the default threshold (left) and at the post-hoc EER threshold (right). Cell values give counts and the share of the true class.</w:t>
      </w:r>
    </w:p>
    <w:p>
      <w:pPr>
        <w:keepNext/>
        <w:spacing w:after="40" w:before="80"/>
        <w:jc w:val="center"/>
      </w:pPr>
      <w:r>
        <w:drawing>
          <wp:inline distT="0" distB="0" distL="0" distR="0">
            <wp:extent cx="32004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00400" cy="2076450"/>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6. </w:t>
      </w:r>
      <w:r>
        <w:rPr>
          <w:rFonts w:ascii="Times New Roman" w:cs="Times New Roman" w:eastAsia="Times New Roman" w:hAnsi="Times New Roman"/>
          <w:sz w:val="16"/>
          <w:szCs w:val="16"/>
        </w:rPr>
        <w:t xml:space="preserve">Distribution of predicted spoof probability on the test set (log-scaled counts). The black outline shows A17 spoofs only. The dashed line marks the default threshold and the dash-dot line marks the EER threshold.</w:t>
      </w:r>
    </w:p>
    <w:p>
      <w:pPr>
        <w:keepNext/>
        <w:spacing w:after="40" w:before="100"/>
      </w:pPr>
      <w:r>
        <w:rPr>
          <w:rFonts w:ascii="Times New Roman" w:cs="Times New Roman" w:eastAsia="Times New Roman" w:hAnsi="Times New Roman"/>
          <w:i/>
          <w:iCs/>
          <w:sz w:val="20"/>
          <w:szCs w:val="20"/>
        </w:rPr>
        <w:t xml:space="preserve">D. Behaviour per attack system</w:t>
      </w:r>
    </w:p>
    <w:p>
      <w:pPr>
        <w:spacing w:after="60" w:line="228"/>
        <w:ind w:firstLine="202"/>
        <w:jc w:val="both"/>
      </w:pPr>
      <w:r>
        <w:rPr>
          <w:rFonts w:ascii="Times New Roman" w:cs="Times New Roman" w:eastAsia="Times New Roman" w:hAnsi="Times New Roman"/>
          <w:sz w:val="20"/>
          <w:szCs w:val="20"/>
        </w:rPr>
        <w:t xml:space="preserve">Table V and Fig. 7 break the result down. Eight of thirteen attacks are caught in at least 94% of clips. These include A16 and A19, whose generation algorithms appeared in training; pooled, their EER is 0.3%. The unseen attacks other than A17 trail them, with a pooled EER of 3.3% (AUC 0.995). Familiarity with the algorithm therefore helps, but it is not the whole story: A07–A09 are unseen and are still detected almost perfectly.</w:t>
      </w:r>
    </w:p>
    <w:p>
      <w:pPr>
        <w:spacing w:after="60" w:line="228"/>
        <w:ind w:firstLine="202"/>
        <w:jc w:val="both"/>
      </w:pPr>
      <w:r>
        <w:rPr>
          <w:rFonts w:ascii="Times New Roman" w:cs="Times New Roman" w:eastAsia="Times New Roman" w:hAnsi="Times New Roman"/>
          <w:sz w:val="20"/>
          <w:szCs w:val="20"/>
        </w:rPr>
        <w:t xml:space="preserve">Three groups stand out. A07–A09, A11 and A14 are detected almost perfectly even though they are unseen. A10, A12, A13 and A18 are detected in 64–80% of clips at threshold 0.5 while keeping EERs near 4–5%, which means their scores rank correctly but fall on the wrong side of the default threshold. A17 is different in kind: 1.2% of its clips cross 0.5 and its AUC of 0.725 shows poor ranking as well. It accounts for 169 of the 419 missed spoofs (40%) while making up 7% of the spoofed test clips.</w:t>
      </w:r>
    </w:p>
    <w:p>
      <w:pPr>
        <w:spacing w:after="0" w:before="120"/>
        <w:jc w:val="center"/>
      </w:pPr>
      <w:r>
        <w:rPr>
          <w:rFonts w:ascii="Times New Roman" w:cs="Times New Roman" w:eastAsia="Times New Roman" w:hAnsi="Times New Roman"/>
          <w:smallCaps/>
          <w:sz w:val="16"/>
          <w:szCs w:val="16"/>
        </w:rPr>
        <w:t xml:space="preserve">TABLE V</w:t>
      </w:r>
    </w:p>
    <w:p>
      <w:pPr>
        <w:keepNext/>
        <w:spacing w:after="60"/>
        <w:jc w:val="center"/>
      </w:pPr>
      <w:r>
        <w:rPr>
          <w:rFonts w:ascii="Times New Roman" w:cs="Times New Roman" w:eastAsia="Times New Roman" w:hAnsi="Times New Roman"/>
          <w:smallCaps/>
          <w:sz w:val="16"/>
          <w:szCs w:val="16"/>
        </w:rPr>
        <w:t xml:space="preserve">Per-Attack Results (Each Attack Against All 2,500 Bona Fide Test Clips)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864"/>
        <w:gridCol w:w="576"/>
        <w:gridCol w:w="1728"/>
        <w:gridCol w:w="864"/>
        <w:gridCol w:w="1008"/>
      </w:tblGrid>
      <w:tr>
        <w:trPr>
          <w:cantSplit/>
        </w:trPr>
        <w:tc>
          <w:tcPr>
            <w:tcW w:type="dxa" w:w="864"/>
            <w:tcBorders>
              <w:top w:val="single" w:color="000000" w:sz="8"/>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Attack</w:t>
            </w:r>
          </w:p>
        </w:tc>
        <w:tc>
          <w:tcPr>
            <w:tcW w:type="dxa" w:w="576"/>
            <w:tcBorders>
              <w:top w:val="single" w:color="000000" w:sz="8"/>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i/>
                <w:iCs/>
                <w:sz w:val="16"/>
                <w:szCs w:val="16"/>
              </w:rPr>
              <w:t xml:space="preserve">n</w:t>
            </w:r>
          </w:p>
        </w:tc>
        <w:tc>
          <w:tcPr>
            <w:tcW w:type="dxa" w:w="1728"/>
            <w:tcBorders>
              <w:top w:val="single" w:color="000000" w:sz="8"/>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Detected (%)</w:t>
            </w:r>
          </w:p>
        </w:tc>
        <w:tc>
          <w:tcPr>
            <w:tcW w:type="dxa" w:w="864"/>
            <w:tcBorders>
              <w:top w:val="single" w:color="000000" w:sz="8"/>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AUC</w:t>
            </w:r>
          </w:p>
        </w:tc>
        <w:tc>
          <w:tcPr>
            <w:tcW w:type="dxa" w:w="1008"/>
            <w:tcBorders>
              <w:top w:val="single" w:color="000000" w:sz="8"/>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EER (%)</w:t>
            </w:r>
          </w:p>
        </w:tc>
      </w:tr>
      <w:tr>
        <w:trPr>
          <w:cantSplit/>
        </w:trPr>
        <w:tc>
          <w:tcPr>
            <w:tcW w:type="dxa" w:w="864"/>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A07</w:t>
            </w:r>
          </w:p>
        </w:tc>
        <w:tc>
          <w:tcPr>
            <w:tcW w:type="dxa" w:w="576"/>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194</w:t>
            </w:r>
          </w:p>
        </w:tc>
        <w:tc>
          <w:tcPr>
            <w:tcW w:type="dxa" w:w="1728"/>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100.0</w:t>
            </w:r>
          </w:p>
        </w:tc>
        <w:tc>
          <w:tcPr>
            <w:tcW w:type="dxa" w:w="864"/>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1.0000</w:t>
            </w:r>
          </w:p>
        </w:tc>
        <w:tc>
          <w:tcPr>
            <w:tcW w:type="dxa" w:w="1008"/>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0.06</w:t>
            </w:r>
          </w:p>
        </w:tc>
      </w:tr>
      <w:tr>
        <w:trPr>
          <w:cantSplit/>
        </w:trPr>
        <w:tc>
          <w:tcPr>
            <w:tcW w:type="dxa" w:w="864"/>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A08</w:t>
            </w:r>
          </w:p>
        </w:tc>
        <w:tc>
          <w:tcPr>
            <w:tcW w:type="dxa" w:w="576"/>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182</w:t>
            </w:r>
          </w:p>
        </w:tc>
        <w:tc>
          <w:tcPr>
            <w:tcW w:type="dxa" w:w="1728"/>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100.0</w:t>
            </w:r>
          </w:p>
        </w:tc>
        <w:tc>
          <w:tcPr>
            <w:tcW w:type="dxa" w:w="864"/>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1.0000</w:t>
            </w:r>
          </w:p>
        </w:tc>
        <w:tc>
          <w:tcPr>
            <w:tcW w:type="dxa" w:w="1008"/>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0.08</w:t>
            </w:r>
          </w:p>
        </w:tc>
      </w:tr>
      <w:tr>
        <w:trPr>
          <w:cantSplit/>
        </w:trPr>
        <w:tc>
          <w:tcPr>
            <w:tcW w:type="dxa" w:w="864"/>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A09</w:t>
            </w:r>
          </w:p>
        </w:tc>
        <w:tc>
          <w:tcPr>
            <w:tcW w:type="dxa" w:w="576"/>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189</w:t>
            </w:r>
          </w:p>
        </w:tc>
        <w:tc>
          <w:tcPr>
            <w:tcW w:type="dxa" w:w="1728"/>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100.0</w:t>
            </w:r>
          </w:p>
        </w:tc>
        <w:tc>
          <w:tcPr>
            <w:tcW w:type="dxa" w:w="864"/>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1.0000</w:t>
            </w:r>
          </w:p>
        </w:tc>
        <w:tc>
          <w:tcPr>
            <w:tcW w:type="dxa" w:w="1008"/>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0.10</w:t>
            </w:r>
          </w:p>
        </w:tc>
      </w:tr>
      <w:tr>
        <w:trPr>
          <w:cantSplit/>
        </w:trPr>
        <w:tc>
          <w:tcPr>
            <w:tcW w:type="dxa" w:w="864"/>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A10</w:t>
            </w:r>
          </w:p>
        </w:tc>
        <w:tc>
          <w:tcPr>
            <w:tcW w:type="dxa" w:w="576"/>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209</w:t>
            </w:r>
          </w:p>
        </w:tc>
        <w:tc>
          <w:tcPr>
            <w:tcW w:type="dxa" w:w="1728"/>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69.4</w:t>
            </w:r>
          </w:p>
        </w:tc>
        <w:tc>
          <w:tcPr>
            <w:tcW w:type="dxa" w:w="864"/>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0.9851</w:t>
            </w:r>
          </w:p>
        </w:tc>
        <w:tc>
          <w:tcPr>
            <w:tcW w:type="dxa" w:w="1008"/>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5.19</w:t>
            </w:r>
          </w:p>
        </w:tc>
      </w:tr>
      <w:tr>
        <w:trPr>
          <w:cantSplit/>
        </w:trPr>
        <w:tc>
          <w:tcPr>
            <w:tcW w:type="dxa" w:w="864"/>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A11</w:t>
            </w:r>
          </w:p>
        </w:tc>
        <w:tc>
          <w:tcPr>
            <w:tcW w:type="dxa" w:w="576"/>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197</w:t>
            </w:r>
          </w:p>
        </w:tc>
        <w:tc>
          <w:tcPr>
            <w:tcW w:type="dxa" w:w="1728"/>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100.0</w:t>
            </w:r>
          </w:p>
        </w:tc>
        <w:tc>
          <w:tcPr>
            <w:tcW w:type="dxa" w:w="864"/>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0.9997</w:t>
            </w:r>
          </w:p>
        </w:tc>
        <w:tc>
          <w:tcPr>
            <w:tcW w:type="dxa" w:w="1008"/>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0.79</w:t>
            </w:r>
          </w:p>
        </w:tc>
      </w:tr>
      <w:tr>
        <w:trPr>
          <w:cantSplit/>
        </w:trPr>
        <w:tc>
          <w:tcPr>
            <w:tcW w:type="dxa" w:w="864"/>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A12</w:t>
            </w:r>
          </w:p>
        </w:tc>
        <w:tc>
          <w:tcPr>
            <w:tcW w:type="dxa" w:w="576"/>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205</w:t>
            </w:r>
          </w:p>
        </w:tc>
        <w:tc>
          <w:tcPr>
            <w:tcW w:type="dxa" w:w="1728"/>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79.5</w:t>
            </w:r>
          </w:p>
        </w:tc>
        <w:tc>
          <w:tcPr>
            <w:tcW w:type="dxa" w:w="864"/>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0.9915</w:t>
            </w:r>
          </w:p>
        </w:tc>
        <w:tc>
          <w:tcPr>
            <w:tcW w:type="dxa" w:w="1008"/>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4.30</w:t>
            </w:r>
          </w:p>
        </w:tc>
      </w:tr>
      <w:tr>
        <w:trPr>
          <w:cantSplit/>
        </w:trPr>
        <w:tc>
          <w:tcPr>
            <w:tcW w:type="dxa" w:w="864"/>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A13</w:t>
            </w:r>
          </w:p>
        </w:tc>
        <w:tc>
          <w:tcPr>
            <w:tcW w:type="dxa" w:w="576"/>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204</w:t>
            </w:r>
          </w:p>
        </w:tc>
        <w:tc>
          <w:tcPr>
            <w:tcW w:type="dxa" w:w="1728"/>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64.2</w:t>
            </w:r>
          </w:p>
        </w:tc>
        <w:tc>
          <w:tcPr>
            <w:tcW w:type="dxa" w:w="864"/>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0.9888</w:t>
            </w:r>
          </w:p>
        </w:tc>
        <w:tc>
          <w:tcPr>
            <w:tcW w:type="dxa" w:w="1008"/>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4.41</w:t>
            </w:r>
          </w:p>
        </w:tc>
      </w:tr>
      <w:tr>
        <w:trPr>
          <w:cantSplit/>
        </w:trPr>
        <w:tc>
          <w:tcPr>
            <w:tcW w:type="dxa" w:w="864"/>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A14</w:t>
            </w:r>
          </w:p>
        </w:tc>
        <w:tc>
          <w:tcPr>
            <w:tcW w:type="dxa" w:w="576"/>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182</w:t>
            </w:r>
          </w:p>
        </w:tc>
        <w:tc>
          <w:tcPr>
            <w:tcW w:type="dxa" w:w="1728"/>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100.0</w:t>
            </w:r>
          </w:p>
        </w:tc>
        <w:tc>
          <w:tcPr>
            <w:tcW w:type="dxa" w:w="864"/>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0.9999</w:t>
            </w:r>
          </w:p>
        </w:tc>
        <w:tc>
          <w:tcPr>
            <w:tcW w:type="dxa" w:w="1008"/>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0.45</w:t>
            </w:r>
          </w:p>
        </w:tc>
      </w:tr>
      <w:tr>
        <w:trPr>
          <w:cantSplit/>
        </w:trPr>
        <w:tc>
          <w:tcPr>
            <w:tcW w:type="dxa" w:w="864"/>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A15</w:t>
            </w:r>
          </w:p>
        </w:tc>
        <w:tc>
          <w:tcPr>
            <w:tcW w:type="dxa" w:w="576"/>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189</w:t>
            </w:r>
          </w:p>
        </w:tc>
        <w:tc>
          <w:tcPr>
            <w:tcW w:type="dxa" w:w="1728"/>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94.2</w:t>
            </w:r>
          </w:p>
        </w:tc>
        <w:tc>
          <w:tcPr>
            <w:tcW w:type="dxa" w:w="864"/>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0.9979</w:t>
            </w:r>
          </w:p>
        </w:tc>
        <w:tc>
          <w:tcPr>
            <w:tcW w:type="dxa" w:w="1008"/>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2.14</w:t>
            </w:r>
          </w:p>
        </w:tc>
      </w:tr>
      <w:tr>
        <w:trPr>
          <w:cantSplit/>
        </w:trPr>
        <w:tc>
          <w:tcPr>
            <w:tcW w:type="dxa" w:w="864"/>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A16</w:t>
            </w:r>
            <w:r>
              <w:rPr>
                <w:rFonts w:ascii="Times New Roman" w:cs="Times New Roman" w:eastAsia="Times New Roman" w:hAnsi="Times New Roman"/>
                <w:sz w:val="16"/>
                <w:szCs w:val="16"/>
                <w:vertAlign w:val="superscript"/>
              </w:rPr>
              <w:t xml:space="preserve">†</w:t>
            </w:r>
          </w:p>
        </w:tc>
        <w:tc>
          <w:tcPr>
            <w:tcW w:type="dxa" w:w="576"/>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178</w:t>
            </w:r>
          </w:p>
        </w:tc>
        <w:tc>
          <w:tcPr>
            <w:tcW w:type="dxa" w:w="1728"/>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100.0</w:t>
            </w:r>
          </w:p>
        </w:tc>
        <w:tc>
          <w:tcPr>
            <w:tcW w:type="dxa" w:w="864"/>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0.9999</w:t>
            </w:r>
          </w:p>
        </w:tc>
        <w:tc>
          <w:tcPr>
            <w:tcW w:type="dxa" w:w="1008"/>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0.08</w:t>
            </w:r>
          </w:p>
        </w:tc>
      </w:tr>
      <w:tr>
        <w:trPr>
          <w:cantSplit/>
        </w:trPr>
        <w:tc>
          <w:tcPr>
            <w:tcW w:type="dxa" w:w="864"/>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A17</w:t>
            </w:r>
          </w:p>
        </w:tc>
        <w:tc>
          <w:tcPr>
            <w:tcW w:type="dxa" w:w="576"/>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171</w:t>
            </w:r>
          </w:p>
        </w:tc>
        <w:tc>
          <w:tcPr>
            <w:tcW w:type="dxa" w:w="1728"/>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1.2</w:t>
            </w:r>
          </w:p>
        </w:tc>
        <w:tc>
          <w:tcPr>
            <w:tcW w:type="dxa" w:w="864"/>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0.7248</w:t>
            </w:r>
          </w:p>
        </w:tc>
        <w:tc>
          <w:tcPr>
            <w:tcW w:type="dxa" w:w="1008"/>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34.37</w:t>
            </w:r>
          </w:p>
        </w:tc>
      </w:tr>
      <w:tr>
        <w:trPr>
          <w:cantSplit/>
        </w:trPr>
        <w:tc>
          <w:tcPr>
            <w:tcW w:type="dxa" w:w="864"/>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A18</w:t>
            </w:r>
          </w:p>
        </w:tc>
        <w:tc>
          <w:tcPr>
            <w:tcW w:type="dxa" w:w="576"/>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207</w:t>
            </w:r>
          </w:p>
        </w:tc>
        <w:tc>
          <w:tcPr>
            <w:tcW w:type="dxa" w:w="1728"/>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71.5</w:t>
            </w:r>
          </w:p>
        </w:tc>
        <w:tc>
          <w:tcPr>
            <w:tcW w:type="dxa" w:w="864"/>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0.9884</w:t>
            </w:r>
          </w:p>
        </w:tc>
        <w:tc>
          <w:tcPr>
            <w:tcW w:type="dxa" w:w="1008"/>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4.90</w:t>
            </w:r>
          </w:p>
        </w:tc>
      </w:tr>
      <w:tr>
        <w:trPr>
          <w:cantSplit/>
        </w:trPr>
        <w:tc>
          <w:tcPr>
            <w:tcW w:type="dxa" w:w="864"/>
            <w:tcBorders>
              <w:top w:val="none" w:color="FFFFFF" w:sz="0"/>
              <w:left w:val="none" w:color="FFFFFF" w:sz="0"/>
              <w:bottom w:val="single" w:color="000000" w:sz="8"/>
              <w:right w:val="none" w:color="FFFFFF" w:sz="0"/>
            </w:tcBorders>
            <w:tcMar>
              <w:top w:type="dxa" w:w="15"/>
              <w:left w:type="dxa" w:w="50"/>
              <w:bottom w:type="dxa" w:w="15"/>
              <w:right w:type="dxa" w:w="50"/>
            </w:tcMar>
            <w:vAlign w:val="center"/>
          </w:tcPr>
          <w:p>
            <w:pPr>
              <w:spacing w:after="0" w:line="200"/>
              <w:jc w:val="left"/>
            </w:pPr>
            <w:r>
              <w:rPr>
                <w:rFonts w:ascii="Times New Roman" w:cs="Times New Roman" w:eastAsia="Times New Roman" w:hAnsi="Times New Roman"/>
                <w:sz w:val="16"/>
                <w:szCs w:val="16"/>
              </w:rPr>
              <w:t xml:space="preserve">A19</w:t>
            </w:r>
            <w:r>
              <w:rPr>
                <w:rFonts w:ascii="Times New Roman" w:cs="Times New Roman" w:eastAsia="Times New Roman" w:hAnsi="Times New Roman"/>
                <w:sz w:val="16"/>
                <w:szCs w:val="16"/>
                <w:vertAlign w:val="superscript"/>
              </w:rPr>
              <w:t xml:space="preserve">†</w:t>
            </w:r>
          </w:p>
        </w:tc>
        <w:tc>
          <w:tcPr>
            <w:tcW w:type="dxa" w:w="576"/>
            <w:tcBorders>
              <w:top w:val="none" w:color="FFFFFF" w:sz="0"/>
              <w:left w:val="none" w:color="FFFFFF" w:sz="0"/>
              <w:bottom w:val="single" w:color="000000" w:sz="8"/>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193</w:t>
            </w:r>
          </w:p>
        </w:tc>
        <w:tc>
          <w:tcPr>
            <w:tcW w:type="dxa" w:w="1728"/>
            <w:tcBorders>
              <w:top w:val="none" w:color="FFFFFF" w:sz="0"/>
              <w:left w:val="none" w:color="FFFFFF" w:sz="0"/>
              <w:bottom w:val="single" w:color="000000" w:sz="8"/>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99.5</w:t>
            </w:r>
          </w:p>
        </w:tc>
        <w:tc>
          <w:tcPr>
            <w:tcW w:type="dxa" w:w="864"/>
            <w:tcBorders>
              <w:top w:val="none" w:color="FFFFFF" w:sz="0"/>
              <w:left w:val="none" w:color="FFFFFF" w:sz="0"/>
              <w:bottom w:val="single" w:color="000000" w:sz="8"/>
              <w:right w:val="none" w:color="FFFFFF" w:sz="0"/>
            </w:tcBorders>
            <w:tcMar>
              <w:top w:type="dxa" w:w="15"/>
              <w:left w:type="dxa" w:w="50"/>
              <w:bottom w:type="dxa" w:w="15"/>
              <w:right w:type="dxa" w:w="50"/>
            </w:tcMar>
            <w:vAlign w:val="center"/>
          </w:tcPr>
          <w:p>
            <w:pPr>
              <w:spacing w:after="0" w:line="200"/>
              <w:jc w:val="center"/>
            </w:pPr>
            <w:r>
              <w:rPr>
                <w:rFonts w:ascii="Times New Roman" w:cs="Times New Roman" w:eastAsia="Times New Roman" w:hAnsi="Times New Roman"/>
                <w:sz w:val="16"/>
                <w:szCs w:val="16"/>
              </w:rPr>
              <w:t xml:space="preserve">0.9988</w:t>
            </w:r>
          </w:p>
        </w:tc>
        <w:tc>
          <w:tcPr>
            <w:tcW w:type="dxa" w:w="1008"/>
            <w:tcBorders>
              <w:top w:val="none" w:color="FFFFFF" w:sz="0"/>
              <w:left w:val="none" w:color="FFFFFF" w:sz="0"/>
              <w:bottom w:val="single" w:color="000000" w:sz="8"/>
              <w:right w:val="none" w:color="FFFFFF" w:sz="0"/>
            </w:tcBorders>
            <w:tcMar>
              <w:top w:type="dxa" w:w="15"/>
              <w:left w:type="dxa" w:w="50"/>
              <w:bottom w:type="dxa" w:w="15"/>
              <w:right w:type="dxa" w:w="50"/>
            </w:tcMar>
            <w:vAlign w:val="center"/>
          </w:tcPr>
          <w:p>
            <w:pPr>
              <w:spacing w:after="0" w:line="200"/>
              <w:jc w:val="right"/>
            </w:pPr>
            <w:r>
              <w:rPr>
                <w:rFonts w:ascii="Times New Roman" w:cs="Times New Roman" w:eastAsia="Times New Roman" w:hAnsi="Times New Roman"/>
                <w:sz w:val="16"/>
                <w:szCs w:val="16"/>
              </w:rPr>
              <w:t xml:space="preserve">0.40</w:t>
            </w:r>
          </w:p>
        </w:tc>
      </w:tr>
    </w:tbl>
    <w:p>
      <w:pPr>
        <w:spacing w:after="80" w:before="30"/>
        <w:jc w:val="both"/>
      </w:pPr>
      <w:r>
        <w:rPr>
          <w:rFonts w:ascii="Times New Roman" w:cs="Times New Roman" w:eastAsia="Times New Roman" w:hAnsi="Times New Roman"/>
          <w:sz w:val="14"/>
          <w:szCs w:val="14"/>
          <w:vertAlign w:val="superscript"/>
        </w:rPr>
        <w:t xml:space="preserve">†</w:t>
      </w:r>
      <w:r>
        <w:rPr>
          <w:rFonts w:ascii="Times New Roman" w:cs="Times New Roman" w:eastAsia="Times New Roman" w:hAnsi="Times New Roman"/>
          <w:sz w:val="14"/>
          <w:szCs w:val="14"/>
        </w:rPr>
        <w:t xml:space="preserve">Same generation algorithm as a training attack (A04 / A06). “Detected” uses threshold 0.5.</w:t>
      </w:r>
    </w:p>
    <w:p>
      <w:pPr>
        <w:keepNext/>
        <w:spacing w:after="40" w:before="80"/>
        <w:jc w:val="center"/>
      </w:pPr>
      <w:r>
        <w:drawing>
          <wp:inline distT="0" distB="0" distL="0" distR="0">
            <wp:extent cx="32004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00400" cy="275272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7. </w:t>
      </w:r>
      <w:r>
        <w:rPr>
          <w:rFonts w:ascii="Times New Roman" w:cs="Times New Roman" w:eastAsia="Times New Roman" w:hAnsi="Times New Roman"/>
          <w:sz w:val="16"/>
          <w:szCs w:val="16"/>
        </w:rPr>
        <w:t xml:space="preserve">EER (log scale, top) and detection rate at threshold 0.5 (bottom) for each attack system. The dashed line is the pooled EER.</w:t>
      </w:r>
    </w:p>
    <w:p>
      <w:pPr>
        <w:spacing w:after="60" w:line="228"/>
        <w:ind w:firstLine="202"/>
        <w:jc w:val="both"/>
      </w:pPr>
      <w:r>
        <w:rPr>
          <w:rFonts w:ascii="Times New Roman" w:cs="Times New Roman" w:eastAsia="Times New Roman" w:hAnsi="Times New Roman"/>
          <w:sz w:val="20"/>
          <w:szCs w:val="20"/>
        </w:rPr>
        <w:t xml:space="preserve">Fig. 8 compares score distributions directly. The A17 curve sits to the right of the bona fide curve, which is why its AUC is above 0.5, but both stay low: 77% of A17 clips score below the EER threshold, against 94% of bona fide clips, and about 82% of A17 clips score below the 95th percentile of bona fide scores. The model treats most A17 clips as ordinary speech and does not flag them as uncertain. The remaining attacks are separated from bona fide speech by several orders of magnitude.</w:t>
      </w:r>
    </w:p>
    <w:p>
      <w:pPr>
        <w:keepNext/>
        <w:spacing w:after="40" w:before="80"/>
        <w:jc w:val="center"/>
      </w:pPr>
      <w:r>
        <w:drawing>
          <wp:inline distT="0" distB="0" distL="0" distR="0">
            <wp:extent cx="32004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00400" cy="22002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8. </w:t>
      </w:r>
      <w:r>
        <w:rPr>
          <w:rFonts w:ascii="Times New Roman" w:cs="Times New Roman" w:eastAsia="Times New Roman" w:hAnsi="Times New Roman"/>
          <w:sz w:val="16"/>
          <w:szCs w:val="16"/>
        </w:rPr>
        <w:t xml:space="preserve">Empirical cumulative distribution of predicted spoof probability for bona fide speech and for groups of attacks (log-scaled </w:t>
      </w:r>
      <w:r>
        <w:rPr>
          <w:rFonts w:ascii="Times New Roman" w:cs="Times New Roman" w:eastAsia="Times New Roman" w:hAnsi="Times New Roman"/>
          <w:i/>
          <w:iCs/>
          <w:sz w:val="16"/>
          <w:szCs w:val="16"/>
        </w:rPr>
        <w:t xml:space="preserve">x</w:t>
      </w:r>
      <w:r>
        <w:rPr>
          <w:rFonts w:ascii="Times New Roman" w:cs="Times New Roman" w:eastAsia="Times New Roman" w:hAnsi="Times New Roman"/>
          <w:sz w:val="16"/>
          <w:szCs w:val="16"/>
        </w:rPr>
        <w:t xml:space="preserve"> axis). Dashed and dotted vertical lines mark thresholds 0.5 and 0.0102.</w:t>
      </w:r>
    </w:p>
    <w:p>
      <w:pPr>
        <w:keepNext/>
        <w:spacing w:after="40" w:before="100"/>
      </w:pPr>
      <w:r>
        <w:rPr>
          <w:rFonts w:ascii="Times New Roman" w:cs="Times New Roman" w:eastAsia="Times New Roman" w:hAnsi="Times New Roman"/>
          <w:i/>
          <w:iCs/>
          <w:sz w:val="20"/>
          <w:szCs w:val="20"/>
        </w:rPr>
        <w:t xml:space="preserve">E. Calibration</w:t>
      </w:r>
    </w:p>
    <w:p>
      <w:pPr>
        <w:spacing w:after="60" w:line="228"/>
        <w:ind w:firstLine="202"/>
        <w:jc w:val="both"/>
      </w:pPr>
      <w:r>
        <w:rPr>
          <w:rFonts w:ascii="Times New Roman" w:cs="Times New Roman" w:eastAsia="Times New Roman" w:hAnsi="Times New Roman"/>
          <w:sz w:val="20"/>
          <w:szCs w:val="20"/>
        </w:rPr>
        <w:t xml:space="preserve">The reliability curve in Fig. 9 (left) departs clearly from the diagonal, with an ECE of 0.083. The largest deviation comes from the lowest-probability bin, which supplies about 0.049 of the 0.083 total. It holds 2,683 clips, of which 253 (9.4%) are spoofs, although the mean predicted probability in the bin is 0.002. In other words, a score near zero is not a reliable promise of authenticity on unseen attacks. This is consistent with the general finding that modern networks are poorly calibrated [29], with the specific pattern here being an under-estimate of spoof risk at the low end of the score range.</w:t>
      </w:r>
    </w:p>
    <w:p>
      <w:pPr>
        <w:keepNext/>
        <w:spacing w:after="40" w:before="80"/>
        <w:jc w:val="center"/>
      </w:pPr>
      <w:r>
        <w:drawing>
          <wp:inline distT="0" distB="0" distL="0" distR="0">
            <wp:extent cx="32004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00400" cy="1581150"/>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9. </w:t>
      </w:r>
      <w:r>
        <w:rPr>
          <w:rFonts w:ascii="Times New Roman" w:cs="Times New Roman" w:eastAsia="Times New Roman" w:hAnsi="Times New Roman"/>
          <w:sz w:val="16"/>
          <w:szCs w:val="16"/>
        </w:rPr>
        <w:t xml:space="preserve">Left: reliability curve with 15 bins. Right: false-alarm and miss rates as a function of the decision threshold (log scale). Vertical lines mark threshold 0.5 (dashed) and the EER threshold (dash-dot).</w:t>
      </w:r>
    </w:p>
    <w:p>
      <w:pPr>
        <w:keepNext/>
        <w:spacing w:after="40" w:before="100"/>
      </w:pPr>
      <w:r>
        <w:rPr>
          <w:rFonts w:ascii="Times New Roman" w:cs="Times New Roman" w:eastAsia="Times New Roman" w:hAnsi="Times New Roman"/>
          <w:i/>
          <w:iCs/>
          <w:sz w:val="20"/>
          <w:szCs w:val="20"/>
        </w:rPr>
        <w:t xml:space="preserve">F. Qualitative explanation</w:t>
      </w:r>
    </w:p>
    <w:p>
      <w:pPr>
        <w:spacing w:after="60" w:line="228"/>
        <w:ind w:firstLine="202"/>
        <w:jc w:val="both"/>
      </w:pPr>
      <w:r>
        <w:rPr>
          <w:rFonts w:ascii="Times New Roman" w:cs="Times New Roman" w:eastAsia="Times New Roman" w:hAnsi="Times New Roman"/>
          <w:sz w:val="20"/>
          <w:szCs w:val="20"/>
        </w:rPr>
        <w:t xml:space="preserve">Fig. 10 shows a Grad-CAM overlay for a clip synthesised with a built-in operating-system text-to-speech voice. The clip was run through the public demo and is not part of the evaluation set; the model scored it as spoofed with probability near 1. The strongest response covers a mid-band region in the first half of the window. We offer this only as an illustration of the interface. No faithfulness test, such as parameter randomisation [28], has been run on the trained model, and a 4</w:t>
      </w:r>
      <w:r>
        <w:rPr>
          <w:rFonts w:ascii="Times New Roman" w:cs="Times New Roman" w:eastAsia="Times New Roman" w:hAnsi="Times New Roman"/>
          <w:i w:val="false"/>
          <w:iCs w:val="false"/>
          <w:sz w:val="20"/>
          <w:szCs w:val="20"/>
        </w:rPr>
        <w:t xml:space="preserve">×</w:t>
      </w:r>
      <w:r>
        <w:rPr>
          <w:rFonts w:ascii="Times New Roman" w:cs="Times New Roman" w:eastAsia="Times New Roman" w:hAnsi="Times New Roman"/>
          <w:sz w:val="20"/>
          <w:szCs w:val="20"/>
        </w:rPr>
        <w:t xml:space="preserve">13 map cannot localise individual artefacts.</w:t>
      </w:r>
    </w:p>
    <w:p>
      <w:pPr>
        <w:keepNext/>
        <w:spacing w:after="40" w:before="80"/>
        <w:jc w:val="center"/>
      </w:pPr>
      <w:r>
        <w:drawing>
          <wp:inline distT="0" distB="0" distL="0" distR="0">
            <wp:extent cx="32004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00400" cy="92392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10. </w:t>
      </w:r>
      <w:r>
        <w:rPr>
          <w:rFonts w:ascii="Times New Roman" w:cs="Times New Roman" w:eastAsia="Times New Roman" w:hAnsi="Times New Roman"/>
          <w:sz w:val="16"/>
          <w:szCs w:val="16"/>
        </w:rPr>
        <w:t xml:space="preserve">Grad-CAM overlay on the log-mel spectrogram for an informal demonstration clip (system text-to-speech, outside the test set). Warm colours indicate regions that raised the spoof score.</w:t>
      </w:r>
    </w:p>
    <w:p>
      <w:pPr>
        <w:keepNext/>
        <w:spacing w:after="80" w:before="160"/>
        <w:jc w:val="center"/>
      </w:pPr>
      <w:r>
        <w:rPr>
          <w:rFonts w:ascii="Times New Roman" w:cs="Times New Roman" w:eastAsia="Times New Roman" w:hAnsi="Times New Roman"/>
          <w:smallCaps w:val="false"/>
          <w:sz w:val="20"/>
          <w:szCs w:val="20"/>
        </w:rPr>
        <w:t xml:space="preserve">VI. DISCUSSION</w:t>
      </w:r>
    </w:p>
    <w:p>
      <w:pPr>
        <w:spacing w:after="60" w:line="228"/>
        <w:ind w:firstLine="202"/>
        <w:jc w:val="both"/>
      </w:pPr>
      <w:r>
        <w:rPr>
          <w:rFonts w:ascii="Times New Roman" w:cs="Times New Roman" w:eastAsia="Times New Roman" w:hAnsi="Times New Roman"/>
          <w:i/>
          <w:iCs/>
          <w:sz w:val="20"/>
          <w:szCs w:val="20"/>
        </w:rPr>
        <w:t xml:space="preserve">Why validation failed.</w:t>
      </w:r>
      <w:r>
        <w:rPr>
          <w:rFonts w:ascii="Times New Roman" w:cs="Times New Roman" w:eastAsia="Times New Roman" w:hAnsi="Times New Roman"/>
          <w:sz w:val="20"/>
          <w:szCs w:val="20"/>
        </w:rPr>
        <w:t xml:space="preserve"> The development partition reuses the training attacks, so validation AUC saturated at 1.0 and offered no basis for choosing a checkpoint or a threshold. Any checkpoint after epoch 2 looked equally good, while test behaviour on unseen attacks may differ between them. A validation split built by holding out whole attack families, for instance leave-one-attack-out, would restore a useful signal; this is the most important methodological change we would make.</w:t>
      </w:r>
    </w:p>
    <w:p>
      <w:pPr>
        <w:spacing w:after="60" w:line="228"/>
        <w:ind w:firstLine="202"/>
        <w:jc w:val="both"/>
      </w:pPr>
      <w:r>
        <w:rPr>
          <w:rFonts w:ascii="Times New Roman" w:cs="Times New Roman" w:eastAsia="Times New Roman" w:hAnsi="Times New Roman"/>
          <w:i/>
          <w:iCs/>
          <w:sz w:val="20"/>
          <w:szCs w:val="20"/>
        </w:rPr>
        <w:t xml:space="preserve">A17.</w:t>
      </w:r>
      <w:r>
        <w:rPr>
          <w:rFonts w:ascii="Times New Roman" w:cs="Times New Roman" w:eastAsia="Times New Roman" w:hAnsi="Times New Roman"/>
          <w:sz w:val="20"/>
          <w:szCs w:val="20"/>
        </w:rPr>
        <w:t xml:space="preserve"> The dataset paper describes A17 as a voice-conversion system that shares its VAE-based acoustic model with training attack A05 but replaces the WORLD vocoder with direct waveform filtering [4]. Baseline GMM countermeasures distributed with the dataset also struggled with A17, A13 and A10 [4], so its difficulty is not unique to our model. Our results do not isolate a cause. A13, which also uses waveform filtering, is detected with an EER of 4.4%, and A18, which also converts human speech, reaches 4.9%, so neither the vocoder family nor the human-source input explains A17 alone. One hypothesis is that filtering a genuine utterance leaves the fine structure of natural speech largely intact, giving a vocoder-artefact detector little to find. Testing it would need ablations that we have not run.</w:t>
      </w:r>
    </w:p>
    <w:p>
      <w:pPr>
        <w:spacing w:after="60" w:line="228"/>
        <w:ind w:firstLine="202"/>
        <w:jc w:val="both"/>
      </w:pPr>
      <w:r>
        <w:rPr>
          <w:rFonts w:ascii="Times New Roman" w:cs="Times New Roman" w:eastAsia="Times New Roman" w:hAnsi="Times New Roman"/>
          <w:i/>
          <w:iCs/>
          <w:sz w:val="20"/>
          <w:szCs w:val="20"/>
        </w:rPr>
        <w:t xml:space="preserve">Threshold.</w:t>
      </w:r>
      <w:r>
        <w:rPr>
          <w:rFonts w:ascii="Times New Roman" w:cs="Times New Roman" w:eastAsia="Times New Roman" w:hAnsi="Times New Roman"/>
          <w:sz w:val="20"/>
          <w:szCs w:val="20"/>
        </w:rPr>
        <w:t xml:space="preserve"> The gap between the default threshold and the EER threshold, and the large shift between them (0.5 versus 0.0102), mean that reporting accuracy at 0.5 alone would hide the real sensitivity. A deployable threshold must come from data that contain unseen attacks, which again points to a better validation design.</w:t>
      </w:r>
    </w:p>
    <w:p>
      <w:pPr>
        <w:spacing w:after="60" w:line="228"/>
        <w:ind w:firstLine="202"/>
        <w:jc w:val="both"/>
      </w:pPr>
      <w:r>
        <w:rPr>
          <w:rFonts w:ascii="Times New Roman" w:cs="Times New Roman" w:eastAsia="Times New Roman" w:hAnsi="Times New Roman"/>
          <w:i/>
          <w:iCs/>
          <w:sz w:val="20"/>
          <w:szCs w:val="20"/>
        </w:rPr>
        <w:t xml:space="preserve">Comparability.</w:t>
      </w:r>
      <w:r>
        <w:rPr>
          <w:rFonts w:ascii="Times New Roman" w:cs="Times New Roman" w:eastAsia="Times New Roman" w:hAnsi="Times New Roman"/>
          <w:sz w:val="20"/>
          <w:szCs w:val="20"/>
        </w:rPr>
        <w:t xml:space="preserve"> Results use a 5,000-clip subset per partition and a single seed, so they should not be compared with published full-benchmark EERs. Our random subset also changes the per-attack mix relative to the full evaluation partition.</w:t>
      </w:r>
    </w:p>
    <w:p>
      <w:pPr>
        <w:spacing w:after="60" w:line="228"/>
        <w:ind w:firstLine="202"/>
        <w:jc w:val="both"/>
      </w:pPr>
      <w:r>
        <w:rPr>
          <w:rFonts w:ascii="Times New Roman" w:cs="Times New Roman" w:eastAsia="Times New Roman" w:hAnsi="Times New Roman"/>
          <w:i/>
          <w:iCs/>
          <w:sz w:val="20"/>
          <w:szCs w:val="20"/>
        </w:rPr>
        <w:t xml:space="preserve">Out-of-domain behaviour.</w:t>
      </w:r>
      <w:r>
        <w:rPr>
          <w:rFonts w:ascii="Times New Roman" w:cs="Times New Roman" w:eastAsia="Times New Roman" w:hAnsi="Times New Roman"/>
          <w:sz w:val="20"/>
          <w:szCs w:val="20"/>
        </w:rPr>
        <w:t xml:space="preserve"> In an informal check through the demo, two clips from a built-in text-to-speech voice were both flagged as spoofed. No out-of-domain bona fide recording has been tested, so the false-alarm rate on everyday microphones is unknown; this check is not evidence of generalisation.</w:t>
      </w:r>
    </w:p>
    <w:p>
      <w:pPr>
        <w:spacing w:after="60" w:line="228"/>
        <w:ind w:firstLine="202"/>
        <w:jc w:val="both"/>
      </w:pPr>
      <w:r>
        <w:rPr>
          <w:rFonts w:ascii="Times New Roman" w:cs="Times New Roman" w:eastAsia="Times New Roman" w:hAnsi="Times New Roman"/>
          <w:i/>
          <w:iCs/>
          <w:sz w:val="20"/>
          <w:szCs w:val="20"/>
        </w:rPr>
        <w:t xml:space="preserve">Threats to validity.</w:t>
      </w:r>
      <w:r>
        <w:rPr>
          <w:rFonts w:ascii="Times New Roman" w:cs="Times New Roman" w:eastAsia="Times New Roman" w:hAnsi="Times New Roman"/>
          <w:sz w:val="20"/>
          <w:szCs w:val="20"/>
        </w:rPr>
        <w:t xml:space="preserve"> Bootstrap intervals reflect test-sample variation, not seed variation. Each attack has fewer than 210 test clips, so per-attack EERs below 1% rest on very few errors and should be read as “small” rather than as precise values. The balanced subset also removes the class imbalance found in the full protocol, which affects precision-type metrics.</w:t>
      </w:r>
    </w:p>
    <w:p>
      <w:pPr>
        <w:spacing w:after="60" w:line="228"/>
        <w:ind w:firstLine="202"/>
        <w:jc w:val="both"/>
      </w:pPr>
      <w:r>
        <w:rPr>
          <w:rFonts w:ascii="Times New Roman" w:cs="Times New Roman" w:eastAsia="Times New Roman" w:hAnsi="Times New Roman"/>
          <w:i/>
          <w:iCs/>
          <w:sz w:val="20"/>
          <w:szCs w:val="20"/>
        </w:rPr>
        <w:t xml:space="preserve">What remains.</w:t>
      </w:r>
      <w:r>
        <w:rPr>
          <w:rFonts w:ascii="Times New Roman" w:cs="Times New Roman" w:eastAsia="Times New Roman" w:hAnsi="Times New Roman"/>
          <w:sz w:val="20"/>
          <w:szCs w:val="20"/>
        </w:rPr>
        <w:t xml:space="preserve"> The face branch, both fusion schemes, the degradation protocol and the fused Grad-CAM analysis are implemented and tested on synthetic inputs but have not been run on real audio-visual data. Until they are, nothing in this paper supports a claim that fusion improves detection or that robust training helps.</w:t>
      </w:r>
    </w:p>
    <w:p>
      <w:pPr>
        <w:keepNext/>
        <w:spacing w:after="80" w:before="160"/>
        <w:jc w:val="center"/>
      </w:pPr>
      <w:r>
        <w:rPr>
          <w:rFonts w:ascii="Times New Roman" w:cs="Times New Roman" w:eastAsia="Times New Roman" w:hAnsi="Times New Roman"/>
          <w:smallCaps w:val="false"/>
          <w:sz w:val="20"/>
          <w:szCs w:val="20"/>
        </w:rPr>
        <w:t xml:space="preserve">VII. CONCLUSION</w:t>
      </w:r>
    </w:p>
    <w:p>
      <w:pPr>
        <w:spacing w:after="60" w:line="228"/>
        <w:ind w:firstLine="202"/>
        <w:jc w:val="both"/>
      </w:pPr>
      <w:r>
        <w:rPr>
          <w:rFonts w:ascii="Times New Roman" w:cs="Times New Roman" w:eastAsia="Times New Roman" w:hAnsi="Times New Roman"/>
          <w:sz w:val="20"/>
          <w:szCs w:val="20"/>
        </w:rPr>
        <w:t xml:space="preserve">We presented a modular audio-visual deepfake detector together with its training, stress-testing and explanation tooling, and reported the first completed experiment, a ResNet-18 voice branch on a balanced ASVspoof 2019 LA subset. The model separates bona fide from spoofed speech well overall (AUC 0.977, EER 6.2%), but one unseen attack, A17, is mostly treated as genuine speech, and a default threshold of 0.5 misses a sixth of all spoofs. Because validation shared its attacks with training, it predicted none of this. Next steps are to run the face, fusion and robustness experiments on FakeAVCeleb and Celeb-DF, to build validation sets with held-out attack families, to calibrate thresholds on such sets, and to compare the current spectrogram CNN with self-supervised and graph-attention countermeasures [17], [18].</w:t>
      </w:r>
    </w:p>
    <w:p>
      <w:pPr>
        <w:keepNext/>
        <w:spacing w:after="80" w:before="160"/>
        <w:jc w:val="center"/>
      </w:pPr>
      <w:r>
        <w:rPr>
          <w:rFonts w:ascii="Times New Roman" w:cs="Times New Roman" w:eastAsia="Times New Roman" w:hAnsi="Times New Roman"/>
          <w:smallCaps w:val="false"/>
          <w:sz w:val="20"/>
          <w:szCs w:val="20"/>
        </w:rPr>
        <w:t xml:space="preserve">REPRODUCIBILITY</w:t>
      </w:r>
    </w:p>
    <w:p>
      <w:pPr>
        <w:spacing w:after="60" w:line="228"/>
        <w:ind w:firstLine="202"/>
        <w:jc w:val="both"/>
      </w:pPr>
      <w:r>
        <w:rPr>
          <w:rFonts w:ascii="Times New Roman" w:cs="Times New Roman" w:eastAsia="Times New Roman" w:hAnsi="Times New Roman"/>
          <w:sz w:val="20"/>
          <w:szCs w:val="20"/>
        </w:rPr>
        <w:t xml:space="preserve">Code, tests, notebooks and the trained voice checkpoint are available at https://github.com/tanishq1101/robust-multimodal-deepfake. Every number in Section V is computed from the run's saved </w:t>
      </w:r>
      <w:r>
        <w:rPr>
          <w:rFonts w:ascii="Courier New" w:cs="Courier New" w:eastAsia="Courier New" w:hAnsi="Courier New"/>
          <w:sz w:val="20"/>
          <w:szCs w:val="20"/>
        </w:rPr>
        <w:t xml:space="preserve">history.csv</w:t>
      </w:r>
      <w:r>
        <w:rPr>
          <w:rFonts w:ascii="Times New Roman" w:cs="Times New Roman" w:eastAsia="Times New Roman" w:hAnsi="Times New Roman"/>
          <w:sz w:val="20"/>
          <w:szCs w:val="20"/>
        </w:rPr>
        <w:t xml:space="preserve">, </w:t>
      </w:r>
      <w:r>
        <w:rPr>
          <w:rFonts w:ascii="Courier New" w:cs="Courier New" w:eastAsia="Courier New" w:hAnsi="Courier New"/>
          <w:sz w:val="20"/>
          <w:szCs w:val="20"/>
        </w:rPr>
        <w:t xml:space="preserve">predictions.csv</w:t>
      </w:r>
      <w:r>
        <w:rPr>
          <w:rFonts w:ascii="Times New Roman" w:cs="Times New Roman" w:eastAsia="Times New Roman" w:hAnsi="Times New Roman"/>
          <w:sz w:val="20"/>
          <w:szCs w:val="20"/>
        </w:rPr>
        <w:t xml:space="preserve"> and </w:t>
      </w:r>
      <w:r>
        <w:rPr>
          <w:rFonts w:ascii="Courier New" w:cs="Courier New" w:eastAsia="Courier New" w:hAnsi="Courier New"/>
          <w:sz w:val="20"/>
          <w:szCs w:val="20"/>
        </w:rPr>
        <w:t xml:space="preserve">metrics.json</w:t>
      </w:r>
      <w:r>
        <w:rPr>
          <w:rFonts w:ascii="Times New Roman" w:cs="Times New Roman" w:eastAsia="Times New Roman" w:hAnsi="Times New Roman"/>
          <w:sz w:val="20"/>
          <w:szCs w:val="20"/>
        </w:rPr>
        <w:t xml:space="preserve"> by </w:t>
      </w:r>
      <w:r>
        <w:rPr>
          <w:rFonts w:ascii="Courier New" w:cs="Courier New" w:eastAsia="Courier New" w:hAnsi="Courier New"/>
          <w:sz w:val="20"/>
          <w:szCs w:val="20"/>
        </w:rPr>
        <w:t xml:space="preserve">paper/make_figures.py</w:t>
      </w:r>
      <w:r>
        <w:rPr>
          <w:rFonts w:ascii="Times New Roman" w:cs="Times New Roman" w:eastAsia="Times New Roman" w:hAnsi="Times New Roman"/>
          <w:sz w:val="20"/>
          <w:szCs w:val="20"/>
        </w:rPr>
        <w:t xml:space="preserve">. The interactive demo uses Gradio [44].</w:t>
      </w:r>
    </w:p>
    <w:p>
      <w:pPr>
        <w:keepNext/>
        <w:spacing w:after="80" w:before="160"/>
        <w:jc w:val="center"/>
      </w:pPr>
      <w:r>
        <w:rPr>
          <w:rFonts w:ascii="Times New Roman" w:cs="Times New Roman" w:eastAsia="Times New Roman" w:hAnsi="Times New Roman"/>
          <w:sz w:val="20"/>
          <w:szCs w:val="20"/>
        </w:rPr>
        <w:t xml:space="preserve">REFERENCES</w:t>
      </w:r>
    </w:p>
    <w:p>
      <w:pPr>
        <w:tabs>
          <w:tab w:val="left" w:pos="360"/>
        </w:tabs>
        <w:spacing w:after="20" w:line="20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A. Rössler, D. Cozzolino, L. Verdoliva, C. Riess, J. Thies, and M. Nießner, “FaceForensics++: Learning to detect manipulated facial images,” in </w:t>
      </w:r>
      <w:r>
        <w:rPr>
          <w:rFonts w:ascii="Times New Roman" w:cs="Times New Roman" w:eastAsia="Times New Roman" w:hAnsi="Times New Roman"/>
          <w:i/>
          <w:iCs/>
          <w:sz w:val="16"/>
          <w:szCs w:val="16"/>
        </w:rPr>
        <w:t xml:space="preserve">Proc. IEEE/CVF Int. Conf. Comput. Vis. (ICCV)</w:t>
      </w:r>
      <w:r>
        <w:rPr>
          <w:rFonts w:ascii="Times New Roman" w:cs="Times New Roman" w:eastAsia="Times New Roman" w:hAnsi="Times New Roman"/>
          <w:sz w:val="16"/>
          <w:szCs w:val="16"/>
        </w:rPr>
        <w:t xml:space="preserve">, 2019, arXiv:1901.08971.</w:t>
      </w:r>
    </w:p>
    <w:p>
      <w:pPr>
        <w:tabs>
          <w:tab w:val="left" w:pos="360"/>
        </w:tabs>
        <w:spacing w:after="20" w:line="20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Y. Li, X. Yang, P. Sun, H. Qi, and S. Lyu, “Celeb-DF: A large-scale challenging dataset for DeepFake forensics,” in </w:t>
      </w:r>
      <w:r>
        <w:rPr>
          <w:rFonts w:ascii="Times New Roman" w:cs="Times New Roman" w:eastAsia="Times New Roman" w:hAnsi="Times New Roman"/>
          <w:i/>
          <w:iCs/>
          <w:sz w:val="16"/>
          <w:szCs w:val="16"/>
        </w:rPr>
        <w:t xml:space="preserve">Proc. IEEE/CVF Conf. Comput. Vis. Pattern Recognit. (CVPR)</w:t>
      </w:r>
      <w:r>
        <w:rPr>
          <w:rFonts w:ascii="Times New Roman" w:cs="Times New Roman" w:eastAsia="Times New Roman" w:hAnsi="Times New Roman"/>
          <w:sz w:val="16"/>
          <w:szCs w:val="16"/>
        </w:rPr>
        <w:t xml:space="preserve">, 2020, pp. 3207–3216.</w:t>
      </w:r>
    </w:p>
    <w:p>
      <w:pPr>
        <w:tabs>
          <w:tab w:val="left" w:pos="360"/>
        </w:tabs>
        <w:spacing w:after="20" w:line="20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B. Dolhansky, J. Bitton, B. Pflaum, J. Lu, R. Howes, M. Wang, and C. Canton Ferrer, “The DeepFake detection challenge (DFDC) dataset,” </w:t>
      </w:r>
      <w:r>
        <w:rPr>
          <w:rFonts w:ascii="Times New Roman" w:cs="Times New Roman" w:eastAsia="Times New Roman" w:hAnsi="Times New Roman"/>
          <w:i/>
          <w:iCs/>
          <w:sz w:val="16"/>
          <w:szCs w:val="16"/>
        </w:rPr>
        <w:t xml:space="preserve">arXiv preprint arXiv:2006.07397</w:t>
      </w:r>
      <w:r>
        <w:rPr>
          <w:rFonts w:ascii="Times New Roman" w:cs="Times New Roman" w:eastAsia="Times New Roman" w:hAnsi="Times New Roman"/>
          <w:sz w:val="16"/>
          <w:szCs w:val="16"/>
        </w:rPr>
        <w:t xml:space="preserve">, 2020.</w:t>
      </w:r>
    </w:p>
    <w:p>
      <w:pPr>
        <w:tabs>
          <w:tab w:val="left" w:pos="360"/>
        </w:tabs>
        <w:spacing w:after="20" w:line="20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X. Wang, J. Yamagishi, M. Todisco, H. Delgado, A. Nautsch, N. Evans, M. Sahidullah, V. Vestman, T. Kinnunen, K. A. Lee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“ASVspoof 2019: A large-scale public database of synthesized, converted and replayed speech,” </w:t>
      </w:r>
      <w:r>
        <w:rPr>
          <w:rFonts w:ascii="Times New Roman" w:cs="Times New Roman" w:eastAsia="Times New Roman" w:hAnsi="Times New Roman"/>
          <w:i/>
          <w:iCs/>
          <w:sz w:val="16"/>
          <w:szCs w:val="16"/>
        </w:rPr>
        <w:t xml:space="preserve">Comput. Speech Lang.</w:t>
      </w:r>
      <w:r>
        <w:rPr>
          <w:rFonts w:ascii="Times New Roman" w:cs="Times New Roman" w:eastAsia="Times New Roman" w:hAnsi="Times New Roman"/>
          <w:sz w:val="16"/>
          <w:szCs w:val="16"/>
        </w:rPr>
        <w:t xml:space="preserve">, vol. 64, p. 101114, 2020.</w:t>
      </w:r>
    </w:p>
    <w:p>
      <w:pPr>
        <w:tabs>
          <w:tab w:val="left" w:pos="360"/>
        </w:tabs>
        <w:spacing w:after="20" w:line="20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Z. Yan, Y. Zhang, X. Yuan, S. Lyu, and B. Wu, “DeepfakeBench: A comprehensive benchmark of deepfake detection,” in </w:t>
      </w:r>
      <w:r>
        <w:rPr>
          <w:rFonts w:ascii="Times New Roman" w:cs="Times New Roman" w:eastAsia="Times New Roman" w:hAnsi="Times New Roman"/>
          <w:i/>
          <w:iCs/>
          <w:sz w:val="16"/>
          <w:szCs w:val="16"/>
        </w:rPr>
        <w:t xml:space="preserve">Proc. NeurIPS Datasets and Benchmarks Track</w:t>
      </w:r>
      <w:r>
        <w:rPr>
          <w:rFonts w:ascii="Times New Roman" w:cs="Times New Roman" w:eastAsia="Times New Roman" w:hAnsi="Times New Roman"/>
          <w:sz w:val="16"/>
          <w:szCs w:val="16"/>
        </w:rPr>
        <w:t xml:space="preserve">, 2023.</w:t>
      </w:r>
    </w:p>
    <w:p>
      <w:pPr>
        <w:tabs>
          <w:tab w:val="left" w:pos="360"/>
        </w:tabs>
        <w:spacing w:after="20" w:line="20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N. M. Müller, P. Czempin, F. Dieckmann, A. Froghyar, and K. Böttinger, “Does audio deepfake detection generalize?” </w:t>
      </w:r>
      <w:r>
        <w:rPr>
          <w:rFonts w:ascii="Times New Roman" w:cs="Times New Roman" w:eastAsia="Times New Roman" w:hAnsi="Times New Roman"/>
          <w:i/>
          <w:iCs/>
          <w:sz w:val="16"/>
          <w:szCs w:val="16"/>
        </w:rPr>
        <w:t xml:space="preserve">arXiv preprint arXiv:2203.16263</w:t>
      </w:r>
      <w:r>
        <w:rPr>
          <w:rFonts w:ascii="Times New Roman" w:cs="Times New Roman" w:eastAsia="Times New Roman" w:hAnsi="Times New Roman"/>
          <w:sz w:val="16"/>
          <w:szCs w:val="16"/>
        </w:rPr>
        <w:t xml:space="preserve">, 2022, presented at Interspeech 2022.</w:t>
      </w:r>
    </w:p>
    <w:p>
      <w:pPr>
        <w:tabs>
          <w:tab w:val="left" w:pos="360"/>
        </w:tabs>
        <w:spacing w:after="20" w:line="20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N. A. Chandra, H. Lee, R. Murtfeldt, L. Qiu, A. Karmakar, E. Tanumihardja, K. Farhat, B. Caffee, C. Lee, J. Choi, S. Paik, A. Kim, and O. Etzioni, “Deepfake-Eval-2024: A multi-modal in-the-wild benchmark of deepfakes circulated in 2024,” </w:t>
      </w:r>
      <w:r>
        <w:rPr>
          <w:rFonts w:ascii="Times New Roman" w:cs="Times New Roman" w:eastAsia="Times New Roman" w:hAnsi="Times New Roman"/>
          <w:i/>
          <w:iCs/>
          <w:sz w:val="16"/>
          <w:szCs w:val="16"/>
        </w:rPr>
        <w:t xml:space="preserve">arXiv preprint arXiv:2503.02857</w:t>
      </w:r>
      <w:r>
        <w:rPr>
          <w:rFonts w:ascii="Times New Roman" w:cs="Times New Roman" w:eastAsia="Times New Roman" w:hAnsi="Times New Roman"/>
          <w:sz w:val="16"/>
          <w:szCs w:val="16"/>
        </w:rPr>
        <w:t xml:space="preserve">, 2025.</w:t>
      </w:r>
    </w:p>
    <w:p>
      <w:pPr>
        <w:tabs>
          <w:tab w:val="left" w:pos="360"/>
        </w:tabs>
        <w:spacing w:after="20" w:line="200"/>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M. Todisco, X. Wang, V. Vestman, M. Sahidullah, H. Delgado, A. Nautsch, J. Yamagishi, N. Evans, T. Kinnunen, and K. A. Lee, “ASVspoof 2019: Future horizons in spoofed and fake audio detection,” in </w:t>
      </w:r>
      <w:r>
        <w:rPr>
          <w:rFonts w:ascii="Times New Roman" w:cs="Times New Roman" w:eastAsia="Times New Roman" w:hAnsi="Times New Roman"/>
          <w:i/>
          <w:iCs/>
          <w:sz w:val="16"/>
          <w:szCs w:val="16"/>
        </w:rPr>
        <w:t xml:space="preserve">Proc. Interspeech</w:t>
      </w:r>
      <w:r>
        <w:rPr>
          <w:rFonts w:ascii="Times New Roman" w:cs="Times New Roman" w:eastAsia="Times New Roman" w:hAnsi="Times New Roman"/>
          <w:sz w:val="16"/>
          <w:szCs w:val="16"/>
        </w:rPr>
        <w:t xml:space="preserve">, 2019, arXiv:1904.05441.</w:t>
      </w:r>
    </w:p>
    <w:p>
      <w:pPr>
        <w:tabs>
          <w:tab w:val="left" w:pos="360"/>
        </w:tabs>
        <w:spacing w:after="20" w:line="200"/>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H. Khalid, S. Tariq, M. Kim, and S. S. Woo, “FakeAVCeleb: A novel audio-video multimodal deepfake dataset,” in </w:t>
      </w:r>
      <w:r>
        <w:rPr>
          <w:rFonts w:ascii="Times New Roman" w:cs="Times New Roman" w:eastAsia="Times New Roman" w:hAnsi="Times New Roman"/>
          <w:i/>
          <w:iCs/>
          <w:sz w:val="16"/>
          <w:szCs w:val="16"/>
        </w:rPr>
        <w:t xml:space="preserve">Proc. NeurIPS Datasets and Benchmarks Track</w:t>
      </w:r>
      <w:r>
        <w:rPr>
          <w:rFonts w:ascii="Times New Roman" w:cs="Times New Roman" w:eastAsia="Times New Roman" w:hAnsi="Times New Roman"/>
          <w:sz w:val="16"/>
          <w:szCs w:val="16"/>
        </w:rPr>
        <w:t xml:space="preserve">, 2021.</w:t>
      </w:r>
    </w:p>
    <w:p>
      <w:pPr>
        <w:tabs>
          <w:tab w:val="left" w:pos="360"/>
        </w:tabs>
        <w:spacing w:after="20" w:line="200"/>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D. Afchar, V. Nozick, J. Yamagishi, and I. Echizen, “MesoNet: A compact facial video forgery detection network,” in </w:t>
      </w:r>
      <w:r>
        <w:rPr>
          <w:rFonts w:ascii="Times New Roman" w:cs="Times New Roman" w:eastAsia="Times New Roman" w:hAnsi="Times New Roman"/>
          <w:i/>
          <w:iCs/>
          <w:sz w:val="16"/>
          <w:szCs w:val="16"/>
        </w:rPr>
        <w:t xml:space="preserve">Proc. IEEE Int. Workshop Inf. Forensics Secur. (WIFS)</w:t>
      </w:r>
      <w:r>
        <w:rPr>
          <w:rFonts w:ascii="Times New Roman" w:cs="Times New Roman" w:eastAsia="Times New Roman" w:hAnsi="Times New Roman"/>
          <w:sz w:val="16"/>
          <w:szCs w:val="16"/>
        </w:rPr>
        <w:t xml:space="preserve">, 2018.</w:t>
      </w:r>
    </w:p>
    <w:p>
      <w:pPr>
        <w:tabs>
          <w:tab w:val="left" w:pos="360"/>
        </w:tabs>
        <w:spacing w:after="20" w:line="200"/>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F. Chollet, “Xception: Deep learning with depthwise separable convolutions,” in </w:t>
      </w:r>
      <w:r>
        <w:rPr>
          <w:rFonts w:ascii="Times New Roman" w:cs="Times New Roman" w:eastAsia="Times New Roman" w:hAnsi="Times New Roman"/>
          <w:i/>
          <w:iCs/>
          <w:sz w:val="16"/>
          <w:szCs w:val="16"/>
        </w:rPr>
        <w:t xml:space="preserve">Proc. IEEE Conf. Comput. Vis. Pattern Recognit. (CVPR)</w:t>
      </w:r>
      <w:r>
        <w:rPr>
          <w:rFonts w:ascii="Times New Roman" w:cs="Times New Roman" w:eastAsia="Times New Roman" w:hAnsi="Times New Roman"/>
          <w:sz w:val="16"/>
          <w:szCs w:val="16"/>
        </w:rPr>
        <w:t xml:space="preserve">, 2017.</w:t>
      </w:r>
    </w:p>
    <w:p>
      <w:pPr>
        <w:tabs>
          <w:tab w:val="left" w:pos="360"/>
        </w:tabs>
        <w:spacing w:after="20" w:line="200"/>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M. Tan and Q. Le, “EfficientNet: Rethinking model scaling for convolutional neural networks,” in </w:t>
      </w:r>
      <w:r>
        <w:rPr>
          <w:rFonts w:ascii="Times New Roman" w:cs="Times New Roman" w:eastAsia="Times New Roman" w:hAnsi="Times New Roman"/>
          <w:i/>
          <w:iCs/>
          <w:sz w:val="16"/>
          <w:szCs w:val="16"/>
        </w:rPr>
        <w:t xml:space="preserve">Proc. Int. Conf. Mach. Learn. (ICML)</w:t>
      </w:r>
      <w:r>
        <w:rPr>
          <w:rFonts w:ascii="Times New Roman" w:cs="Times New Roman" w:eastAsia="Times New Roman" w:hAnsi="Times New Roman"/>
          <w:sz w:val="16"/>
          <w:szCs w:val="16"/>
        </w:rPr>
        <w:t xml:space="preserve">, ser. PMLR, vol. 97, 2019, pp. 6105–6114.</w:t>
      </w:r>
    </w:p>
    <w:p>
      <w:pPr>
        <w:tabs>
          <w:tab w:val="left" w:pos="360"/>
        </w:tabs>
        <w:spacing w:after="20" w:line="200"/>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L. Li, J. Bao, T. Zhang, H. Yang, D. Chen, F. Wen, and B. Guo, “Face X-ray for more general face forgery detection,” in </w:t>
      </w:r>
      <w:r>
        <w:rPr>
          <w:rFonts w:ascii="Times New Roman" w:cs="Times New Roman" w:eastAsia="Times New Roman" w:hAnsi="Times New Roman"/>
          <w:i/>
          <w:iCs/>
          <w:sz w:val="16"/>
          <w:szCs w:val="16"/>
        </w:rPr>
        <w:t xml:space="preserve">Proc. IEEE/CVF Conf. Comput. Vis. Pattern Recognit. (CVPR)</w:t>
      </w:r>
      <w:r>
        <w:rPr>
          <w:rFonts w:ascii="Times New Roman" w:cs="Times New Roman" w:eastAsia="Times New Roman" w:hAnsi="Times New Roman"/>
          <w:sz w:val="16"/>
          <w:szCs w:val="16"/>
        </w:rPr>
        <w:t xml:space="preserve">, 2020.</w:t>
      </w:r>
    </w:p>
    <w:p>
      <w:pPr>
        <w:tabs>
          <w:tab w:val="left" w:pos="360"/>
        </w:tabs>
        <w:spacing w:after="20" w:line="200"/>
        <w:ind w:left="360" w:hanging="3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K. Shiohara and T. Yamasaki, “Detecting deepfakes with self-blended images,” in </w:t>
      </w:r>
      <w:r>
        <w:rPr>
          <w:rFonts w:ascii="Times New Roman" w:cs="Times New Roman" w:eastAsia="Times New Roman" w:hAnsi="Times New Roman"/>
          <w:i/>
          <w:iCs/>
          <w:sz w:val="16"/>
          <w:szCs w:val="16"/>
        </w:rPr>
        <w:t xml:space="preserve">Proc. IEEE/CVF Conf. Comput. Vis. Pattern Recognit. (CVPR)</w:t>
      </w:r>
      <w:r>
        <w:rPr>
          <w:rFonts w:ascii="Times New Roman" w:cs="Times New Roman" w:eastAsia="Times New Roman" w:hAnsi="Times New Roman"/>
          <w:sz w:val="16"/>
          <w:szCs w:val="16"/>
        </w:rPr>
        <w:t xml:space="preserve">, 2022.</w:t>
      </w:r>
    </w:p>
    <w:p>
      <w:pPr>
        <w:tabs>
          <w:tab w:val="left" w:pos="360"/>
        </w:tabs>
        <w:spacing w:after="20" w:line="200"/>
        <w:ind w:left="360" w:hanging="36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A. Haliassos, K. Vougioukas, S. Petridis, and M. Pantic, “Lips don't lie: A generalisable and robust approach to face forgery detection,” in </w:t>
      </w:r>
      <w:r>
        <w:rPr>
          <w:rFonts w:ascii="Times New Roman" w:cs="Times New Roman" w:eastAsia="Times New Roman" w:hAnsi="Times New Roman"/>
          <w:i/>
          <w:iCs/>
          <w:sz w:val="16"/>
          <w:szCs w:val="16"/>
        </w:rPr>
        <w:t xml:space="preserve">Proc. IEEE/CVF Conf. Comput. Vis. Pattern Recognit. (CVPR)</w:t>
      </w:r>
      <w:r>
        <w:rPr>
          <w:rFonts w:ascii="Times New Roman" w:cs="Times New Roman" w:eastAsia="Times New Roman" w:hAnsi="Times New Roman"/>
          <w:sz w:val="16"/>
          <w:szCs w:val="16"/>
        </w:rPr>
        <w:t xml:space="preserve">, 2021.</w:t>
      </w:r>
    </w:p>
    <w:p>
      <w:pPr>
        <w:tabs>
          <w:tab w:val="left" w:pos="360"/>
        </w:tabs>
        <w:spacing w:after="20" w:line="200"/>
        <w:ind w:left="360" w:hanging="36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H. Tak, J. Patino, M. Todisco, A. Nautsch, N. Evans, and A. Larcher, “End-to-end anti-spoofing with RawNet2,” in </w:t>
      </w:r>
      <w:r>
        <w:rPr>
          <w:rFonts w:ascii="Times New Roman" w:cs="Times New Roman" w:eastAsia="Times New Roman" w:hAnsi="Times New Roman"/>
          <w:i/>
          <w:iCs/>
          <w:sz w:val="16"/>
          <w:szCs w:val="16"/>
        </w:rPr>
        <w:t xml:space="preserve">Proc. IEEE Int. Conf. Acoust., Speech Signal Process. (ICASSP)</w:t>
      </w:r>
      <w:r>
        <w:rPr>
          <w:rFonts w:ascii="Times New Roman" w:cs="Times New Roman" w:eastAsia="Times New Roman" w:hAnsi="Times New Roman"/>
          <w:sz w:val="16"/>
          <w:szCs w:val="16"/>
        </w:rPr>
        <w:t xml:space="preserve">, 2021.</w:t>
      </w:r>
    </w:p>
    <w:p>
      <w:pPr>
        <w:tabs>
          <w:tab w:val="left" w:pos="360"/>
        </w:tabs>
        <w:spacing w:after="20" w:line="200"/>
        <w:ind w:left="360" w:hanging="36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J. Jung, H.-S. Heo, H. Tak, H. Shim, J. S. Chung, B.-J. Lee, H.-J. Yu, and N. Evans, “AASIST: Audio anti-spoofing using integrated spectro-temporal graph attention networks,” in </w:t>
      </w:r>
      <w:r>
        <w:rPr>
          <w:rFonts w:ascii="Times New Roman" w:cs="Times New Roman" w:eastAsia="Times New Roman" w:hAnsi="Times New Roman"/>
          <w:i/>
          <w:iCs/>
          <w:sz w:val="16"/>
          <w:szCs w:val="16"/>
        </w:rPr>
        <w:t xml:space="preserve">Proc. IEEE Int. Conf. Acoust., Speech Signal Process. (ICASSP)</w:t>
      </w:r>
      <w:r>
        <w:rPr>
          <w:rFonts w:ascii="Times New Roman" w:cs="Times New Roman" w:eastAsia="Times New Roman" w:hAnsi="Times New Roman"/>
          <w:sz w:val="16"/>
          <w:szCs w:val="16"/>
        </w:rPr>
        <w:t xml:space="preserve">, 2022.</w:t>
      </w:r>
    </w:p>
    <w:p>
      <w:pPr>
        <w:tabs>
          <w:tab w:val="left" w:pos="360"/>
        </w:tabs>
        <w:spacing w:after="20" w:line="200"/>
        <w:ind w:left="360" w:hanging="36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H. Tak, M. Todisco, X. Wang, J. Jung, J. Yamagishi, and N. Evans, “Automatic speaker verification spoofing and deepfake detection using wav2vec 2.0 and data augmentation,” </w:t>
      </w:r>
      <w:r>
        <w:rPr>
          <w:rFonts w:ascii="Times New Roman" w:cs="Times New Roman" w:eastAsia="Times New Roman" w:hAnsi="Times New Roman"/>
          <w:i/>
          <w:iCs/>
          <w:sz w:val="16"/>
          <w:szCs w:val="16"/>
        </w:rPr>
        <w:t xml:space="preserve">arXiv preprint arXiv:2202.12233</w:t>
      </w:r>
      <w:r>
        <w:rPr>
          <w:rFonts w:ascii="Times New Roman" w:cs="Times New Roman" w:eastAsia="Times New Roman" w:hAnsi="Times New Roman"/>
          <w:sz w:val="16"/>
          <w:szCs w:val="16"/>
        </w:rPr>
        <w:t xml:space="preserve">, 2022.</w:t>
      </w:r>
    </w:p>
    <w:p>
      <w:pPr>
        <w:tabs>
          <w:tab w:val="left" w:pos="360"/>
        </w:tabs>
        <w:spacing w:after="20" w:line="200"/>
        <w:ind w:left="360" w:hanging="36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D. S. Park, W. Chan, Y. Zhang, C.-C. Chiu, B. Zoph, E. D. Cubuk, and Q. V. Le, “SpecAugment: A simple data augmentation method for automatic speech recognition,” in </w:t>
      </w:r>
      <w:r>
        <w:rPr>
          <w:rFonts w:ascii="Times New Roman" w:cs="Times New Roman" w:eastAsia="Times New Roman" w:hAnsi="Times New Roman"/>
          <w:i/>
          <w:iCs/>
          <w:sz w:val="16"/>
          <w:szCs w:val="16"/>
        </w:rPr>
        <w:t xml:space="preserve">Proc. Interspeech</w:t>
      </w:r>
      <w:r>
        <w:rPr>
          <w:rFonts w:ascii="Times New Roman" w:cs="Times New Roman" w:eastAsia="Times New Roman" w:hAnsi="Times New Roman"/>
          <w:sz w:val="16"/>
          <w:szCs w:val="16"/>
        </w:rPr>
        <w:t xml:space="preserve">, 2019, pp. 2613–2617.</w:t>
      </w:r>
    </w:p>
    <w:p>
      <w:pPr>
        <w:tabs>
          <w:tab w:val="left" w:pos="360"/>
        </w:tabs>
        <w:spacing w:after="20" w:line="200"/>
        <w:ind w:left="360" w:hanging="36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T. Baltrušaitis, C. Ahuja, and L.-P. Morency, “Multimodal machine learning: A survey and taxonomy,” </w:t>
      </w:r>
      <w:r>
        <w:rPr>
          <w:rFonts w:ascii="Times New Roman" w:cs="Times New Roman" w:eastAsia="Times New Roman" w:hAnsi="Times New Roman"/>
          <w:i/>
          <w:iCs/>
          <w:sz w:val="16"/>
          <w:szCs w:val="16"/>
        </w:rPr>
        <w:t xml:space="preserve">IEEE Trans. Pattern Anal. Mach. Intell.</w:t>
      </w:r>
      <w:r>
        <w:rPr>
          <w:rFonts w:ascii="Times New Roman" w:cs="Times New Roman" w:eastAsia="Times New Roman" w:hAnsi="Times New Roman"/>
          <w:sz w:val="16"/>
          <w:szCs w:val="16"/>
        </w:rPr>
        <w:t xml:space="preserve">, vol. 41, no. 2, 2019.</w:t>
      </w:r>
    </w:p>
    <w:p>
      <w:pPr>
        <w:tabs>
          <w:tab w:val="left" w:pos="360"/>
        </w:tabs>
        <w:spacing w:after="20" w:line="200"/>
        <w:ind w:left="360" w:hanging="360"/>
        <w:jc w:val="both"/>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N. Neverova, C. Wolf, G. W. Taylor, and F. Nebout, “ModDrop: Adaptive multi-modal gesture recognition,” </w:t>
      </w:r>
      <w:r>
        <w:rPr>
          <w:rFonts w:ascii="Times New Roman" w:cs="Times New Roman" w:eastAsia="Times New Roman" w:hAnsi="Times New Roman"/>
          <w:i/>
          <w:iCs/>
          <w:sz w:val="16"/>
          <w:szCs w:val="16"/>
        </w:rPr>
        <w:t xml:space="preserve">IEEE Trans. Pattern Anal. Mach. Intell.</w:t>
      </w:r>
      <w:r>
        <w:rPr>
          <w:rFonts w:ascii="Times New Roman" w:cs="Times New Roman" w:eastAsia="Times New Roman" w:hAnsi="Times New Roman"/>
          <w:sz w:val="16"/>
          <w:szCs w:val="16"/>
        </w:rPr>
        <w:t xml:space="preserve">, vol. 38, no. 8, 2016.</w:t>
      </w:r>
    </w:p>
    <w:p>
      <w:pPr>
        <w:tabs>
          <w:tab w:val="left" w:pos="360"/>
        </w:tabs>
        <w:spacing w:after="20" w:line="200"/>
        <w:ind w:left="360" w:hanging="360"/>
        <w:jc w:val="both"/>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D. Cozzolino, A. Pianese, M. Nießner, and L. Verdoliva, “Audio-visual person-of-interest DeepFake detection,” </w:t>
      </w:r>
      <w:r>
        <w:rPr>
          <w:rFonts w:ascii="Times New Roman" w:cs="Times New Roman" w:eastAsia="Times New Roman" w:hAnsi="Times New Roman"/>
          <w:i/>
          <w:iCs/>
          <w:sz w:val="16"/>
          <w:szCs w:val="16"/>
        </w:rPr>
        <w:t xml:space="preserve">arXiv preprint arXiv:2204.03083</w:t>
      </w:r>
      <w:r>
        <w:rPr>
          <w:rFonts w:ascii="Times New Roman" w:cs="Times New Roman" w:eastAsia="Times New Roman" w:hAnsi="Times New Roman"/>
          <w:sz w:val="16"/>
          <w:szCs w:val="16"/>
        </w:rPr>
        <w:t xml:space="preserve">, 2023, version 3.</w:t>
      </w:r>
    </w:p>
    <w:p>
      <w:pPr>
        <w:tabs>
          <w:tab w:val="left" w:pos="360"/>
        </w:tabs>
        <w:spacing w:after="20" w:line="200"/>
        <w:ind w:left="360" w:hanging="360"/>
        <w:jc w:val="both"/>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T. Oorloff, S. Koppisetti, N. Bonettini, D. Solanki, B. Colman, Y. Yacoob, A. Shahriyari, and G. Bharaj, “AVFF: Audio-visual feature fusion for video deepfake detection,” in </w:t>
      </w:r>
      <w:r>
        <w:rPr>
          <w:rFonts w:ascii="Times New Roman" w:cs="Times New Roman" w:eastAsia="Times New Roman" w:hAnsi="Times New Roman"/>
          <w:i/>
          <w:iCs/>
          <w:sz w:val="16"/>
          <w:szCs w:val="16"/>
        </w:rPr>
        <w:t xml:space="preserve">Proc. IEEE/CVF Conf. Comput. Vis. Pattern Recognit. (CVPR)</w:t>
      </w:r>
      <w:r>
        <w:rPr>
          <w:rFonts w:ascii="Times New Roman" w:cs="Times New Roman" w:eastAsia="Times New Roman" w:hAnsi="Times New Roman"/>
          <w:sz w:val="16"/>
          <w:szCs w:val="16"/>
        </w:rPr>
        <w:t xml:space="preserve">, 2024, pp. 27 102–27 112.</w:t>
      </w:r>
    </w:p>
    <w:p>
      <w:pPr>
        <w:tabs>
          <w:tab w:val="left" w:pos="360"/>
        </w:tabs>
        <w:spacing w:after="20" w:line="200"/>
        <w:ind w:left="360" w:hanging="360"/>
        <w:jc w:val="both"/>
      </w:pPr>
      <w:r>
        <w:rPr>
          <w:rFonts w:ascii="Times New Roman" w:cs="Times New Roman" w:eastAsia="Times New Roman" w:hAnsi="Times New Roman"/>
          <w:sz w:val="16"/>
          <w:szCs w:val="16"/>
        </w:rPr>
        <w:t xml:space="preserve">[24]	</w:t>
      </w:r>
      <w:r>
        <w:rPr>
          <w:rFonts w:ascii="Times New Roman" w:cs="Times New Roman" w:eastAsia="Times New Roman" w:hAnsi="Times New Roman"/>
          <w:sz w:val="16"/>
          <w:szCs w:val="16"/>
        </w:rPr>
        <w:t xml:space="preserve">Z. Cai, K. Stefanov, A. Dhall, and M. Hayat, “Do you really mean that? Content driven audio-visual deepfake dataset and multimodal method for temporal forgery localization,” </w:t>
      </w:r>
      <w:r>
        <w:rPr>
          <w:rFonts w:ascii="Times New Roman" w:cs="Times New Roman" w:eastAsia="Times New Roman" w:hAnsi="Times New Roman"/>
          <w:i/>
          <w:iCs/>
          <w:sz w:val="16"/>
          <w:szCs w:val="16"/>
        </w:rPr>
        <w:t xml:space="preserve">arXiv preprint arXiv:2204.06228</w:t>
      </w:r>
      <w:r>
        <w:rPr>
          <w:rFonts w:ascii="Times New Roman" w:cs="Times New Roman" w:eastAsia="Times New Roman" w:hAnsi="Times New Roman"/>
          <w:sz w:val="16"/>
          <w:szCs w:val="16"/>
        </w:rPr>
        <w:t xml:space="preserve">, 2022.</w:t>
      </w:r>
    </w:p>
    <w:p>
      <w:pPr>
        <w:tabs>
          <w:tab w:val="left" w:pos="360"/>
        </w:tabs>
        <w:spacing w:after="20" w:line="200"/>
        <w:ind w:left="360" w:hanging="360"/>
        <w:jc w:val="both"/>
      </w:pPr>
      <w:r>
        <w:rPr>
          <w:rFonts w:ascii="Times New Roman" w:cs="Times New Roman" w:eastAsia="Times New Roman" w:hAnsi="Times New Roman"/>
          <w:sz w:val="16"/>
          <w:szCs w:val="16"/>
        </w:rPr>
        <w:t xml:space="preserve">[25]	</w:t>
      </w:r>
      <w:r>
        <w:rPr>
          <w:rFonts w:ascii="Times New Roman" w:cs="Times New Roman" w:eastAsia="Times New Roman" w:hAnsi="Times New Roman"/>
          <w:sz w:val="16"/>
          <w:szCs w:val="16"/>
        </w:rPr>
        <w:t xml:space="preserve">C. Koutlis and S. Papadopoulos, “DiMoDif: Discourse modality-information differentiation for audio-visual deepfake detection and localization,” </w:t>
      </w:r>
      <w:r>
        <w:rPr>
          <w:rFonts w:ascii="Times New Roman" w:cs="Times New Roman" w:eastAsia="Times New Roman" w:hAnsi="Times New Roman"/>
          <w:i/>
          <w:iCs/>
          <w:sz w:val="16"/>
          <w:szCs w:val="16"/>
        </w:rPr>
        <w:t xml:space="preserve">arXiv preprint arXiv:2411.10193</w:t>
      </w:r>
      <w:r>
        <w:rPr>
          <w:rFonts w:ascii="Times New Roman" w:cs="Times New Roman" w:eastAsia="Times New Roman" w:hAnsi="Times New Roman"/>
          <w:sz w:val="16"/>
          <w:szCs w:val="16"/>
        </w:rPr>
        <w:t xml:space="preserve">, 2025.</w:t>
      </w:r>
    </w:p>
    <w:p>
      <w:pPr>
        <w:tabs>
          <w:tab w:val="left" w:pos="360"/>
        </w:tabs>
        <w:spacing w:after="20" w:line="200"/>
        <w:ind w:left="360" w:hanging="360"/>
        <w:jc w:val="both"/>
      </w:pPr>
      <w:r>
        <w:rPr>
          <w:rFonts w:ascii="Times New Roman" w:cs="Times New Roman" w:eastAsia="Times New Roman" w:hAnsi="Times New Roman"/>
          <w:sz w:val="16"/>
          <w:szCs w:val="16"/>
        </w:rPr>
        <w:t xml:space="preserve">[26]	</w:t>
      </w:r>
      <w:r>
        <w:rPr>
          <w:rFonts w:ascii="Times New Roman" w:cs="Times New Roman" w:eastAsia="Times New Roman" w:hAnsi="Times New Roman"/>
          <w:sz w:val="16"/>
          <w:szCs w:val="16"/>
        </w:rPr>
        <w:t xml:space="preserve">D. Hendrycks and T. Dietterich, “Benchmarking neural network robustness to common corruptions and perturbations,” in </w:t>
      </w:r>
      <w:r>
        <w:rPr>
          <w:rFonts w:ascii="Times New Roman" w:cs="Times New Roman" w:eastAsia="Times New Roman" w:hAnsi="Times New Roman"/>
          <w:i/>
          <w:iCs/>
          <w:sz w:val="16"/>
          <w:szCs w:val="16"/>
        </w:rPr>
        <w:t xml:space="preserve">Proc. Int. Conf. Learn. Represent. (ICLR)</w:t>
      </w:r>
      <w:r>
        <w:rPr>
          <w:rFonts w:ascii="Times New Roman" w:cs="Times New Roman" w:eastAsia="Times New Roman" w:hAnsi="Times New Roman"/>
          <w:sz w:val="16"/>
          <w:szCs w:val="16"/>
        </w:rPr>
        <w:t xml:space="preserve">, 2019.</w:t>
      </w:r>
    </w:p>
    <w:p>
      <w:pPr>
        <w:tabs>
          <w:tab w:val="left" w:pos="360"/>
        </w:tabs>
        <w:spacing w:after="20" w:line="200"/>
        <w:ind w:left="360" w:hanging="360"/>
        <w:jc w:val="both"/>
      </w:pPr>
      <w:r>
        <w:rPr>
          <w:rFonts w:ascii="Times New Roman" w:cs="Times New Roman" w:eastAsia="Times New Roman" w:hAnsi="Times New Roman"/>
          <w:sz w:val="16"/>
          <w:szCs w:val="16"/>
        </w:rPr>
        <w:t xml:space="preserve">[27]	</w:t>
      </w:r>
      <w:r>
        <w:rPr>
          <w:rFonts w:ascii="Times New Roman" w:cs="Times New Roman" w:eastAsia="Times New Roman" w:hAnsi="Times New Roman"/>
          <w:sz w:val="16"/>
          <w:szCs w:val="16"/>
        </w:rPr>
        <w:t xml:space="preserve">R. R. Selvaraju, M. Cogswell, A. Das, R. Vedantam, D. Parikh, and D. Batra, “Grad-CAM: Visual explanations from deep networks via gradient-based localization,” in </w:t>
      </w:r>
      <w:r>
        <w:rPr>
          <w:rFonts w:ascii="Times New Roman" w:cs="Times New Roman" w:eastAsia="Times New Roman" w:hAnsi="Times New Roman"/>
          <w:i/>
          <w:iCs/>
          <w:sz w:val="16"/>
          <w:szCs w:val="16"/>
        </w:rPr>
        <w:t xml:space="preserve">Proc. IEEE Int. Conf. Comput. Vis. (ICCV)</w:t>
      </w:r>
      <w:r>
        <w:rPr>
          <w:rFonts w:ascii="Times New Roman" w:cs="Times New Roman" w:eastAsia="Times New Roman" w:hAnsi="Times New Roman"/>
          <w:sz w:val="16"/>
          <w:szCs w:val="16"/>
        </w:rPr>
        <w:t xml:space="preserve">, 2017.</w:t>
      </w:r>
    </w:p>
    <w:p>
      <w:pPr>
        <w:tabs>
          <w:tab w:val="left" w:pos="360"/>
        </w:tabs>
        <w:spacing w:after="20" w:line="200"/>
        <w:ind w:left="360" w:hanging="360"/>
        <w:jc w:val="both"/>
      </w:pPr>
      <w:r>
        <w:rPr>
          <w:rFonts w:ascii="Times New Roman" w:cs="Times New Roman" w:eastAsia="Times New Roman" w:hAnsi="Times New Roman"/>
          <w:sz w:val="16"/>
          <w:szCs w:val="16"/>
        </w:rPr>
        <w:t xml:space="preserve">[28]	</w:t>
      </w:r>
      <w:r>
        <w:rPr>
          <w:rFonts w:ascii="Times New Roman" w:cs="Times New Roman" w:eastAsia="Times New Roman" w:hAnsi="Times New Roman"/>
          <w:sz w:val="16"/>
          <w:szCs w:val="16"/>
        </w:rPr>
        <w:t xml:space="preserve">J. Adebayo, J. Gilmer, M. Muelly, I. Goodfellow, M. Hardt, and B. Kim, “Sanity checks for saliency maps,” in </w:t>
      </w:r>
      <w:r>
        <w:rPr>
          <w:rFonts w:ascii="Times New Roman" w:cs="Times New Roman" w:eastAsia="Times New Roman" w:hAnsi="Times New Roman"/>
          <w:i/>
          <w:iCs/>
          <w:sz w:val="16"/>
          <w:szCs w:val="16"/>
        </w:rPr>
        <w:t xml:space="preserve">Advances in Neural Information Processing Systems (NeurIPS)</w:t>
      </w:r>
      <w:r>
        <w:rPr>
          <w:rFonts w:ascii="Times New Roman" w:cs="Times New Roman" w:eastAsia="Times New Roman" w:hAnsi="Times New Roman"/>
          <w:sz w:val="16"/>
          <w:szCs w:val="16"/>
        </w:rPr>
        <w:t xml:space="preserve">, vol. 31, 2018.</w:t>
      </w:r>
    </w:p>
    <w:p>
      <w:pPr>
        <w:tabs>
          <w:tab w:val="left" w:pos="360"/>
        </w:tabs>
        <w:spacing w:after="20" w:line="200"/>
        <w:ind w:left="360" w:hanging="360"/>
        <w:jc w:val="both"/>
      </w:pPr>
      <w:r>
        <w:rPr>
          <w:rFonts w:ascii="Times New Roman" w:cs="Times New Roman" w:eastAsia="Times New Roman" w:hAnsi="Times New Roman"/>
          <w:sz w:val="16"/>
          <w:szCs w:val="16"/>
        </w:rPr>
        <w:t xml:space="preserve">[29]	</w:t>
      </w:r>
      <w:r>
        <w:rPr>
          <w:rFonts w:ascii="Times New Roman" w:cs="Times New Roman" w:eastAsia="Times New Roman" w:hAnsi="Times New Roman"/>
          <w:sz w:val="16"/>
          <w:szCs w:val="16"/>
        </w:rPr>
        <w:t xml:space="preserve">C. Guo, G. Pleiss, Y. Sun, and K. Q. Weinberger, “On calibration of modern neural networks,” in </w:t>
      </w:r>
      <w:r>
        <w:rPr>
          <w:rFonts w:ascii="Times New Roman" w:cs="Times New Roman" w:eastAsia="Times New Roman" w:hAnsi="Times New Roman"/>
          <w:i/>
          <w:iCs/>
          <w:sz w:val="16"/>
          <w:szCs w:val="16"/>
        </w:rPr>
        <w:t xml:space="preserve">Proc. Int. Conf. Mach. Learn. (ICML)</w:t>
      </w:r>
      <w:r>
        <w:rPr>
          <w:rFonts w:ascii="Times New Roman" w:cs="Times New Roman" w:eastAsia="Times New Roman" w:hAnsi="Times New Roman"/>
          <w:sz w:val="16"/>
          <w:szCs w:val="16"/>
        </w:rPr>
        <w:t xml:space="preserve">, ser. PMLR, vol. 70, 2017, pp. 1321–1330.</w:t>
      </w:r>
    </w:p>
    <w:p>
      <w:pPr>
        <w:tabs>
          <w:tab w:val="left" w:pos="360"/>
        </w:tabs>
        <w:spacing w:after="20" w:line="200"/>
        <w:ind w:left="360" w:hanging="360"/>
        <w:jc w:val="both"/>
      </w:pPr>
      <w:r>
        <w:rPr>
          <w:rFonts w:ascii="Times New Roman" w:cs="Times New Roman" w:eastAsia="Times New Roman" w:hAnsi="Times New Roman"/>
          <w:sz w:val="16"/>
          <w:szCs w:val="16"/>
        </w:rPr>
        <w:t xml:space="preserve">[30]	</w:t>
      </w:r>
      <w:r>
        <w:rPr>
          <w:rFonts w:ascii="Times New Roman" w:cs="Times New Roman" w:eastAsia="Times New Roman" w:hAnsi="Times New Roman"/>
          <w:sz w:val="16"/>
          <w:szCs w:val="16"/>
        </w:rPr>
        <w:t xml:space="preserve">W. Wu, H. Peng, and S. Yu, “YuNet: A tiny millisecond-level face detector,” </w:t>
      </w:r>
      <w:r>
        <w:rPr>
          <w:rFonts w:ascii="Times New Roman" w:cs="Times New Roman" w:eastAsia="Times New Roman" w:hAnsi="Times New Roman"/>
          <w:i/>
          <w:iCs/>
          <w:sz w:val="16"/>
          <w:szCs w:val="16"/>
        </w:rPr>
        <w:t xml:space="preserve">Mach. Intell. Res.</w:t>
      </w:r>
      <w:r>
        <w:rPr>
          <w:rFonts w:ascii="Times New Roman" w:cs="Times New Roman" w:eastAsia="Times New Roman" w:hAnsi="Times New Roman"/>
          <w:sz w:val="16"/>
          <w:szCs w:val="16"/>
        </w:rPr>
        <w:t xml:space="preserve">, vol. 20, no. 5, pp. 656–665, 2023.</w:t>
      </w:r>
    </w:p>
    <w:p>
      <w:pPr>
        <w:tabs>
          <w:tab w:val="left" w:pos="360"/>
        </w:tabs>
        <w:spacing w:after="20" w:line="200"/>
        <w:ind w:left="360" w:hanging="360"/>
        <w:jc w:val="both"/>
      </w:pPr>
      <w:r>
        <w:rPr>
          <w:rFonts w:ascii="Times New Roman" w:cs="Times New Roman" w:eastAsia="Times New Roman" w:hAnsi="Times New Roman"/>
          <w:sz w:val="16"/>
          <w:szCs w:val="16"/>
        </w:rPr>
        <w:t xml:space="preserve">[31]	</w:t>
      </w:r>
      <w:r>
        <w:rPr>
          <w:rFonts w:ascii="Times New Roman" w:cs="Times New Roman" w:eastAsia="Times New Roman" w:hAnsi="Times New Roman"/>
          <w:sz w:val="16"/>
          <w:szCs w:val="16"/>
        </w:rPr>
        <w:t xml:space="preserve">B. McFee, C. Raffel, D. Liang, D. P. W. Ellis, M. McVicar, E. Battenberg, and O. Nieto, “librosa: Audio and music signal analysis in Python,” in </w:t>
      </w:r>
      <w:r>
        <w:rPr>
          <w:rFonts w:ascii="Times New Roman" w:cs="Times New Roman" w:eastAsia="Times New Roman" w:hAnsi="Times New Roman"/>
          <w:i/>
          <w:iCs/>
          <w:sz w:val="16"/>
          <w:szCs w:val="16"/>
        </w:rPr>
        <w:t xml:space="preserve">Proc. 14th Python Sci. Conf. (SciPy)</w:t>
      </w:r>
      <w:r>
        <w:rPr>
          <w:rFonts w:ascii="Times New Roman" w:cs="Times New Roman" w:eastAsia="Times New Roman" w:hAnsi="Times New Roman"/>
          <w:sz w:val="16"/>
          <w:szCs w:val="16"/>
        </w:rPr>
        <w:t xml:space="preserve">, 2015, pp. 18–25.</w:t>
      </w:r>
    </w:p>
    <w:p>
      <w:pPr>
        <w:tabs>
          <w:tab w:val="left" w:pos="360"/>
        </w:tabs>
        <w:spacing w:after="20" w:line="200"/>
        <w:ind w:left="360" w:hanging="360"/>
        <w:jc w:val="both"/>
      </w:pPr>
      <w:r>
        <w:rPr>
          <w:rFonts w:ascii="Times New Roman" w:cs="Times New Roman" w:eastAsia="Times New Roman" w:hAnsi="Times New Roman"/>
          <w:sz w:val="16"/>
          <w:szCs w:val="16"/>
        </w:rPr>
        <w:t xml:space="preserve">[32]	</w:t>
      </w:r>
      <w:r>
        <w:rPr>
          <w:rFonts w:ascii="Times New Roman" w:cs="Times New Roman" w:eastAsia="Times New Roman" w:hAnsi="Times New Roman"/>
          <w:sz w:val="16"/>
          <w:szCs w:val="16"/>
        </w:rPr>
        <w:t xml:space="preserve">J. Deng, W. Dong, R. Socher, L.-J. Li, K. Li, and L. Fei-Fei, “ImageNet: A large-scale hierarchical image database,” in </w:t>
      </w:r>
      <w:r>
        <w:rPr>
          <w:rFonts w:ascii="Times New Roman" w:cs="Times New Roman" w:eastAsia="Times New Roman" w:hAnsi="Times New Roman"/>
          <w:i/>
          <w:iCs/>
          <w:sz w:val="16"/>
          <w:szCs w:val="16"/>
        </w:rPr>
        <w:t xml:space="preserve">Proc. IEEE Conf. Comput. Vis. Pattern Recognit. (CVPR)</w:t>
      </w:r>
      <w:r>
        <w:rPr>
          <w:rFonts w:ascii="Times New Roman" w:cs="Times New Roman" w:eastAsia="Times New Roman" w:hAnsi="Times New Roman"/>
          <w:sz w:val="16"/>
          <w:szCs w:val="16"/>
        </w:rPr>
        <w:t xml:space="preserve">, 2009, pp. 248–255.</w:t>
      </w:r>
    </w:p>
    <w:p>
      <w:pPr>
        <w:tabs>
          <w:tab w:val="left" w:pos="360"/>
        </w:tabs>
        <w:spacing w:after="20" w:line="200"/>
        <w:ind w:left="360" w:hanging="360"/>
        <w:jc w:val="both"/>
      </w:pPr>
      <w:r>
        <w:rPr>
          <w:rFonts w:ascii="Times New Roman" w:cs="Times New Roman" w:eastAsia="Times New Roman" w:hAnsi="Times New Roman"/>
          <w:sz w:val="16"/>
          <w:szCs w:val="16"/>
        </w:rPr>
        <w:t xml:space="preserve">[33]	</w:t>
      </w:r>
      <w:r>
        <w:rPr>
          <w:rFonts w:ascii="Times New Roman" w:cs="Times New Roman" w:eastAsia="Times New Roman" w:hAnsi="Times New Roman"/>
          <w:sz w:val="16"/>
          <w:szCs w:val="16"/>
        </w:rPr>
        <w:t xml:space="preserve">R. Wightman, “PyTorch Image Models,” GitHub repository, 2019.</w:t>
      </w:r>
    </w:p>
    <w:p>
      <w:pPr>
        <w:tabs>
          <w:tab w:val="left" w:pos="360"/>
        </w:tabs>
        <w:spacing w:after="20" w:line="200"/>
        <w:ind w:left="360" w:hanging="360"/>
        <w:jc w:val="both"/>
      </w:pPr>
      <w:r>
        <w:rPr>
          <w:rFonts w:ascii="Times New Roman" w:cs="Times New Roman" w:eastAsia="Times New Roman" w:hAnsi="Times New Roman"/>
          <w:sz w:val="16"/>
          <w:szCs w:val="16"/>
        </w:rPr>
        <w:t xml:space="preserve">[34]	</w:t>
      </w:r>
      <w:r>
        <w:rPr>
          <w:rFonts w:ascii="Times New Roman" w:cs="Times New Roman" w:eastAsia="Times New Roman" w:hAnsi="Times New Roman"/>
          <w:sz w:val="16"/>
          <w:szCs w:val="16"/>
        </w:rPr>
        <w:t xml:space="preserve">K. He, X. Zhang, S. Ren, and J. Sun, “Deep residual learning for image recognition,” in </w:t>
      </w:r>
      <w:r>
        <w:rPr>
          <w:rFonts w:ascii="Times New Roman" w:cs="Times New Roman" w:eastAsia="Times New Roman" w:hAnsi="Times New Roman"/>
          <w:i/>
          <w:iCs/>
          <w:sz w:val="16"/>
          <w:szCs w:val="16"/>
        </w:rPr>
        <w:t xml:space="preserve">Proc. IEEE Conf. Comput. Vis. Pattern Recognit. (CVPR)</w:t>
      </w:r>
      <w:r>
        <w:rPr>
          <w:rFonts w:ascii="Times New Roman" w:cs="Times New Roman" w:eastAsia="Times New Roman" w:hAnsi="Times New Roman"/>
          <w:sz w:val="16"/>
          <w:szCs w:val="16"/>
        </w:rPr>
        <w:t xml:space="preserve">, 2016.</w:t>
      </w:r>
    </w:p>
    <w:p>
      <w:pPr>
        <w:tabs>
          <w:tab w:val="left" w:pos="360"/>
        </w:tabs>
        <w:spacing w:after="20" w:line="200"/>
        <w:ind w:left="360" w:hanging="360"/>
        <w:jc w:val="both"/>
      </w:pPr>
      <w:r>
        <w:rPr>
          <w:rFonts w:ascii="Times New Roman" w:cs="Times New Roman" w:eastAsia="Times New Roman" w:hAnsi="Times New Roman"/>
          <w:sz w:val="16"/>
          <w:szCs w:val="16"/>
        </w:rPr>
        <w:t xml:space="preserve">[35]	</w:t>
      </w:r>
      <w:r>
        <w:rPr>
          <w:rFonts w:ascii="Times New Roman" w:cs="Times New Roman" w:eastAsia="Times New Roman" w:hAnsi="Times New Roman"/>
          <w:sz w:val="16"/>
          <w:szCs w:val="16"/>
        </w:rPr>
        <w:t xml:space="preserve">A. Paszke, S. Gross, F. Massa, A. Lerer, J. Bradbury, G. Chanan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“PyTorch: An imperative style, high-performance deep learning library,” in </w:t>
      </w:r>
      <w:r>
        <w:rPr>
          <w:rFonts w:ascii="Times New Roman" w:cs="Times New Roman" w:eastAsia="Times New Roman" w:hAnsi="Times New Roman"/>
          <w:i/>
          <w:iCs/>
          <w:sz w:val="16"/>
          <w:szCs w:val="16"/>
        </w:rPr>
        <w:t xml:space="preserve">Advances in Neural Information Processing Systems (NeurIPS)</w:t>
      </w:r>
      <w:r>
        <w:rPr>
          <w:rFonts w:ascii="Times New Roman" w:cs="Times New Roman" w:eastAsia="Times New Roman" w:hAnsi="Times New Roman"/>
          <w:sz w:val="16"/>
          <w:szCs w:val="16"/>
        </w:rPr>
        <w:t xml:space="preserve">, vol. 32, 2019.</w:t>
      </w:r>
    </w:p>
    <w:p>
      <w:pPr>
        <w:tabs>
          <w:tab w:val="left" w:pos="360"/>
        </w:tabs>
        <w:spacing w:after="20" w:line="200"/>
        <w:ind w:left="360" w:hanging="360"/>
        <w:jc w:val="both"/>
      </w:pPr>
      <w:r>
        <w:rPr>
          <w:rFonts w:ascii="Times New Roman" w:cs="Times New Roman" w:eastAsia="Times New Roman" w:hAnsi="Times New Roman"/>
          <w:sz w:val="16"/>
          <w:szCs w:val="16"/>
        </w:rPr>
        <w:t xml:space="preserve">[36]	</w:t>
      </w:r>
      <w:r>
        <w:rPr>
          <w:rFonts w:ascii="Times New Roman" w:cs="Times New Roman" w:eastAsia="Times New Roman" w:hAnsi="Times New Roman"/>
          <w:sz w:val="16"/>
          <w:szCs w:val="16"/>
        </w:rPr>
        <w:t xml:space="preserve">P. Micikevicius, S. Narang, J. Alben, G. Diamos, E. Elsen, D. Garcia, B. Ginsburg, M. Houston, O. Kuchaiev, G. Venkatesh, and H. Wu, “Mixed precision training,” in </w:t>
      </w:r>
      <w:r>
        <w:rPr>
          <w:rFonts w:ascii="Times New Roman" w:cs="Times New Roman" w:eastAsia="Times New Roman" w:hAnsi="Times New Roman"/>
          <w:i/>
          <w:iCs/>
          <w:sz w:val="16"/>
          <w:szCs w:val="16"/>
        </w:rPr>
        <w:t xml:space="preserve">Proc. Int. Conf. Learn. Represent. (ICLR)</w:t>
      </w:r>
      <w:r>
        <w:rPr>
          <w:rFonts w:ascii="Times New Roman" w:cs="Times New Roman" w:eastAsia="Times New Roman" w:hAnsi="Times New Roman"/>
          <w:sz w:val="16"/>
          <w:szCs w:val="16"/>
        </w:rPr>
        <w:t xml:space="preserve">, 2018.</w:t>
      </w:r>
    </w:p>
    <w:p>
      <w:pPr>
        <w:tabs>
          <w:tab w:val="left" w:pos="360"/>
        </w:tabs>
        <w:spacing w:after="20" w:line="200"/>
        <w:ind w:left="360" w:hanging="360"/>
        <w:jc w:val="both"/>
      </w:pPr>
      <w:r>
        <w:rPr>
          <w:rFonts w:ascii="Times New Roman" w:cs="Times New Roman" w:eastAsia="Times New Roman" w:hAnsi="Times New Roman"/>
          <w:sz w:val="16"/>
          <w:szCs w:val="16"/>
        </w:rPr>
        <w:t xml:space="preserve">[37]	</w:t>
      </w:r>
      <w:r>
        <w:rPr>
          <w:rFonts w:ascii="Times New Roman" w:cs="Times New Roman" w:eastAsia="Times New Roman" w:hAnsi="Times New Roman"/>
          <w:sz w:val="16"/>
          <w:szCs w:val="16"/>
        </w:rPr>
        <w:t xml:space="preserve">I. Loshchilov and F. Hutter, “Decoupled weight decay regularization,” in </w:t>
      </w:r>
      <w:r>
        <w:rPr>
          <w:rFonts w:ascii="Times New Roman" w:cs="Times New Roman" w:eastAsia="Times New Roman" w:hAnsi="Times New Roman"/>
          <w:i/>
          <w:iCs/>
          <w:sz w:val="16"/>
          <w:szCs w:val="16"/>
        </w:rPr>
        <w:t xml:space="preserve">Proc. Int. Conf. Learn. Represent. (ICLR)</w:t>
      </w:r>
      <w:r>
        <w:rPr>
          <w:rFonts w:ascii="Times New Roman" w:cs="Times New Roman" w:eastAsia="Times New Roman" w:hAnsi="Times New Roman"/>
          <w:sz w:val="16"/>
          <w:szCs w:val="16"/>
        </w:rPr>
        <w:t xml:space="preserve">, 2019.</w:t>
      </w:r>
    </w:p>
    <w:p>
      <w:pPr>
        <w:tabs>
          <w:tab w:val="left" w:pos="360"/>
        </w:tabs>
        <w:spacing w:after="20" w:line="200"/>
        <w:ind w:left="360" w:hanging="360"/>
        <w:jc w:val="both"/>
      </w:pPr>
      <w:r>
        <w:rPr>
          <w:rFonts w:ascii="Times New Roman" w:cs="Times New Roman" w:eastAsia="Times New Roman" w:hAnsi="Times New Roman"/>
          <w:sz w:val="16"/>
          <w:szCs w:val="16"/>
        </w:rPr>
        <w:t xml:space="preserve">[38]	</w:t>
      </w:r>
      <w:r>
        <w:rPr>
          <w:rFonts w:ascii="Times New Roman" w:cs="Times New Roman" w:eastAsia="Times New Roman" w:hAnsi="Times New Roman"/>
          <w:sz w:val="16"/>
          <w:szCs w:val="16"/>
        </w:rPr>
        <w:t xml:space="preserve">——, “SGDR: Stochastic gradient descent with warm restarts,” in </w:t>
      </w:r>
      <w:r>
        <w:rPr>
          <w:rFonts w:ascii="Times New Roman" w:cs="Times New Roman" w:eastAsia="Times New Roman" w:hAnsi="Times New Roman"/>
          <w:i/>
          <w:iCs/>
          <w:sz w:val="16"/>
          <w:szCs w:val="16"/>
        </w:rPr>
        <w:t xml:space="preserve">Proc. Int. Conf. Learn. Represent. (ICLR)</w:t>
      </w:r>
      <w:r>
        <w:rPr>
          <w:rFonts w:ascii="Times New Roman" w:cs="Times New Roman" w:eastAsia="Times New Roman" w:hAnsi="Times New Roman"/>
          <w:sz w:val="16"/>
          <w:szCs w:val="16"/>
        </w:rPr>
        <w:t xml:space="preserve">, 2017.</w:t>
      </w:r>
    </w:p>
    <w:p>
      <w:pPr>
        <w:tabs>
          <w:tab w:val="left" w:pos="360"/>
        </w:tabs>
        <w:spacing w:after="20" w:line="200"/>
        <w:ind w:left="360" w:hanging="360"/>
        <w:jc w:val="both"/>
      </w:pPr>
      <w:r>
        <w:rPr>
          <w:rFonts w:ascii="Times New Roman" w:cs="Times New Roman" w:eastAsia="Times New Roman" w:hAnsi="Times New Roman"/>
          <w:sz w:val="16"/>
          <w:szCs w:val="16"/>
        </w:rPr>
        <w:t xml:space="preserve">[39]	</w:t>
      </w:r>
      <w:r>
        <w:rPr>
          <w:rFonts w:ascii="Times New Roman" w:cs="Times New Roman" w:eastAsia="Times New Roman" w:hAnsi="Times New Roman"/>
          <w:sz w:val="16"/>
          <w:szCs w:val="16"/>
        </w:rPr>
        <w:t xml:space="preserve">T. Fawcett, “An introduction to ROC analysis,” </w:t>
      </w:r>
      <w:r>
        <w:rPr>
          <w:rFonts w:ascii="Times New Roman" w:cs="Times New Roman" w:eastAsia="Times New Roman" w:hAnsi="Times New Roman"/>
          <w:i/>
          <w:iCs/>
          <w:sz w:val="16"/>
          <w:szCs w:val="16"/>
        </w:rPr>
        <w:t xml:space="preserve">Pattern Recognit. Lett.</w:t>
      </w:r>
      <w:r>
        <w:rPr>
          <w:rFonts w:ascii="Times New Roman" w:cs="Times New Roman" w:eastAsia="Times New Roman" w:hAnsi="Times New Roman"/>
          <w:sz w:val="16"/>
          <w:szCs w:val="16"/>
        </w:rPr>
        <w:t xml:space="preserve">, vol. 27, no. 8, pp. 861–874, 2006.</w:t>
      </w:r>
    </w:p>
    <w:p>
      <w:pPr>
        <w:tabs>
          <w:tab w:val="left" w:pos="360"/>
        </w:tabs>
        <w:spacing w:after="20" w:line="200"/>
        <w:ind w:left="360" w:hanging="360"/>
        <w:jc w:val="both"/>
      </w:pPr>
      <w:r>
        <w:rPr>
          <w:rFonts w:ascii="Times New Roman" w:cs="Times New Roman" w:eastAsia="Times New Roman" w:hAnsi="Times New Roman"/>
          <w:sz w:val="16"/>
          <w:szCs w:val="16"/>
        </w:rPr>
        <w:t xml:space="preserve">[40]	</w:t>
      </w:r>
      <w:r>
        <w:rPr>
          <w:rFonts w:ascii="Times New Roman" w:cs="Times New Roman" w:eastAsia="Times New Roman" w:hAnsi="Times New Roman"/>
          <w:sz w:val="16"/>
          <w:szCs w:val="16"/>
        </w:rPr>
        <w:t xml:space="preserve">A. Martin, G. Doddington, T. Kamm, M. Ordowski, and M. Przybocki, “The DET curve in assessment of detection task performance,” in </w:t>
      </w:r>
      <w:r>
        <w:rPr>
          <w:rFonts w:ascii="Times New Roman" w:cs="Times New Roman" w:eastAsia="Times New Roman" w:hAnsi="Times New Roman"/>
          <w:i/>
          <w:iCs/>
          <w:sz w:val="16"/>
          <w:szCs w:val="16"/>
        </w:rPr>
        <w:t xml:space="preserve">Proc. Eurospeech</w:t>
      </w:r>
      <w:r>
        <w:rPr>
          <w:rFonts w:ascii="Times New Roman" w:cs="Times New Roman" w:eastAsia="Times New Roman" w:hAnsi="Times New Roman"/>
          <w:sz w:val="16"/>
          <w:szCs w:val="16"/>
        </w:rPr>
        <w:t xml:space="preserve">, 1997, pp. 1895–1898.</w:t>
      </w:r>
    </w:p>
    <w:p>
      <w:pPr>
        <w:tabs>
          <w:tab w:val="left" w:pos="360"/>
        </w:tabs>
        <w:spacing w:after="20" w:line="200"/>
        <w:ind w:left="360" w:hanging="360"/>
        <w:jc w:val="both"/>
      </w:pPr>
      <w:r>
        <w:rPr>
          <w:rFonts w:ascii="Times New Roman" w:cs="Times New Roman" w:eastAsia="Times New Roman" w:hAnsi="Times New Roman"/>
          <w:sz w:val="16"/>
          <w:szCs w:val="16"/>
        </w:rPr>
        <w:t xml:space="preserve">[41]	</w:t>
      </w:r>
      <w:r>
        <w:rPr>
          <w:rFonts w:ascii="Times New Roman" w:cs="Times New Roman" w:eastAsia="Times New Roman" w:hAnsi="Times New Roman"/>
          <w:sz w:val="16"/>
          <w:szCs w:val="16"/>
        </w:rPr>
        <w:t xml:space="preserve">M. P. Naeini, G. F. Cooper, and M. Hauskrecht, “Obtaining well calibrated probabilities using Bayesian binning,” in </w:t>
      </w:r>
      <w:r>
        <w:rPr>
          <w:rFonts w:ascii="Times New Roman" w:cs="Times New Roman" w:eastAsia="Times New Roman" w:hAnsi="Times New Roman"/>
          <w:i/>
          <w:iCs/>
          <w:sz w:val="16"/>
          <w:szCs w:val="16"/>
        </w:rPr>
        <w:t xml:space="preserve">Proc. AAAI Conf. Artif. Intell.</w:t>
      </w:r>
      <w:r>
        <w:rPr>
          <w:rFonts w:ascii="Times New Roman" w:cs="Times New Roman" w:eastAsia="Times New Roman" w:hAnsi="Times New Roman"/>
          <w:sz w:val="16"/>
          <w:szCs w:val="16"/>
        </w:rPr>
        <w:t xml:space="preserve">, 2015, pp. 2901–2907.</w:t>
      </w:r>
    </w:p>
    <w:p>
      <w:pPr>
        <w:tabs>
          <w:tab w:val="left" w:pos="360"/>
        </w:tabs>
        <w:spacing w:after="20" w:line="200"/>
        <w:ind w:left="360" w:hanging="360"/>
        <w:jc w:val="both"/>
      </w:pPr>
      <w:r>
        <w:rPr>
          <w:rFonts w:ascii="Times New Roman" w:cs="Times New Roman" w:eastAsia="Times New Roman" w:hAnsi="Times New Roman"/>
          <w:sz w:val="16"/>
          <w:szCs w:val="16"/>
        </w:rPr>
        <w:t xml:space="preserve">[42]	</w:t>
      </w:r>
      <w:r>
        <w:rPr>
          <w:rFonts w:ascii="Times New Roman" w:cs="Times New Roman" w:eastAsia="Times New Roman" w:hAnsi="Times New Roman"/>
          <w:sz w:val="16"/>
          <w:szCs w:val="16"/>
        </w:rPr>
        <w:t xml:space="preserve">G. W. Brier, “Verification of forecasts expressed in terms of probability,” </w:t>
      </w:r>
      <w:r>
        <w:rPr>
          <w:rFonts w:ascii="Times New Roman" w:cs="Times New Roman" w:eastAsia="Times New Roman" w:hAnsi="Times New Roman"/>
          <w:i/>
          <w:iCs/>
          <w:sz w:val="16"/>
          <w:szCs w:val="16"/>
        </w:rPr>
        <w:t xml:space="preserve">Mon. Weather Rev.</w:t>
      </w:r>
      <w:r>
        <w:rPr>
          <w:rFonts w:ascii="Times New Roman" w:cs="Times New Roman" w:eastAsia="Times New Roman" w:hAnsi="Times New Roman"/>
          <w:sz w:val="16"/>
          <w:szCs w:val="16"/>
        </w:rPr>
        <w:t xml:space="preserve">, vol. 78, no. 1, pp. 1–3, 1950.</w:t>
      </w:r>
    </w:p>
    <w:p>
      <w:pPr>
        <w:tabs>
          <w:tab w:val="left" w:pos="360"/>
        </w:tabs>
        <w:spacing w:after="20" w:line="200"/>
        <w:ind w:left="360" w:hanging="360"/>
        <w:jc w:val="both"/>
      </w:pPr>
      <w:r>
        <w:rPr>
          <w:rFonts w:ascii="Times New Roman" w:cs="Times New Roman" w:eastAsia="Times New Roman" w:hAnsi="Times New Roman"/>
          <w:sz w:val="16"/>
          <w:szCs w:val="16"/>
        </w:rPr>
        <w:t xml:space="preserve">[43]	</w:t>
      </w:r>
      <w:r>
        <w:rPr>
          <w:rFonts w:ascii="Times New Roman" w:cs="Times New Roman" w:eastAsia="Times New Roman" w:hAnsi="Times New Roman"/>
          <w:sz w:val="16"/>
          <w:szCs w:val="16"/>
        </w:rPr>
        <w:t xml:space="preserve">B. Efron and R. J. Tibshirani, </w:t>
      </w:r>
      <w:r>
        <w:rPr>
          <w:rFonts w:ascii="Times New Roman" w:cs="Times New Roman" w:eastAsia="Times New Roman" w:hAnsi="Times New Roman"/>
          <w:i/>
          <w:iCs/>
          <w:sz w:val="16"/>
          <w:szCs w:val="16"/>
        </w:rPr>
        <w:t xml:space="preserve">An Introduction to the Bootstrap</w:t>
      </w:r>
      <w:r>
        <w:rPr>
          <w:rFonts w:ascii="Times New Roman" w:cs="Times New Roman" w:eastAsia="Times New Roman" w:hAnsi="Times New Roman"/>
          <w:sz w:val="16"/>
          <w:szCs w:val="16"/>
        </w:rPr>
        <w:t xml:space="preserve">. New York, NY, USA: Chapman &amp; Hall, 1993.</w:t>
      </w:r>
    </w:p>
    <w:p>
      <w:pPr>
        <w:tabs>
          <w:tab w:val="left" w:pos="360"/>
        </w:tabs>
        <w:spacing w:after="20" w:line="200"/>
        <w:ind w:left="360" w:hanging="360"/>
        <w:jc w:val="both"/>
      </w:pPr>
      <w:r>
        <w:rPr>
          <w:rFonts w:ascii="Times New Roman" w:cs="Times New Roman" w:eastAsia="Times New Roman" w:hAnsi="Times New Roman"/>
          <w:sz w:val="16"/>
          <w:szCs w:val="16"/>
        </w:rPr>
        <w:t xml:space="preserve">[44]	</w:t>
      </w:r>
      <w:r>
        <w:rPr>
          <w:rFonts w:ascii="Times New Roman" w:cs="Times New Roman" w:eastAsia="Times New Roman" w:hAnsi="Times New Roman"/>
          <w:sz w:val="16"/>
          <w:szCs w:val="16"/>
        </w:rPr>
        <w:t xml:space="preserve">A. Abid, A. Abdalla, A. Abid, D. Khan, A. Alfozan, and J. Zou, “Gradio: Hassle-free sharing and testing of ML models in the wild,” in </w:t>
      </w:r>
      <w:r>
        <w:rPr>
          <w:rFonts w:ascii="Times New Roman" w:cs="Times New Roman" w:eastAsia="Times New Roman" w:hAnsi="Times New Roman"/>
          <w:i/>
          <w:iCs/>
          <w:sz w:val="16"/>
          <w:szCs w:val="16"/>
        </w:rPr>
        <w:t xml:space="preserve">ICML Workshop on Human in the Loop Learning (HILL)</w:t>
      </w:r>
      <w:r>
        <w:rPr>
          <w:rFonts w:ascii="Times New Roman" w:cs="Times New Roman" w:eastAsia="Times New Roman" w:hAnsi="Times New Roman"/>
          <w:sz w:val="16"/>
          <w:szCs w:val="16"/>
        </w:rPr>
        <w:t xml:space="preserve">, 2019, arXiv:1906.02569.</w:t>
      </w:r>
    </w:p>
    <w:sectPr>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871ade79707f1548ffaf67e942a6690e21b3f38.png"/><Relationship Id="rId8" Type="http://schemas.openxmlformats.org/officeDocument/2006/relationships/image" Target="media/149438f4f645461750e480af138db6118570d7ed.png"/><Relationship Id="rId9" Type="http://schemas.openxmlformats.org/officeDocument/2006/relationships/image" Target="media/b60b630c6475eb3740da9290c5e23574c29dc0d9.png"/><Relationship Id="rId10" Type="http://schemas.openxmlformats.org/officeDocument/2006/relationships/image" Target="media/7623a278e8c4e3b7f69a11b0050e3895ef50323f.png"/><Relationship Id="rId11" Type="http://schemas.openxmlformats.org/officeDocument/2006/relationships/image" Target="media/bca7fb88451f3b88fb9e44c069674662f2deb535.png"/><Relationship Id="rId12" Type="http://schemas.openxmlformats.org/officeDocument/2006/relationships/image" Target="media/13bb93b0a5fc2bff4ad88c88276272a061e3d3bf.png"/><Relationship Id="rId13" Type="http://schemas.openxmlformats.org/officeDocument/2006/relationships/image" Target="media/9f06da70a916c6345f788069cd2da4edbe0739a1.png"/><Relationship Id="rId14" Type="http://schemas.openxmlformats.org/officeDocument/2006/relationships/image" Target="media/21dc534caeaf0aa7a25eeda47feaff266f6bc83f.png"/><Relationship Id="rId15" Type="http://schemas.openxmlformats.org/officeDocument/2006/relationships/image" Target="media/51b708ff63f112633044116daa35a61f0e3311c2.png"/><Relationship Id="rId16" Type="http://schemas.openxmlformats.org/officeDocument/2006/relationships/image" Target="media/bffff1345fe312a19ee12e261e0de84fa4ea8c8d.png"/><Relationship Id="rId17" Type="http://schemas.openxmlformats.org/officeDocument/2006/relationships/image" Target="media/ffda21228e8373a8804326902211732d50ed9893.png"/><Relationship Id="rId18" Type="http://schemas.openxmlformats.org/officeDocument/2006/relationships/image" Target="media/46ebb198f8900787fe476b1d5bd44b0bf26a67fa.png"/><Relationship Id="rId19" Type="http://schemas.openxmlformats.org/officeDocument/2006/relationships/image" Target="media/b7dbcc0cf9a6b97fa79d460ead5346df09ca40fe.png"/><Relationship Id="rId20" Type="http://schemas.openxmlformats.org/officeDocument/2006/relationships/image" Target="media/389fc89853aa02505310a29148241052b041305f.png"/><Relationship Id="rId21" Type="http://schemas.openxmlformats.org/officeDocument/2006/relationships/image" Target="media/0f2b528f60578ca541f75261b72805f7fe279cd2.png"/><Relationship Id="rId22" Type="http://schemas.openxmlformats.org/officeDocument/2006/relationships/image" Target="media/11e12182ded45badfa7cc4b1426d5df8151b8121.png"/><Relationship Id="rId23" Type="http://schemas.openxmlformats.org/officeDocument/2006/relationships/image" Target="media/f5ccf61bbe5774ca91dff0bbb5a73c0ae0a7f8f2.png"/><Relationship Id="rId24" Type="http://schemas.openxmlformats.org/officeDocument/2006/relationships/image" Target="media/54cb04cc5a227d983463f96a428a0aef6d64a125.png"/><Relationship Id="rId25" Type="http://schemas.openxmlformats.org/officeDocument/2006/relationships/image" Target="media/85a41cd70d88d9d6040521eb9a60c90df72179ed.png"/><Relationship Id="rId26" Type="http://schemas.openxmlformats.org/officeDocument/2006/relationships/image" Target="media/42acb4c23e203e3e099717b59a69be29058bc453.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 Voice, or Both: An Audio-Visual Deepfake Detection Framework and a Voice-Branch Study on ASVspoof 2019</dc:title>
  <dc:creator>Author One</dc:creator>
  <cp:lastModifiedBy>Un-named</cp:lastModifiedBy>
  <cp:revision>1</cp:revision>
  <dcterms:created xsi:type="dcterms:W3CDTF">2026-10-13T16:45:57.991Z</dcterms:created>
  <dcterms:modified xsi:type="dcterms:W3CDTF">2026-10-13T16:45:57.992Z</dcterms:modified>
</cp:coreProperties>
</file>

<file path=docProps/custom.xml><?xml version="1.0" encoding="utf-8"?>
<Properties xmlns="http://schemas.openxmlformats.org/officeDocument/2006/custom-properties" xmlns:vt="http://schemas.openxmlformats.org/officeDocument/2006/docPropsVTypes"/>
</file>