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- Customer loyalty programme</w:t>
      </w:r>
    </w:p>
    <w:p>
      <w:r>
        <w:t>Attendees: Product, Engineering, Finance</w:t>
      </w:r>
    </w:p>
    <w:p/>
    <w:p>
      <w:r>
        <w:t>1. Sprint velocity is stable; two stories were carried over.</w:t>
      </w:r>
    </w:p>
    <w:p>
      <w:r>
        <w:t>2. Budget utilisation is at 65 percent of the approved amount.</w:t>
      </w:r>
    </w:p>
    <w:p>
      <w:r>
        <w:t>3. Risks: dependency on the vendor API release and pending security review.</w:t>
      </w:r>
    </w:p>
    <w:p>
      <w:r>
        <w:t>4. Next steps: finalise the test plan and schedule a demo for the steering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2021-05-04T09:31:00Z</dcterms:created>
  <dcterms:modified xsi:type="dcterms:W3CDTF">2013-12-23T23:15:00Z</dcterms:modified>
  <cp:category/>
</cp:coreProperties>
</file>