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Within DOCX keeps files on this device.</w:t>
      </w:r>
    </w:p>
    <w:p>
      <w:r>
        <w:rPr>
          <w:b/>
        </w:rPr>
        <w:t>Formatting</w:t>
      </w:r>
      <w:r>
        <w:t xml:space="preserve"> stays readable.</w:t>
      </w:r>
    </w:p>
    <w:p>
      <w:hyperlink r:id="rId2">
        <w:r>
          <w:t>Linked text</w:t>
        </w:r>
      </w:hyperlink>
      <w:r>
        <w:tab/>
        <w:t>after tab</w:t>
        <w:br/>
        <w:t>after break</w:t>
      </w:r>
    </w:p>
    <w:p>
      <w:r>
        <w:t>Unicode: हिन्दी, 日本語, café, 😀.</w:t>
      </w:r>
    </w:p>
    <w:p>
      <w:del>
        <w:r>
          <w:t>deleted text</w:t>
        </w:r>
      </w:del>
      <w:ins>
        <w:r>
          <w:t>Accepted insertion</w:t>
        </w:r>
      </w:ins>
    </w:p>
    <w:tbl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sectPr/>
  </w:body>
</w:document>
</file>