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NORTH EASTERN REGION (NER)</w:t>
        <w:br/>
        <w:t>TRANSPORT &amp; LOGISTICS RESEARCH</w:t>
      </w:r>
    </w:p>
    <w:p>
      <w:pPr>
        <w:jc w:val="center"/>
      </w:pPr>
      <w:r>
        <w:rPr>
          <w:b/>
          <w:sz w:val="30"/>
        </w:rPr>
        <w:t>Road-Freight-Centred Evidence Base for SIH260002</w:t>
      </w:r>
    </w:p>
    <w:p>
      <w:pPr>
        <w:jc w:val="center"/>
      </w:pPr>
      <w:r>
        <w:rPr>
          <w:sz w:val="22"/>
        </w:rPr>
        <w:br/>
        <w:t>Prepared from Government of India and official institutional sources</w:t>
        <w:br/>
        <w:t>Reference position: September 2026</w:t>
      </w:r>
    </w:p>
    <w:p/>
    <w:p>
      <w:pPr>
        <w:jc w:val="center"/>
      </w:pPr>
      <w:r>
        <w:rPr>
          <w:b/>
        </w:rPr>
        <w:t>Scope note</w:t>
      </w:r>
      <w:r>
        <w:br/>
        <w:t>This report deliberately excludes substantive sections on rail freight, inland waterways and air cargo. They are mentioned only where unavoidable to explain road-linked multimodal logistics or an official programme's design.</w:t>
      </w:r>
    </w:p>
    <w:p>
      <w:r>
        <w:br w:type="page"/>
      </w:r>
    </w:p>
    <w:p>
      <w:pPr>
        <w:pStyle w:val="Heading1"/>
      </w:pPr>
      <w:r>
        <w:t>1. Executive Summary</w:t>
      </w:r>
    </w:p>
    <w:p>
      <w:r>
        <w:t>The North Eastern Region (NER) is an unusually important logistics environment because its geography, international borders, dispersed settlements, mountainous terrain and dependence on a limited number of road corridors make freight movement highly sensitive to connectivity, reliability and corridor disruptions. Government sources increasingly describe high logistics costs, difficult terrain, corridor vulnerability and last-mile connectivity as central regional issues.</w:t>
      </w:r>
    </w:p>
    <w:p>
      <w:r>
        <w:t>The strongest evidence for a road-freight problem comes from the North Eastern Council's LEADS 2023 assessment and subsequent LEADS 2024 reporting. In the 2023 perception analysis, stakeholders in the North-East were more satisfied with the operating and regulatory environment than with logistics infrastructure and logistics services. Within logistics services, terminal-service quality and cost/pricing were weaker areas. The same report notes that trucks carry most of the goods traffic in several NE states. [S1]</w:t>
      </w:r>
    </w:p>
    <w:p>
      <w:r>
        <w:t>The infrastructure response is already substantial. MoRTH reported that 9,984 km of National Highways had been constructed in the NER during the preceding ten-year period, with ₹1,07,504 crore expenditure, and that 265 NH projects totaling 5,055 km and ₹1,18,894 crore were under implementation as of July 2024. [S2] This means the opportunity is not simply 'build more roads'; it is also to make the existing and expanding network more predictable, utilized efficiently, resilient to disruptions, and better matched to freight demand.</w:t>
      </w:r>
    </w:p>
    <w:p>
      <w:r>
        <w:t>For SIH260002, the evidence supports a differentiated digital layer focused on demand-supply matching, route/corridor intelligence, capacity utilization, disruption awareness and last-mile coordination. A key design principle should be interoperability with existing government and private systems rather than attempting to replace them.</w:t>
      </w:r>
    </w:p>
    <w:p>
      <w:pPr>
        <w:pStyle w:val="Heading1"/>
      </w:pPr>
      <w:r>
        <w:t>2. Evidence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b/>
                <w:sz w:val="18"/>
              </w:rPr>
              <w:t>Evidence</w:t>
            </w:r>
          </w:p>
        </w:tc>
        <w:tc>
          <w:tcPr>
            <w:tcW w:type="dxa" w:w="4680"/>
            <w:vAlign w:val="center"/>
            <w:shd w:fill="D9EAF7"/>
          </w:tcPr>
          <w:p>
            <w:r/>
            <w:r>
              <w:rPr>
                <w:b/>
                <w:sz w:val="18"/>
              </w:rPr>
              <w:t>Government finding / figure</w:t>
            </w:r>
          </w:p>
        </w:tc>
        <w:tc>
          <w:tcPr>
            <w:tcW w:type="dxa" w:w="3096"/>
            <w:vAlign w:val="center"/>
            <w:shd w:fill="D9EAF7"/>
          </w:tcPr>
          <w:p>
            <w:r/>
            <w:r>
              <w:rPr>
                <w:b/>
                <w:sz w:val="18"/>
              </w:rPr>
              <w:t>Why it matters</w:t>
            </w:r>
          </w:p>
        </w:tc>
      </w:tr>
      <w:tr>
        <w:tc>
          <w:tcPr>
            <w:tcW w:type="dxa" w:w="2088"/>
            <w:vAlign w:val="center"/>
          </w:tcPr>
          <w:p>
            <w:r/>
            <w:r>
              <w:rPr>
                <w:b w:val="0"/>
                <w:sz w:val="18"/>
              </w:rPr>
              <w:t>Road infrastructure investment</w:t>
            </w:r>
          </w:p>
        </w:tc>
        <w:tc>
          <w:tcPr>
            <w:tcW w:type="dxa" w:w="4680"/>
            <w:vAlign w:val="center"/>
          </w:tcPr>
          <w:p>
            <w:r/>
            <w:r>
              <w:rPr>
                <w:b w:val="0"/>
                <w:sz w:val="18"/>
              </w:rPr>
              <w:t>9,984 km of NH constructed in NER over the preceding 10 years; ₹1,07,504 crore expenditure (MoRTH/PIB, July 2024).</w:t>
            </w:r>
          </w:p>
        </w:tc>
        <w:tc>
          <w:tcPr>
            <w:tcW w:type="dxa" w:w="3096"/>
            <w:vAlign w:val="center"/>
          </w:tcPr>
          <w:p>
            <w:r/>
            <w:r>
              <w:rPr>
                <w:b w:val="0"/>
                <w:sz w:val="18"/>
              </w:rPr>
              <w:t>Large network investment exists; optimization should complement infrastructure.</w:t>
            </w:r>
          </w:p>
        </w:tc>
      </w:tr>
      <w:tr>
        <w:tc>
          <w:tcPr>
            <w:tcW w:type="dxa" w:w="2088"/>
            <w:vAlign w:val="center"/>
          </w:tcPr>
          <w:p>
            <w:r/>
            <w:r>
              <w:rPr>
                <w:b w:val="0"/>
                <w:sz w:val="18"/>
              </w:rPr>
              <w:t>Projects under implementation</w:t>
            </w:r>
          </w:p>
        </w:tc>
        <w:tc>
          <w:tcPr>
            <w:tcW w:type="dxa" w:w="4680"/>
            <w:vAlign w:val="center"/>
          </w:tcPr>
          <w:p>
            <w:r/>
            <w:r>
              <w:rPr>
                <w:b w:val="0"/>
                <w:sz w:val="18"/>
              </w:rPr>
              <w:t>265 NH projects; 5,055 km; ₹1,18,894 crore (MoRTH/PIB, July 2024).</w:t>
            </w:r>
          </w:p>
        </w:tc>
        <w:tc>
          <w:tcPr>
            <w:tcW w:type="dxa" w:w="3096"/>
            <w:vAlign w:val="center"/>
          </w:tcPr>
          <w:p>
            <w:r/>
            <w:r>
              <w:rPr>
                <w:b w:val="0"/>
                <w:sz w:val="18"/>
              </w:rPr>
              <w:t>Network is still changing, so digital planning must handle dynamic corridors.</w:t>
            </w:r>
          </w:p>
        </w:tc>
      </w:tr>
      <w:tr>
        <w:tc>
          <w:tcPr>
            <w:tcW w:type="dxa" w:w="2088"/>
            <w:vAlign w:val="center"/>
          </w:tcPr>
          <w:p>
            <w:r/>
            <w:r>
              <w:rPr>
                <w:b w:val="0"/>
                <w:sz w:val="18"/>
              </w:rPr>
              <w:t>LEADS 2024</w:t>
            </w:r>
          </w:p>
        </w:tc>
        <w:tc>
          <w:tcPr>
            <w:tcW w:type="dxa" w:w="4680"/>
            <w:vAlign w:val="center"/>
          </w:tcPr>
          <w:p>
            <w:r/>
            <w:r>
              <w:rPr>
                <w:b w:val="0"/>
                <w:sz w:val="18"/>
              </w:rPr>
              <w:t>North-East group logistics infrastructure score rose 9%; logistics services rose 7%; operating/regulatory environment declined 3% from 2023.</w:t>
            </w:r>
          </w:p>
        </w:tc>
        <w:tc>
          <w:tcPr>
            <w:tcW w:type="dxa" w:w="3096"/>
            <w:vAlign w:val="center"/>
          </w:tcPr>
          <w:p>
            <w:r/>
            <w:r>
              <w:rPr>
                <w:b w:val="0"/>
                <w:sz w:val="18"/>
              </w:rPr>
              <w:t>Performance is improving but uneven; services/cost and regulatory execution remain relevant.</w:t>
            </w:r>
          </w:p>
        </w:tc>
      </w:tr>
      <w:tr>
        <w:tc>
          <w:tcPr>
            <w:tcW w:type="dxa" w:w="2088"/>
            <w:vAlign w:val="center"/>
          </w:tcPr>
          <w:p>
            <w:r/>
            <w:r>
              <w:rPr>
                <w:b w:val="0"/>
                <w:sz w:val="18"/>
              </w:rPr>
              <w:t>LEADS 2023 perception</w:t>
            </w:r>
          </w:p>
        </w:tc>
        <w:tc>
          <w:tcPr>
            <w:tcW w:type="dxa" w:w="4680"/>
            <w:vAlign w:val="center"/>
          </w:tcPr>
          <w:p>
            <w:r/>
            <w:r>
              <w:rPr>
                <w:b w:val="0"/>
                <w:sz w:val="18"/>
              </w:rPr>
              <w:t>Stakeholders were more satisfied with operating/regulatory environment than infrastructure/services; cost/pricing and terminal services were weaker service indicators.</w:t>
            </w:r>
          </w:p>
        </w:tc>
        <w:tc>
          <w:tcPr>
            <w:tcW w:type="dxa" w:w="3096"/>
            <w:vAlign w:val="center"/>
          </w:tcPr>
          <w:p>
            <w:r/>
            <w:r>
              <w:rPr>
                <w:b w:val="0"/>
                <w:sz w:val="18"/>
              </w:rPr>
              <w:t>Shows a gap beyond physical roads.</w:t>
            </w:r>
          </w:p>
        </w:tc>
      </w:tr>
      <w:tr>
        <w:tc>
          <w:tcPr>
            <w:tcW w:type="dxa" w:w="2088"/>
            <w:vAlign w:val="center"/>
          </w:tcPr>
          <w:p>
            <w:r/>
            <w:r>
              <w:rPr>
                <w:b w:val="0"/>
                <w:sz w:val="18"/>
              </w:rPr>
              <w:t>Road-freight role</w:t>
            </w:r>
          </w:p>
        </w:tc>
        <w:tc>
          <w:tcPr>
            <w:tcW w:type="dxa" w:w="4680"/>
            <w:vAlign w:val="center"/>
          </w:tcPr>
          <w:p>
            <w:r/>
            <w:r>
              <w:rPr>
                <w:b w:val="0"/>
                <w:sz w:val="18"/>
              </w:rPr>
              <w:t>NEC Yearbook 2025 notes trucks carry most goods traffic in several NE states.</w:t>
            </w:r>
          </w:p>
        </w:tc>
        <w:tc>
          <w:tcPr>
            <w:tcW w:type="dxa" w:w="3096"/>
            <w:vAlign w:val="center"/>
          </w:tcPr>
          <w:p>
            <w:r/>
            <w:r>
              <w:rPr>
                <w:b w:val="0"/>
                <w:sz w:val="18"/>
              </w:rPr>
              <w:t>Truck utilization, routing and matching are central to the regional freight problem.</w:t>
            </w:r>
          </w:p>
        </w:tc>
      </w:tr>
      <w:tr>
        <w:tc>
          <w:tcPr>
            <w:tcW w:type="dxa" w:w="2088"/>
            <w:vAlign w:val="center"/>
          </w:tcPr>
          <w:p>
            <w:r/>
            <w:r>
              <w:rPr>
                <w:b w:val="0"/>
                <w:sz w:val="18"/>
              </w:rPr>
              <w:t>Road vulnerability</w:t>
            </w:r>
          </w:p>
        </w:tc>
        <w:tc>
          <w:tcPr>
            <w:tcW w:type="dxa" w:w="4680"/>
            <w:vAlign w:val="center"/>
          </w:tcPr>
          <w:p>
            <w:r/>
            <w:r>
              <w:rPr>
                <w:b w:val="0"/>
                <w:sz w:val="18"/>
              </w:rPr>
              <w:t>Government sources identify difficult terrain, corridor vulnerability and the need for resilient/all-weather road connectivity.</w:t>
            </w:r>
          </w:p>
        </w:tc>
        <w:tc>
          <w:tcPr>
            <w:tcW w:type="dxa" w:w="3096"/>
            <w:vAlign w:val="center"/>
          </w:tcPr>
          <w:p>
            <w:r/>
            <w:r>
              <w:rPr>
                <w:b w:val="0"/>
                <w:sz w:val="18"/>
              </w:rPr>
              <w:t>Disruption-aware route planning is a core requirement.</w:t>
            </w:r>
          </w:p>
        </w:tc>
      </w:tr>
      <w:tr>
        <w:tc>
          <w:tcPr>
            <w:tcW w:type="dxa" w:w="2088"/>
            <w:vAlign w:val="center"/>
          </w:tcPr>
          <w:p>
            <w:r/>
            <w:r>
              <w:rPr>
                <w:b w:val="0"/>
                <w:sz w:val="18"/>
              </w:rPr>
              <w:t>Border logistics</w:t>
            </w:r>
          </w:p>
        </w:tc>
        <w:tc>
          <w:tcPr>
            <w:tcW w:type="dxa" w:w="4680"/>
            <w:vAlign w:val="center"/>
          </w:tcPr>
          <w:p>
            <w:r/>
            <w:r>
              <w:rPr>
                <w:b w:val="0"/>
                <w:sz w:val="18"/>
              </w:rPr>
              <w:t>As of March 2026, LPAI reported 15 operational ICPs nationally; several are in NER, including Agartala, Moreh, Sutarkandi, Srimantpur, Dawki, Sabroom, Darranga, Mankachar and Golakganj.</w:t>
            </w:r>
          </w:p>
        </w:tc>
        <w:tc>
          <w:tcPr>
            <w:tcW w:type="dxa" w:w="3096"/>
            <w:vAlign w:val="center"/>
          </w:tcPr>
          <w:p>
            <w:r/>
            <w:r>
              <w:rPr>
                <w:b w:val="0"/>
                <w:sz w:val="18"/>
              </w:rPr>
              <w:t>Cross-border freight needs visibility, documentation and corridor coordination.</w:t>
            </w:r>
          </w:p>
        </w:tc>
      </w:tr>
      <w:tr>
        <w:tc>
          <w:tcPr>
            <w:tcW w:type="dxa" w:w="2088"/>
            <w:vAlign w:val="center"/>
          </w:tcPr>
          <w:p>
            <w:r/>
            <w:r>
              <w:rPr>
                <w:b w:val="0"/>
                <w:sz w:val="18"/>
              </w:rPr>
              <w:t>MMLP Jogighopa</w:t>
            </w:r>
          </w:p>
        </w:tc>
        <w:tc>
          <w:tcPr>
            <w:tcW w:type="dxa" w:w="4680"/>
            <w:vAlign w:val="center"/>
          </w:tcPr>
          <w:p>
            <w:r/>
            <w:r>
              <w:rPr>
                <w:b w:val="0"/>
                <w:sz w:val="18"/>
              </w:rPr>
              <w:t>Official sources describe Jogighopa MMLP as a regional distribution centre intended to facilitate cross-border trade with Bangladesh, Bhutan and Nepal.</w:t>
            </w:r>
          </w:p>
        </w:tc>
        <w:tc>
          <w:tcPr>
            <w:tcW w:type="dxa" w:w="3096"/>
            <w:vAlign w:val="center"/>
          </w:tcPr>
          <w:p>
            <w:r/>
            <w:r>
              <w:rPr>
                <w:b w:val="0"/>
                <w:sz w:val="18"/>
              </w:rPr>
              <w:t>Creates a high-value aggregation/distribution node for road logistics.</w:t>
            </w:r>
          </w:p>
        </w:tc>
      </w:tr>
    </w:tbl>
    <w:p/>
    <w:p>
      <w:pPr>
        <w:pStyle w:val="SmallNote"/>
      </w:pPr>
      <w:r>
        <w:t>Primary evidence: [S1] NEC Yearbook 2025; [S2] PIB/MoRTH, Road Infrastructure in NER (25 Jul 2024); [S3] DPIIT LEADS 2024; [S4] MHA 2026; [S5] MoRTH/PIB MMLP Jogighopa.</w:t>
      </w:r>
    </w:p>
    <w:p>
      <w:pPr>
        <w:pStyle w:val="Heading1"/>
      </w:pPr>
      <w:r>
        <w:t>3. Scope, Method and Source Discipline</w:t>
      </w:r>
    </w:p>
    <w:p>
      <w:pPr>
        <w:pStyle w:val="ListBullet"/>
        <w:ind w:left="0"/>
      </w:pPr>
      <w:r>
        <w:t>Geographic scope: all eight states of the North Eastern Region—Arunachal Pradesh, Assam, Manipur, Meghalaya, Mizoram, Nagaland, Sikkim and Tripura.</w:t>
      </w:r>
    </w:p>
    <w:p>
      <w:pPr>
        <w:pStyle w:val="ListBullet"/>
        <w:ind w:left="0"/>
      </w:pPr>
      <w:r>
        <w:t>Primary focus: road freight, truck movement, road corridors, last-mile logistics, freight demand, border trade, disruptions, logistics efficiency and digital coordination.</w:t>
      </w:r>
    </w:p>
    <w:p>
      <w:pPr>
        <w:pStyle w:val="ListBullet"/>
        <w:ind w:left="0"/>
      </w:pPr>
      <w:r>
        <w:t>Excluded from substantive analysis: rail freight, inland waterways and air cargo.</w:t>
      </w:r>
    </w:p>
    <w:p>
      <w:pPr>
        <w:pStyle w:val="ListBullet"/>
        <w:ind w:left="0"/>
      </w:pPr>
      <w:r>
        <w:t>Source priority: Government of India ministries/agencies and official state/institutional sources. Secondary material is not used to establish core quantitative claims in this document.</w:t>
      </w:r>
    </w:p>
    <w:p>
      <w:pPr>
        <w:pStyle w:val="ListBullet"/>
        <w:ind w:left="0"/>
      </w:pPr>
      <w:r>
        <w:t>Temporal discipline: older datasets are labelled with their source year; current programme status is separated from historical road-stock statistics.</w:t>
      </w:r>
    </w:p>
    <w:p>
      <w:pPr>
        <w:pStyle w:val="ListBullet"/>
        <w:ind w:left="0"/>
      </w:pPr>
      <w:r>
        <w:t>Interpretation rule: where an official source identifies a gap (for example, cost/pricing or corridor vulnerability), this is treated as evidence. Where this report proposes an implication for SIH260002, it is explicitly framed as a design inference rather than an official finding.</w:t>
      </w:r>
    </w:p>
    <w:p>
      <w:pPr>
        <w:pStyle w:val="Heading1"/>
      </w:pPr>
      <w:r>
        <w:t>4. Road Freight &amp; Truck Transportation</w:t>
      </w:r>
    </w:p>
    <w:p>
      <w:pPr>
        <w:pStyle w:val="Heading2"/>
      </w:pPr>
      <w:r>
        <w:t>4.1 Road is the operational backbone for many NE freight flows</w:t>
      </w:r>
    </w:p>
    <w:p>
      <w:r>
        <w:t>The NEC Yearbook 2025 explicitly notes that trucks carry most of the goods traffic in several states of the North-East. This is important because the regional freight problem cannot be framed only as a road-construction problem: it is also a truck-operations, scheduling, utilization and service-quality problem. [S1]</w:t>
      </w:r>
    </w:p>
    <w:p>
      <w:pPr>
        <w:pStyle w:val="Heading2"/>
      </w:pPr>
      <w:r>
        <w:t>4.2 Scale of ongoing road development</w:t>
      </w:r>
    </w:p>
    <w:p>
      <w:r>
        <w:t>MoRTH's July 2024 official release reported 9,984 km of National Highways constructed in the NER over the preceding ten years, with expenditure of ₹1,07,504 crore. It also reported 265 NH projects under implementation, totaling 5,055 km and ₹1,18,894 crore. MoRTH states that 10% of its total budget is earmarked for the NER. [S2]</w:t>
      </w:r>
    </w:p>
    <w:p>
      <w:r>
        <w:t>The 2023–24 MoRTH Annual Report provides a state-wise snapshot of ongoing NH projects as of 31 March 2024: Assam 65 projects/1,210 km; Arunachal Pradesh 30/363 km; Manipur 46/900 km; Meghalaya 23/505 km; Mizoram 32/798 km; Nagaland 36/722 km; Sikkim 16/231 km; Tripura 17/326 km—265 projects and 5,055 km in total. [S6]</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State</w:t>
            </w:r>
          </w:p>
        </w:tc>
        <w:tc>
          <w:tcPr>
            <w:tcW w:type="dxa" w:w="2520"/>
            <w:vAlign w:val="center"/>
            <w:shd w:fill="D9EAF7"/>
          </w:tcPr>
          <w:p>
            <w:r/>
            <w:r>
              <w:rPr>
                <w:b/>
                <w:sz w:val="18"/>
              </w:rPr>
              <w:t>Ongoing NH projects (31 Mar 2024)</w:t>
            </w:r>
          </w:p>
        </w:tc>
        <w:tc>
          <w:tcPr>
            <w:tcW w:type="dxa" w:w="2520"/>
            <w:vAlign w:val="center"/>
            <w:shd w:fill="D9EAF7"/>
          </w:tcPr>
          <w:p>
            <w:r/>
            <w:r>
              <w:rPr>
                <w:b/>
                <w:sz w:val="18"/>
              </w:rPr>
              <w:t>Length (km)</w:t>
            </w:r>
          </w:p>
        </w:tc>
        <w:tc>
          <w:tcPr>
            <w:tcW w:type="dxa" w:w="2520"/>
            <w:vAlign w:val="center"/>
            <w:shd w:fill="D9EAF7"/>
          </w:tcPr>
          <w:p>
            <w:r/>
            <w:r>
              <w:rPr>
                <w:b/>
                <w:sz w:val="18"/>
              </w:rPr>
              <w:t>Project cost (₹ crore)</w:t>
            </w:r>
          </w:p>
        </w:tc>
      </w:tr>
      <w:tr>
        <w:tc>
          <w:tcPr>
            <w:tcW w:type="dxa" w:w="2520"/>
            <w:vAlign w:val="center"/>
          </w:tcPr>
          <w:p>
            <w:r/>
            <w:r>
              <w:rPr>
                <w:b w:val="0"/>
                <w:sz w:val="18"/>
              </w:rPr>
              <w:t>Assam</w:t>
            </w:r>
          </w:p>
        </w:tc>
        <w:tc>
          <w:tcPr>
            <w:tcW w:type="dxa" w:w="2520"/>
            <w:vAlign w:val="center"/>
          </w:tcPr>
          <w:p>
            <w:r/>
            <w:r>
              <w:rPr>
                <w:b w:val="0"/>
                <w:sz w:val="18"/>
              </w:rPr>
              <w:t>65</w:t>
            </w:r>
          </w:p>
        </w:tc>
        <w:tc>
          <w:tcPr>
            <w:tcW w:type="dxa" w:w="2520"/>
            <w:vAlign w:val="center"/>
          </w:tcPr>
          <w:p>
            <w:r/>
            <w:r>
              <w:rPr>
                <w:b w:val="0"/>
                <w:sz w:val="18"/>
              </w:rPr>
              <w:t>1,210</w:t>
            </w:r>
          </w:p>
        </w:tc>
        <w:tc>
          <w:tcPr>
            <w:tcW w:type="dxa" w:w="2520"/>
            <w:vAlign w:val="center"/>
          </w:tcPr>
          <w:p>
            <w:r/>
            <w:r>
              <w:rPr>
                <w:b w:val="0"/>
                <w:sz w:val="18"/>
              </w:rPr>
              <w:t>44,008</w:t>
            </w:r>
          </w:p>
        </w:tc>
      </w:tr>
      <w:tr>
        <w:tc>
          <w:tcPr>
            <w:tcW w:type="dxa" w:w="2520"/>
            <w:vAlign w:val="center"/>
          </w:tcPr>
          <w:p>
            <w:r/>
            <w:r>
              <w:rPr>
                <w:b w:val="0"/>
                <w:sz w:val="18"/>
              </w:rPr>
              <w:t>Arunachal Pradesh</w:t>
            </w:r>
          </w:p>
        </w:tc>
        <w:tc>
          <w:tcPr>
            <w:tcW w:type="dxa" w:w="2520"/>
            <w:vAlign w:val="center"/>
          </w:tcPr>
          <w:p>
            <w:r/>
            <w:r>
              <w:rPr>
                <w:b w:val="0"/>
                <w:sz w:val="18"/>
              </w:rPr>
              <w:t>30</w:t>
            </w:r>
          </w:p>
        </w:tc>
        <w:tc>
          <w:tcPr>
            <w:tcW w:type="dxa" w:w="2520"/>
            <w:vAlign w:val="center"/>
          </w:tcPr>
          <w:p>
            <w:r/>
            <w:r>
              <w:rPr>
                <w:b w:val="0"/>
                <w:sz w:val="18"/>
              </w:rPr>
              <w:t>363</w:t>
            </w:r>
          </w:p>
        </w:tc>
        <w:tc>
          <w:tcPr>
            <w:tcW w:type="dxa" w:w="2520"/>
            <w:vAlign w:val="center"/>
          </w:tcPr>
          <w:p>
            <w:r/>
            <w:r>
              <w:rPr>
                <w:b w:val="0"/>
                <w:sz w:val="18"/>
              </w:rPr>
              <w:t>9,383</w:t>
            </w:r>
          </w:p>
        </w:tc>
      </w:tr>
      <w:tr>
        <w:tc>
          <w:tcPr>
            <w:tcW w:type="dxa" w:w="2520"/>
            <w:vAlign w:val="center"/>
          </w:tcPr>
          <w:p>
            <w:r/>
            <w:r>
              <w:rPr>
                <w:b w:val="0"/>
                <w:sz w:val="18"/>
              </w:rPr>
              <w:t>Manipur</w:t>
            </w:r>
          </w:p>
        </w:tc>
        <w:tc>
          <w:tcPr>
            <w:tcW w:type="dxa" w:w="2520"/>
            <w:vAlign w:val="center"/>
          </w:tcPr>
          <w:p>
            <w:r/>
            <w:r>
              <w:rPr>
                <w:b w:val="0"/>
                <w:sz w:val="18"/>
              </w:rPr>
              <w:t>46</w:t>
            </w:r>
          </w:p>
        </w:tc>
        <w:tc>
          <w:tcPr>
            <w:tcW w:type="dxa" w:w="2520"/>
            <w:vAlign w:val="center"/>
          </w:tcPr>
          <w:p>
            <w:r/>
            <w:r>
              <w:rPr>
                <w:b w:val="0"/>
                <w:sz w:val="18"/>
              </w:rPr>
              <w:t>900</w:t>
            </w:r>
          </w:p>
        </w:tc>
        <w:tc>
          <w:tcPr>
            <w:tcW w:type="dxa" w:w="2520"/>
            <w:vAlign w:val="center"/>
          </w:tcPr>
          <w:p>
            <w:r/>
            <w:r>
              <w:rPr>
                <w:b w:val="0"/>
                <w:sz w:val="18"/>
              </w:rPr>
              <w:t>14,126</w:t>
            </w:r>
          </w:p>
        </w:tc>
      </w:tr>
      <w:tr>
        <w:tc>
          <w:tcPr>
            <w:tcW w:type="dxa" w:w="2520"/>
            <w:vAlign w:val="center"/>
          </w:tcPr>
          <w:p>
            <w:r/>
            <w:r>
              <w:rPr>
                <w:b w:val="0"/>
                <w:sz w:val="18"/>
              </w:rPr>
              <w:t>Meghalaya</w:t>
            </w:r>
          </w:p>
        </w:tc>
        <w:tc>
          <w:tcPr>
            <w:tcW w:type="dxa" w:w="2520"/>
            <w:vAlign w:val="center"/>
          </w:tcPr>
          <w:p>
            <w:r/>
            <w:r>
              <w:rPr>
                <w:b w:val="0"/>
                <w:sz w:val="18"/>
              </w:rPr>
              <w:t>23</w:t>
            </w:r>
          </w:p>
        </w:tc>
        <w:tc>
          <w:tcPr>
            <w:tcW w:type="dxa" w:w="2520"/>
            <w:vAlign w:val="center"/>
          </w:tcPr>
          <w:p>
            <w:r/>
            <w:r>
              <w:rPr>
                <w:b w:val="0"/>
                <w:sz w:val="18"/>
              </w:rPr>
              <w:t>505</w:t>
            </w:r>
          </w:p>
        </w:tc>
        <w:tc>
          <w:tcPr>
            <w:tcW w:type="dxa" w:w="2520"/>
            <w:vAlign w:val="center"/>
          </w:tcPr>
          <w:p>
            <w:r/>
            <w:r>
              <w:rPr>
                <w:b w:val="0"/>
                <w:sz w:val="18"/>
              </w:rPr>
              <w:t>8,881</w:t>
            </w:r>
          </w:p>
        </w:tc>
      </w:tr>
      <w:tr>
        <w:tc>
          <w:tcPr>
            <w:tcW w:type="dxa" w:w="2520"/>
            <w:vAlign w:val="center"/>
          </w:tcPr>
          <w:p>
            <w:r/>
            <w:r>
              <w:rPr>
                <w:b w:val="0"/>
                <w:sz w:val="18"/>
              </w:rPr>
              <w:t>Mizoram</w:t>
            </w:r>
          </w:p>
        </w:tc>
        <w:tc>
          <w:tcPr>
            <w:tcW w:type="dxa" w:w="2520"/>
            <w:vAlign w:val="center"/>
          </w:tcPr>
          <w:p>
            <w:r/>
            <w:r>
              <w:rPr>
                <w:b w:val="0"/>
                <w:sz w:val="18"/>
              </w:rPr>
              <w:t>32</w:t>
            </w:r>
          </w:p>
        </w:tc>
        <w:tc>
          <w:tcPr>
            <w:tcW w:type="dxa" w:w="2520"/>
            <w:vAlign w:val="center"/>
          </w:tcPr>
          <w:p>
            <w:r/>
            <w:r>
              <w:rPr>
                <w:b w:val="0"/>
                <w:sz w:val="18"/>
              </w:rPr>
              <w:t>798</w:t>
            </w:r>
          </w:p>
        </w:tc>
        <w:tc>
          <w:tcPr>
            <w:tcW w:type="dxa" w:w="2520"/>
            <w:vAlign w:val="center"/>
          </w:tcPr>
          <w:p>
            <w:r/>
            <w:r>
              <w:rPr>
                <w:b w:val="0"/>
                <w:sz w:val="18"/>
              </w:rPr>
              <w:t>17,999</w:t>
            </w:r>
          </w:p>
        </w:tc>
      </w:tr>
      <w:tr>
        <w:tc>
          <w:tcPr>
            <w:tcW w:type="dxa" w:w="2520"/>
            <w:vAlign w:val="center"/>
          </w:tcPr>
          <w:p>
            <w:r/>
            <w:r>
              <w:rPr>
                <w:b w:val="0"/>
                <w:sz w:val="18"/>
              </w:rPr>
              <w:t>Nagaland</w:t>
            </w:r>
          </w:p>
        </w:tc>
        <w:tc>
          <w:tcPr>
            <w:tcW w:type="dxa" w:w="2520"/>
            <w:vAlign w:val="center"/>
          </w:tcPr>
          <w:p>
            <w:r/>
            <w:r>
              <w:rPr>
                <w:b w:val="0"/>
                <w:sz w:val="18"/>
              </w:rPr>
              <w:t>36</w:t>
            </w:r>
          </w:p>
        </w:tc>
        <w:tc>
          <w:tcPr>
            <w:tcW w:type="dxa" w:w="2520"/>
            <w:vAlign w:val="center"/>
          </w:tcPr>
          <w:p>
            <w:r/>
            <w:r>
              <w:rPr>
                <w:b w:val="0"/>
                <w:sz w:val="18"/>
              </w:rPr>
              <w:t>722</w:t>
            </w:r>
          </w:p>
        </w:tc>
        <w:tc>
          <w:tcPr>
            <w:tcW w:type="dxa" w:w="2520"/>
            <w:vAlign w:val="center"/>
          </w:tcPr>
          <w:p>
            <w:r/>
            <w:r>
              <w:rPr>
                <w:b w:val="0"/>
                <w:sz w:val="18"/>
              </w:rPr>
              <w:t>11,353</w:t>
            </w:r>
          </w:p>
        </w:tc>
      </w:tr>
      <w:tr>
        <w:tc>
          <w:tcPr>
            <w:tcW w:type="dxa" w:w="2520"/>
            <w:vAlign w:val="center"/>
          </w:tcPr>
          <w:p>
            <w:r/>
            <w:r>
              <w:rPr>
                <w:b w:val="0"/>
                <w:sz w:val="18"/>
              </w:rPr>
              <w:t>Sikkim</w:t>
            </w:r>
          </w:p>
        </w:tc>
        <w:tc>
          <w:tcPr>
            <w:tcW w:type="dxa" w:w="2520"/>
            <w:vAlign w:val="center"/>
          </w:tcPr>
          <w:p>
            <w:r/>
            <w:r>
              <w:rPr>
                <w:b w:val="0"/>
                <w:sz w:val="18"/>
              </w:rPr>
              <w:t>16</w:t>
            </w:r>
          </w:p>
        </w:tc>
        <w:tc>
          <w:tcPr>
            <w:tcW w:type="dxa" w:w="2520"/>
            <w:vAlign w:val="center"/>
          </w:tcPr>
          <w:p>
            <w:r/>
            <w:r>
              <w:rPr>
                <w:b w:val="0"/>
                <w:sz w:val="18"/>
              </w:rPr>
              <w:t>231</w:t>
            </w:r>
          </w:p>
        </w:tc>
        <w:tc>
          <w:tcPr>
            <w:tcW w:type="dxa" w:w="2520"/>
            <w:vAlign w:val="center"/>
          </w:tcPr>
          <w:p>
            <w:r/>
            <w:r>
              <w:rPr>
                <w:b w:val="0"/>
                <w:sz w:val="18"/>
              </w:rPr>
              <w:t>4,961</w:t>
            </w:r>
          </w:p>
        </w:tc>
      </w:tr>
      <w:tr>
        <w:tc>
          <w:tcPr>
            <w:tcW w:type="dxa" w:w="2520"/>
            <w:vAlign w:val="center"/>
          </w:tcPr>
          <w:p>
            <w:r/>
            <w:r>
              <w:rPr>
                <w:b w:val="0"/>
                <w:sz w:val="18"/>
              </w:rPr>
              <w:t>Tripura</w:t>
            </w:r>
          </w:p>
        </w:tc>
        <w:tc>
          <w:tcPr>
            <w:tcW w:type="dxa" w:w="2520"/>
            <w:vAlign w:val="center"/>
          </w:tcPr>
          <w:p>
            <w:r/>
            <w:r>
              <w:rPr>
                <w:b w:val="0"/>
                <w:sz w:val="18"/>
              </w:rPr>
              <w:t>17</w:t>
            </w:r>
          </w:p>
        </w:tc>
        <w:tc>
          <w:tcPr>
            <w:tcW w:type="dxa" w:w="2520"/>
            <w:vAlign w:val="center"/>
          </w:tcPr>
          <w:p>
            <w:r/>
            <w:r>
              <w:rPr>
                <w:b w:val="0"/>
                <w:sz w:val="18"/>
              </w:rPr>
              <w:t>326</w:t>
            </w:r>
          </w:p>
        </w:tc>
        <w:tc>
          <w:tcPr>
            <w:tcW w:type="dxa" w:w="2520"/>
            <w:vAlign w:val="center"/>
          </w:tcPr>
          <w:p>
            <w:r/>
            <w:r>
              <w:rPr>
                <w:b w:val="0"/>
                <w:sz w:val="18"/>
              </w:rPr>
              <w:t>7,883</w:t>
            </w:r>
          </w:p>
        </w:tc>
      </w:tr>
      <w:tr>
        <w:tc>
          <w:tcPr>
            <w:tcW w:type="dxa" w:w="2520"/>
            <w:vAlign w:val="center"/>
          </w:tcPr>
          <w:p>
            <w:r/>
            <w:r>
              <w:rPr>
                <w:b w:val="0"/>
                <w:sz w:val="18"/>
              </w:rPr>
              <w:t>NER total</w:t>
            </w:r>
          </w:p>
        </w:tc>
        <w:tc>
          <w:tcPr>
            <w:tcW w:type="dxa" w:w="2520"/>
            <w:vAlign w:val="center"/>
          </w:tcPr>
          <w:p>
            <w:r/>
            <w:r>
              <w:rPr>
                <w:b w:val="0"/>
                <w:sz w:val="18"/>
              </w:rPr>
              <w:t>265</w:t>
            </w:r>
          </w:p>
        </w:tc>
        <w:tc>
          <w:tcPr>
            <w:tcW w:type="dxa" w:w="2520"/>
            <w:vAlign w:val="center"/>
          </w:tcPr>
          <w:p>
            <w:r/>
            <w:r>
              <w:rPr>
                <w:b w:val="0"/>
                <w:sz w:val="18"/>
              </w:rPr>
              <w:t>5,055</w:t>
            </w:r>
          </w:p>
        </w:tc>
        <w:tc>
          <w:tcPr>
            <w:tcW w:type="dxa" w:w="2520"/>
            <w:vAlign w:val="center"/>
          </w:tcPr>
          <w:p>
            <w:r/>
            <w:r>
              <w:rPr>
                <w:b w:val="0"/>
                <w:sz w:val="18"/>
              </w:rPr>
              <w:t>1,18,594</w:t>
            </w:r>
          </w:p>
        </w:tc>
      </w:tr>
    </w:tbl>
    <w:p/>
    <w:p>
      <w:pPr>
        <w:pStyle w:val="Heading2"/>
      </w:pPr>
      <w:r>
        <w:t>4.3 What this means for freight operations</w:t>
      </w:r>
    </w:p>
    <w:p>
      <w:pPr>
        <w:pStyle w:val="ListBullet"/>
        <w:ind w:left="0"/>
      </w:pPr>
      <w:r>
        <w:t>A growing NH network creates more route alternatives, but it also increases the need for reliable corridor intelligence.</w:t>
      </w:r>
    </w:p>
    <w:p>
      <w:pPr>
        <w:pStyle w:val="ListBullet"/>
        <w:ind w:left="0"/>
      </w:pPr>
      <w:r>
        <w:t>Mountain roads and border corridors can have high consequence when a single link is blocked; route choice must therefore include resilience, not only distance.</w:t>
      </w:r>
    </w:p>
    <w:p>
      <w:pPr>
        <w:pStyle w:val="ListBullet"/>
        <w:ind w:left="0"/>
      </w:pPr>
      <w:r>
        <w:t>New infrastructure can reduce travel time, but logistics performance also depends on terminals, warehousing, first/last-mile links, pricing and operational coordination.</w:t>
      </w:r>
    </w:p>
    <w:p>
      <w:pPr>
        <w:pStyle w:val="ListBullet"/>
        <w:ind w:left="0"/>
      </w:pPr>
      <w:r>
        <w:t>For a digital freight platform, the useful unit is not just a 'road'; it is a corridor connecting supply, demand, vehicle capacity, loading points, markets and border gateways.</w:t>
      </w:r>
    </w:p>
    <w:p>
      <w:pPr>
        <w:pStyle w:val="Heading1"/>
      </w:pPr>
      <w:r>
        <w:t>5. Major Freight-Generating Commodities</w:t>
      </w:r>
    </w:p>
    <w:p>
      <w:r>
        <w:t>The NER has a mixed freight base. Official trade and development sources identify agricultural, horticultural, petroleum/energy, construction and manufactured/processed goods as important categories. The exact commodity mix differs sharply by state.</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b/>
                <w:sz w:val="18"/>
              </w:rPr>
              <w:t>Freight category</w:t>
            </w:r>
          </w:p>
        </w:tc>
        <w:tc>
          <w:tcPr>
            <w:tcW w:type="dxa" w:w="4608"/>
            <w:vAlign w:val="center"/>
            <w:shd w:fill="D9EAF7"/>
          </w:tcPr>
          <w:p>
            <w:r/>
            <w:r>
              <w:rPr>
                <w:b/>
                <w:sz w:val="18"/>
              </w:rPr>
              <w:t>Illustrative NER concentration / relevance</w:t>
            </w:r>
          </w:p>
        </w:tc>
        <w:tc>
          <w:tcPr>
            <w:tcW w:type="dxa" w:w="3168"/>
            <w:vAlign w:val="center"/>
            <w:shd w:fill="D9EAF7"/>
          </w:tcPr>
          <w:p>
            <w:r/>
            <w:r>
              <w:rPr>
                <w:b/>
                <w:sz w:val="18"/>
              </w:rPr>
              <w:t>Logistics implication</w:t>
            </w:r>
          </w:p>
        </w:tc>
      </w:tr>
      <w:tr>
        <w:tc>
          <w:tcPr>
            <w:tcW w:type="dxa" w:w="2088"/>
            <w:vAlign w:val="center"/>
          </w:tcPr>
          <w:p>
            <w:r/>
            <w:r>
              <w:rPr>
                <w:b w:val="0"/>
                <w:sz w:val="18"/>
              </w:rPr>
              <w:t>Tea and processed tea</w:t>
            </w:r>
          </w:p>
        </w:tc>
        <w:tc>
          <w:tcPr>
            <w:tcW w:type="dxa" w:w="4608"/>
            <w:vAlign w:val="center"/>
          </w:tcPr>
          <w:p>
            <w:r/>
            <w:r>
              <w:rPr>
                <w:b w:val="0"/>
                <w:sz w:val="18"/>
              </w:rPr>
              <w:t>Assam is India's dominant tea-producing region; tea is a high-volume, time-sensitive commercial product.</w:t>
            </w:r>
          </w:p>
        </w:tc>
        <w:tc>
          <w:tcPr>
            <w:tcW w:type="dxa" w:w="3168"/>
            <w:vAlign w:val="center"/>
          </w:tcPr>
          <w:p>
            <w:r/>
            <w:r>
              <w:rPr>
                <w:b w:val="0"/>
                <w:sz w:val="18"/>
              </w:rPr>
              <w:t>Reliable road links from producing/processing clusters to aggregation and markets.</w:t>
            </w:r>
          </w:p>
        </w:tc>
      </w:tr>
      <w:tr>
        <w:tc>
          <w:tcPr>
            <w:tcW w:type="dxa" w:w="2088"/>
            <w:vAlign w:val="center"/>
          </w:tcPr>
          <w:p>
            <w:r/>
            <w:r>
              <w:rPr>
                <w:b w:val="0"/>
                <w:sz w:val="18"/>
              </w:rPr>
              <w:t>Petroleum products / hydrocarbons</w:t>
            </w:r>
          </w:p>
        </w:tc>
        <w:tc>
          <w:tcPr>
            <w:tcW w:type="dxa" w:w="4608"/>
            <w:vAlign w:val="center"/>
          </w:tcPr>
          <w:p>
            <w:r/>
            <w:r>
              <w:rPr>
                <w:b w:val="0"/>
                <w:sz w:val="18"/>
              </w:rPr>
              <w:t>Assam has major petroleum refining and distribution activity; petroleum products are strategically important regional freight.</w:t>
            </w:r>
          </w:p>
        </w:tc>
        <w:tc>
          <w:tcPr>
            <w:tcW w:type="dxa" w:w="3168"/>
            <w:vAlign w:val="center"/>
          </w:tcPr>
          <w:p>
            <w:r/>
            <w:r>
              <w:rPr>
                <w:b w:val="0"/>
                <w:sz w:val="18"/>
              </w:rPr>
              <w:t>Specialized vehicles, regulated routing and dependable corridors.</w:t>
            </w:r>
          </w:p>
        </w:tc>
      </w:tr>
      <w:tr>
        <w:tc>
          <w:tcPr>
            <w:tcW w:type="dxa" w:w="2088"/>
            <w:vAlign w:val="center"/>
          </w:tcPr>
          <w:p>
            <w:r/>
            <w:r>
              <w:rPr>
                <w:b w:val="0"/>
                <w:sz w:val="18"/>
              </w:rPr>
              <w:t>Coal, limestone, minerals &amp; construction materials</w:t>
            </w:r>
          </w:p>
        </w:tc>
        <w:tc>
          <w:tcPr>
            <w:tcW w:type="dxa" w:w="4608"/>
            <w:vAlign w:val="center"/>
          </w:tcPr>
          <w:p>
            <w:r/>
            <w:r>
              <w:rPr>
                <w:b w:val="0"/>
                <w:sz w:val="18"/>
              </w:rPr>
              <w:t>Coal/mineral and quarrying activity supports cement, power and construction supply chains in multiple NE states.</w:t>
            </w:r>
          </w:p>
        </w:tc>
        <w:tc>
          <w:tcPr>
            <w:tcW w:type="dxa" w:w="3168"/>
            <w:vAlign w:val="center"/>
          </w:tcPr>
          <w:p>
            <w:r/>
            <w:r>
              <w:rPr>
                <w:b w:val="0"/>
                <w:sz w:val="18"/>
              </w:rPr>
              <w:t>Bulk movement; high sensitivity to road condition and axle/vehicle economics.</w:t>
            </w:r>
          </w:p>
        </w:tc>
      </w:tr>
      <w:tr>
        <w:tc>
          <w:tcPr>
            <w:tcW w:type="dxa" w:w="2088"/>
            <w:vAlign w:val="center"/>
          </w:tcPr>
          <w:p>
            <w:r/>
            <w:r>
              <w:rPr>
                <w:b w:val="0"/>
                <w:sz w:val="18"/>
              </w:rPr>
              <w:t>Cement and construction inputs</w:t>
            </w:r>
          </w:p>
        </w:tc>
        <w:tc>
          <w:tcPr>
            <w:tcW w:type="dxa" w:w="4608"/>
            <w:vAlign w:val="center"/>
          </w:tcPr>
          <w:p>
            <w:r/>
            <w:r>
              <w:rPr>
                <w:b w:val="0"/>
                <w:sz w:val="18"/>
              </w:rPr>
              <w:t>Construction activity creates recurring flows of cement, steel, aggregates and project materials.</w:t>
            </w:r>
          </w:p>
        </w:tc>
        <w:tc>
          <w:tcPr>
            <w:tcW w:type="dxa" w:w="3168"/>
            <w:vAlign w:val="center"/>
          </w:tcPr>
          <w:p>
            <w:r/>
            <w:r>
              <w:rPr>
                <w:b w:val="0"/>
                <w:sz w:val="18"/>
              </w:rPr>
              <w:t>Predictable backhaul demand can improve vehicle utilization.</w:t>
            </w:r>
          </w:p>
        </w:tc>
      </w:tr>
      <w:tr>
        <w:tc>
          <w:tcPr>
            <w:tcW w:type="dxa" w:w="2088"/>
            <w:vAlign w:val="center"/>
          </w:tcPr>
          <w:p>
            <w:r/>
            <w:r>
              <w:rPr>
                <w:b w:val="0"/>
                <w:sz w:val="18"/>
              </w:rPr>
              <w:t>Horticulture &amp; perishables</w:t>
            </w:r>
          </w:p>
        </w:tc>
        <w:tc>
          <w:tcPr>
            <w:tcW w:type="dxa" w:w="4608"/>
            <w:vAlign w:val="center"/>
          </w:tcPr>
          <w:p>
            <w:r/>
            <w:r>
              <w:rPr>
                <w:b w:val="0"/>
                <w:sz w:val="18"/>
              </w:rPr>
              <w:t>Tripura pineapple and other horticulture products have been supported through APEDA market-linkage activities; the wider region has fruits, vegetables, spices and organic products.</w:t>
            </w:r>
          </w:p>
        </w:tc>
        <w:tc>
          <w:tcPr>
            <w:tcW w:type="dxa" w:w="3168"/>
            <w:vAlign w:val="center"/>
          </w:tcPr>
          <w:p>
            <w:r/>
            <w:r>
              <w:rPr>
                <w:b w:val="0"/>
                <w:sz w:val="18"/>
              </w:rPr>
              <w:t>Cold-chain/fast movement and aggregation are important; delay can destroy value.</w:t>
            </w:r>
          </w:p>
        </w:tc>
      </w:tr>
      <w:tr>
        <w:tc>
          <w:tcPr>
            <w:tcW w:type="dxa" w:w="2088"/>
            <w:vAlign w:val="center"/>
          </w:tcPr>
          <w:p>
            <w:r/>
            <w:r>
              <w:rPr>
                <w:b w:val="0"/>
                <w:sz w:val="18"/>
              </w:rPr>
              <w:t>Bamboo, handicrafts &amp; textiles</w:t>
            </w:r>
          </w:p>
        </w:tc>
        <w:tc>
          <w:tcPr>
            <w:tcW w:type="dxa" w:w="4608"/>
            <w:vAlign w:val="center"/>
          </w:tcPr>
          <w:p>
            <w:r/>
            <w:r>
              <w:rPr>
                <w:b w:val="0"/>
                <w:sz w:val="18"/>
              </w:rPr>
              <w:t>Region has substantial bamboo, handloom, handicraft and textile activity.</w:t>
            </w:r>
          </w:p>
        </w:tc>
        <w:tc>
          <w:tcPr>
            <w:tcW w:type="dxa" w:w="3168"/>
            <w:vAlign w:val="center"/>
          </w:tcPr>
          <w:p>
            <w:r/>
            <w:r>
              <w:rPr>
                <w:b w:val="0"/>
                <w:sz w:val="18"/>
              </w:rPr>
              <w:t>Smaller consignments and dispersed producers make aggregation important.</w:t>
            </w:r>
          </w:p>
        </w:tc>
      </w:tr>
      <w:tr>
        <w:tc>
          <w:tcPr>
            <w:tcW w:type="dxa" w:w="2088"/>
            <w:vAlign w:val="center"/>
          </w:tcPr>
          <w:p>
            <w:r/>
            <w:r>
              <w:rPr>
                <w:b w:val="0"/>
                <w:sz w:val="18"/>
              </w:rPr>
              <w:t>Food grains, fertilizers and FMCG</w:t>
            </w:r>
          </w:p>
        </w:tc>
        <w:tc>
          <w:tcPr>
            <w:tcW w:type="dxa" w:w="4608"/>
            <w:vAlign w:val="center"/>
          </w:tcPr>
          <w:p>
            <w:r/>
            <w:r>
              <w:rPr>
                <w:b w:val="0"/>
                <w:sz w:val="18"/>
              </w:rPr>
              <w:t>Government logistics projects in Assam are intended to improve distribution of agricultural inputs, food and general cargo.</w:t>
            </w:r>
          </w:p>
        </w:tc>
        <w:tc>
          <w:tcPr>
            <w:tcW w:type="dxa" w:w="3168"/>
            <w:vAlign w:val="center"/>
          </w:tcPr>
          <w:p>
            <w:r/>
            <w:r>
              <w:rPr>
                <w:b w:val="0"/>
                <w:sz w:val="18"/>
              </w:rPr>
              <w:t>Requires reliable hub-and-spoke distribution and warehouse visibility.</w:t>
            </w:r>
          </w:p>
        </w:tc>
      </w:tr>
    </w:tbl>
    <w:p/>
    <w:p>
      <w:pPr>
        <w:pStyle w:val="SmallNote"/>
      </w:pPr>
      <w:r>
        <w:t>Commodity evidence sources include APEDA Annual Report 2018–19 for NE horticulture market linkage [S8], official MMLP/Jogighopa material [S5], NEC Yearbook [S1], and Ministry of Commerce TradeStat [S9].</w:t>
      </w:r>
    </w:p>
    <w:p>
      <w:pPr>
        <w:pStyle w:val="Heading1"/>
      </w:pPr>
      <w:r>
        <w:t>6. Origin–Destination Flows &amp; Major Road Corridors</w:t>
      </w:r>
    </w:p>
    <w:p>
      <w:r>
        <w:t>A practical NER freight model should be corridor-centric. The region is connected to the rest of India through a relatively narrow gateway system, while internal corridors fan out toward state capitals, district centres, industrial/agricultural clusters and international borders.</w:t>
      </w:r>
    </w:p>
    <w:tbl>
      <w:tblPr>
        <w:tblStyle w:val="TableGrid"/>
        <w:tblW w:type="auto" w:w="0"/>
        <w:jc w:val="center"/>
        <w:tblLook w:firstColumn="1" w:firstRow="1" w:lastColumn="0" w:lastRow="0" w:noHBand="0" w:noVBand="1" w:val="04A0"/>
      </w:tblPr>
      <w:tblGrid>
        <w:gridCol w:w="3360"/>
        <w:gridCol w:w="3360"/>
        <w:gridCol w:w="3360"/>
      </w:tblGrid>
      <w:tr>
        <w:tc>
          <w:tcPr>
            <w:tcW w:type="dxa" w:w="3096"/>
            <w:vAlign w:val="center"/>
            <w:shd w:fill="D9EAF7"/>
          </w:tcPr>
          <w:p>
            <w:r/>
            <w:r>
              <w:rPr>
                <w:b/>
                <w:sz w:val="18"/>
              </w:rPr>
              <w:t>Corridor / route family</w:t>
            </w:r>
          </w:p>
        </w:tc>
        <w:tc>
          <w:tcPr>
            <w:tcW w:type="dxa" w:w="3816"/>
            <w:vAlign w:val="center"/>
            <w:shd w:fill="D9EAF7"/>
          </w:tcPr>
          <w:p>
            <w:r/>
            <w:r>
              <w:rPr>
                <w:b/>
                <w:sz w:val="18"/>
              </w:rPr>
              <w:t>Role in regional logistics</w:t>
            </w:r>
          </w:p>
        </w:tc>
        <w:tc>
          <w:tcPr>
            <w:tcW w:type="dxa" w:w="2952"/>
            <w:vAlign w:val="center"/>
            <w:shd w:fill="D9EAF7"/>
          </w:tcPr>
          <w:p>
            <w:r/>
            <w:r>
              <w:rPr>
                <w:b/>
                <w:sz w:val="18"/>
              </w:rPr>
              <w:t>Relevant freight logic</w:t>
            </w:r>
          </w:p>
        </w:tc>
      </w:tr>
      <w:tr>
        <w:tc>
          <w:tcPr>
            <w:tcW w:type="dxa" w:w="3096"/>
            <w:vAlign w:val="center"/>
          </w:tcPr>
          <w:p>
            <w:r/>
            <w:r>
              <w:rPr>
                <w:b w:val="0"/>
                <w:sz w:val="18"/>
              </w:rPr>
              <w:t>West Bengal–Assam gateway / NH-27 system</w:t>
            </w:r>
          </w:p>
        </w:tc>
        <w:tc>
          <w:tcPr>
            <w:tcW w:type="dxa" w:w="3816"/>
            <w:vAlign w:val="center"/>
          </w:tcPr>
          <w:p>
            <w:r/>
            <w:r>
              <w:rPr>
                <w:b w:val="0"/>
                <w:sz w:val="18"/>
              </w:rPr>
              <w:t>Major mainland-to-Assam access and east-west movement.</w:t>
            </w:r>
          </w:p>
        </w:tc>
        <w:tc>
          <w:tcPr>
            <w:tcW w:type="dxa" w:w="2952"/>
            <w:vAlign w:val="center"/>
          </w:tcPr>
          <w:p>
            <w:r/>
            <w:r>
              <w:rPr>
                <w:b w:val="0"/>
                <w:sz w:val="18"/>
              </w:rPr>
              <w:t>Entry of general cargo and consumer goods; onward distribution into NER.</w:t>
            </w:r>
          </w:p>
        </w:tc>
      </w:tr>
      <w:tr>
        <w:tc>
          <w:tcPr>
            <w:tcW w:type="dxa" w:w="3096"/>
            <w:vAlign w:val="center"/>
          </w:tcPr>
          <w:p>
            <w:r/>
            <w:r>
              <w:rPr>
                <w:b w:val="0"/>
                <w:sz w:val="18"/>
              </w:rPr>
              <w:t>Guwahati–Bongaigaon–North Bengal / western Assam</w:t>
            </w:r>
          </w:p>
        </w:tc>
        <w:tc>
          <w:tcPr>
            <w:tcW w:type="dxa" w:w="3816"/>
            <w:vAlign w:val="center"/>
          </w:tcPr>
          <w:p>
            <w:r/>
            <w:r>
              <w:rPr>
                <w:b w:val="0"/>
                <w:sz w:val="18"/>
              </w:rPr>
              <w:t>Connects Assam's major distribution/industrial geography to mainland routes.</w:t>
            </w:r>
          </w:p>
        </w:tc>
        <w:tc>
          <w:tcPr>
            <w:tcW w:type="dxa" w:w="2952"/>
            <w:vAlign w:val="center"/>
          </w:tcPr>
          <w:p>
            <w:r/>
            <w:r>
              <w:rPr>
                <w:b w:val="0"/>
                <w:sz w:val="18"/>
              </w:rPr>
              <w:t>Regional aggregation and long-haul freight.</w:t>
            </w:r>
          </w:p>
        </w:tc>
      </w:tr>
      <w:tr>
        <w:tc>
          <w:tcPr>
            <w:tcW w:type="dxa" w:w="3096"/>
            <w:vAlign w:val="center"/>
          </w:tcPr>
          <w:p>
            <w:r/>
            <w:r>
              <w:rPr>
                <w:b w:val="0"/>
                <w:sz w:val="18"/>
              </w:rPr>
              <w:t>Guwahati–Shillong–Meghalaya corridors</w:t>
            </w:r>
          </w:p>
        </w:tc>
        <w:tc>
          <w:tcPr>
            <w:tcW w:type="dxa" w:w="3816"/>
            <w:vAlign w:val="center"/>
          </w:tcPr>
          <w:p>
            <w:r/>
            <w:r>
              <w:rPr>
                <w:b w:val="0"/>
                <w:sz w:val="18"/>
              </w:rPr>
              <w:t>Key connection from Assam into Meghalaya.</w:t>
            </w:r>
          </w:p>
        </w:tc>
        <w:tc>
          <w:tcPr>
            <w:tcW w:type="dxa" w:w="2952"/>
            <w:vAlign w:val="center"/>
          </w:tcPr>
          <w:p>
            <w:r/>
            <w:r>
              <w:rPr>
                <w:b w:val="0"/>
                <w:sz w:val="18"/>
              </w:rPr>
              <w:t>Cement, construction materials, consumer goods, agricultural products.</w:t>
            </w:r>
          </w:p>
        </w:tc>
      </w:tr>
      <w:tr>
        <w:tc>
          <w:tcPr>
            <w:tcW w:type="dxa" w:w="3096"/>
            <w:vAlign w:val="center"/>
          </w:tcPr>
          <w:p>
            <w:r/>
            <w:r>
              <w:rPr>
                <w:b w:val="0"/>
                <w:sz w:val="18"/>
              </w:rPr>
              <w:t>Assam–Nagaland / Dimapur–Kohima–Manipur corridor</w:t>
            </w:r>
          </w:p>
        </w:tc>
        <w:tc>
          <w:tcPr>
            <w:tcW w:type="dxa" w:w="3816"/>
            <w:vAlign w:val="center"/>
          </w:tcPr>
          <w:p>
            <w:r/>
            <w:r>
              <w:rPr>
                <w:b w:val="0"/>
                <w:sz w:val="18"/>
              </w:rPr>
              <w:t>Important gateway for Nagaland and onward to Manipur.</w:t>
            </w:r>
          </w:p>
        </w:tc>
        <w:tc>
          <w:tcPr>
            <w:tcW w:type="dxa" w:w="2952"/>
            <w:vAlign w:val="center"/>
          </w:tcPr>
          <w:p>
            <w:r/>
            <w:r>
              <w:rPr>
                <w:b w:val="0"/>
                <w:sz w:val="18"/>
              </w:rPr>
              <w:t>General freight and border-oriented movement.</w:t>
            </w:r>
          </w:p>
        </w:tc>
      </w:tr>
      <w:tr>
        <w:tc>
          <w:tcPr>
            <w:tcW w:type="dxa" w:w="3096"/>
            <w:vAlign w:val="center"/>
          </w:tcPr>
          <w:p>
            <w:r/>
            <w:r>
              <w:rPr>
                <w:b w:val="0"/>
                <w:sz w:val="18"/>
              </w:rPr>
              <w:t>Imphal–Jiribam / Imphal–Moreh corridors</w:t>
            </w:r>
          </w:p>
        </w:tc>
        <w:tc>
          <w:tcPr>
            <w:tcW w:type="dxa" w:w="3816"/>
            <w:vAlign w:val="center"/>
          </w:tcPr>
          <w:p>
            <w:r/>
            <w:r>
              <w:rPr>
                <w:b w:val="0"/>
                <w:sz w:val="18"/>
              </w:rPr>
              <w:t>Critical Manipur access and Myanmar-facing trade route.</w:t>
            </w:r>
          </w:p>
        </w:tc>
        <w:tc>
          <w:tcPr>
            <w:tcW w:type="dxa" w:w="2952"/>
            <w:vAlign w:val="center"/>
          </w:tcPr>
          <w:p>
            <w:r/>
            <w:r>
              <w:rPr>
                <w:b w:val="0"/>
                <w:sz w:val="18"/>
              </w:rPr>
              <w:t>General freight plus cross-border trade potential.</w:t>
            </w:r>
          </w:p>
        </w:tc>
      </w:tr>
      <w:tr>
        <w:tc>
          <w:tcPr>
            <w:tcW w:type="dxa" w:w="3096"/>
            <w:vAlign w:val="center"/>
          </w:tcPr>
          <w:p>
            <w:r/>
            <w:r>
              <w:rPr>
                <w:b w:val="0"/>
                <w:sz w:val="18"/>
              </w:rPr>
              <w:t>Assam–Tripura / NH-8 corridor family</w:t>
            </w:r>
          </w:p>
        </w:tc>
        <w:tc>
          <w:tcPr>
            <w:tcW w:type="dxa" w:w="3816"/>
            <w:vAlign w:val="center"/>
          </w:tcPr>
          <w:p>
            <w:r/>
            <w:r>
              <w:rPr>
                <w:b w:val="0"/>
                <w:sz w:val="18"/>
              </w:rPr>
              <w:t>Mainland access to Tripura.</w:t>
            </w:r>
          </w:p>
        </w:tc>
        <w:tc>
          <w:tcPr>
            <w:tcW w:type="dxa" w:w="2952"/>
            <w:vAlign w:val="center"/>
          </w:tcPr>
          <w:p>
            <w:r/>
            <w:r>
              <w:rPr>
                <w:b w:val="0"/>
                <w:sz w:val="18"/>
              </w:rPr>
              <w:t>Consumer goods, construction inputs, agricultural and horticultural products.</w:t>
            </w:r>
          </w:p>
        </w:tc>
      </w:tr>
      <w:tr>
        <w:tc>
          <w:tcPr>
            <w:tcW w:type="dxa" w:w="3096"/>
            <w:vAlign w:val="center"/>
          </w:tcPr>
          <w:p>
            <w:r/>
            <w:r>
              <w:rPr>
                <w:b w:val="0"/>
                <w:sz w:val="18"/>
              </w:rPr>
              <w:t>Aizawl–Lunglei–Lawngtlai / Mizoram corridors</w:t>
            </w:r>
          </w:p>
        </w:tc>
        <w:tc>
          <w:tcPr>
            <w:tcW w:type="dxa" w:w="3816"/>
            <w:vAlign w:val="center"/>
          </w:tcPr>
          <w:p>
            <w:r/>
            <w:r>
              <w:rPr>
                <w:b w:val="0"/>
                <w:sz w:val="18"/>
              </w:rPr>
              <w:t>Internal Mizoram distribution and Bangladesh/Myanmar-facing geography.</w:t>
            </w:r>
          </w:p>
        </w:tc>
        <w:tc>
          <w:tcPr>
            <w:tcW w:type="dxa" w:w="2952"/>
            <w:vAlign w:val="center"/>
          </w:tcPr>
          <w:p>
            <w:r/>
            <w:r>
              <w:rPr>
                <w:b w:val="0"/>
                <w:sz w:val="18"/>
              </w:rPr>
              <w:t>Dispersed demand, perishable goods, border trade.</w:t>
            </w:r>
          </w:p>
        </w:tc>
      </w:tr>
      <w:tr>
        <w:tc>
          <w:tcPr>
            <w:tcW w:type="dxa" w:w="3096"/>
            <w:vAlign w:val="center"/>
          </w:tcPr>
          <w:p>
            <w:r/>
            <w:r>
              <w:rPr>
                <w:b w:val="0"/>
                <w:sz w:val="18"/>
              </w:rPr>
              <w:t>Sikkim–Siliguri / NH-10 corridor</w:t>
            </w:r>
          </w:p>
        </w:tc>
        <w:tc>
          <w:tcPr>
            <w:tcW w:type="dxa" w:w="3816"/>
            <w:vAlign w:val="center"/>
          </w:tcPr>
          <w:p>
            <w:r/>
            <w:r>
              <w:rPr>
                <w:b w:val="0"/>
                <w:sz w:val="18"/>
              </w:rPr>
              <w:t>Principal road connection between Sikkim and the mainland.</w:t>
            </w:r>
          </w:p>
        </w:tc>
        <w:tc>
          <w:tcPr>
            <w:tcW w:type="dxa" w:w="2952"/>
            <w:vAlign w:val="center"/>
          </w:tcPr>
          <w:p>
            <w:r/>
            <w:r>
              <w:rPr>
                <w:b w:val="0"/>
                <w:sz w:val="18"/>
              </w:rPr>
              <w:t>Consumer goods, tourism supply, construction and agricultural products.</w:t>
            </w:r>
          </w:p>
        </w:tc>
      </w:tr>
      <w:tr>
        <w:tc>
          <w:tcPr>
            <w:tcW w:type="dxa" w:w="3096"/>
            <w:vAlign w:val="center"/>
          </w:tcPr>
          <w:p>
            <w:r/>
            <w:r>
              <w:rPr>
                <w:b w:val="0"/>
                <w:sz w:val="18"/>
              </w:rPr>
              <w:t>Arunachal trunk and border corridors</w:t>
            </w:r>
          </w:p>
        </w:tc>
        <w:tc>
          <w:tcPr>
            <w:tcW w:type="dxa" w:w="3816"/>
            <w:vAlign w:val="center"/>
          </w:tcPr>
          <w:p>
            <w:r/>
            <w:r>
              <w:rPr>
                <w:b w:val="0"/>
                <w:sz w:val="18"/>
              </w:rPr>
              <w:t>Connects widely dispersed districts and strategic border areas.</w:t>
            </w:r>
          </w:p>
        </w:tc>
        <w:tc>
          <w:tcPr>
            <w:tcW w:type="dxa" w:w="2952"/>
            <w:vAlign w:val="center"/>
          </w:tcPr>
          <w:p>
            <w:r/>
            <w:r>
              <w:rPr>
                <w:b w:val="0"/>
                <w:sz w:val="18"/>
              </w:rPr>
              <w:t>High consequence of disruptions; supplies often travel long distances over difficult terrain.</w:t>
            </w:r>
          </w:p>
        </w:tc>
      </w:tr>
    </w:tbl>
    <w:p/>
    <w:p>
      <w:r>
        <w:t>MoRTH and NHIDCL project documents show repeated investment in corridors such as Jorabat–Barapani, Imphal–Moreh, Aizawl–Tuipang, Dimapur bypass, Merangkong–Tamlu–Mon, Chakabama–Zunheboto and other SARDP-NE stretches. NHIDCL states that its mandate includes approximately 10,000 km of road development in the North-East, including international trade corridors. [S10]</w:t>
      </w:r>
    </w:p>
    <w:p>
      <w:pPr>
        <w:pStyle w:val="Heading1"/>
      </w:pPr>
      <w:r>
        <w:t>7. Border-Trade Logistics</w:t>
      </w:r>
    </w:p>
    <w:p>
      <w:r>
        <w:t>NER's international position makes logistics performance inseparable from border infrastructure. The region interfaces with Bangladesh, Bhutan, Myanmar and, through the wider NER connectivity system, Nepal/BBIN trade networks. Official Commerce Ministry material has previously identified poor facilities and limited functionality at a number of Land Customs Stations as a constraint on border trade, while also calling for logistics hubs and warehouses along road routes. [S11]</w:t>
      </w:r>
    </w:p>
    <w:p>
      <w:pPr>
        <w:pStyle w:val="Heading2"/>
      </w:pPr>
      <w:r>
        <w:t>7.1 Current Integrated Check Post footprint relevant to NER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ICP / border point</w:t>
            </w:r>
          </w:p>
        </w:tc>
        <w:tc>
          <w:tcPr>
            <w:tcW w:type="dxa" w:w="2520"/>
            <w:vAlign w:val="center"/>
            <w:shd w:fill="D9EAF7"/>
          </w:tcPr>
          <w:p>
            <w:r/>
            <w:r>
              <w:rPr>
                <w:b/>
                <w:sz w:val="18"/>
              </w:rPr>
              <w:t>State</w:t>
            </w:r>
          </w:p>
        </w:tc>
        <w:tc>
          <w:tcPr>
            <w:tcW w:type="dxa" w:w="2520"/>
            <w:vAlign w:val="center"/>
            <w:shd w:fill="D9EAF7"/>
          </w:tcPr>
          <w:p>
            <w:r/>
            <w:r>
              <w:rPr>
                <w:b/>
                <w:sz w:val="18"/>
              </w:rPr>
              <w:t>International border</w:t>
            </w:r>
          </w:p>
        </w:tc>
        <w:tc>
          <w:tcPr>
            <w:tcW w:type="dxa" w:w="2520"/>
            <w:vAlign w:val="center"/>
            <w:shd w:fill="D9EAF7"/>
          </w:tcPr>
          <w:p>
            <w:r/>
            <w:r>
              <w:rPr>
                <w:b/>
                <w:sz w:val="18"/>
              </w:rPr>
              <w:t>Official status/date</w:t>
            </w:r>
          </w:p>
        </w:tc>
      </w:tr>
      <w:tr>
        <w:tc>
          <w:tcPr>
            <w:tcW w:type="dxa" w:w="2520"/>
            <w:vAlign w:val="center"/>
          </w:tcPr>
          <w:p>
            <w:r/>
            <w:r>
              <w:rPr>
                <w:b w:val="0"/>
                <w:sz w:val="18"/>
              </w:rPr>
              <w:t>Agartala</w:t>
            </w:r>
          </w:p>
        </w:tc>
        <w:tc>
          <w:tcPr>
            <w:tcW w:type="dxa" w:w="2520"/>
            <w:vAlign w:val="center"/>
          </w:tcPr>
          <w:p>
            <w:r/>
            <w:r>
              <w:rPr>
                <w:b w:val="0"/>
                <w:sz w:val="18"/>
              </w:rPr>
              <w:t>Tripura</w:t>
            </w:r>
          </w:p>
        </w:tc>
        <w:tc>
          <w:tcPr>
            <w:tcW w:type="dxa" w:w="2520"/>
            <w:vAlign w:val="center"/>
          </w:tcPr>
          <w:p>
            <w:r/>
            <w:r>
              <w:rPr>
                <w:b w:val="0"/>
                <w:sz w:val="18"/>
              </w:rPr>
              <w:t>Bangladesh</w:t>
            </w:r>
          </w:p>
        </w:tc>
        <w:tc>
          <w:tcPr>
            <w:tcW w:type="dxa" w:w="2520"/>
            <w:vAlign w:val="center"/>
          </w:tcPr>
          <w:p>
            <w:r/>
            <w:r>
              <w:rPr>
                <w:b w:val="0"/>
                <w:sz w:val="18"/>
              </w:rPr>
              <w:t>Operational since 17 Nov 2013</w:t>
            </w:r>
          </w:p>
        </w:tc>
      </w:tr>
      <w:tr>
        <w:tc>
          <w:tcPr>
            <w:tcW w:type="dxa" w:w="2520"/>
            <w:vAlign w:val="center"/>
          </w:tcPr>
          <w:p>
            <w:r/>
            <w:r>
              <w:rPr>
                <w:b w:val="0"/>
                <w:sz w:val="18"/>
              </w:rPr>
              <w:t>Moreh</w:t>
            </w:r>
          </w:p>
        </w:tc>
        <w:tc>
          <w:tcPr>
            <w:tcW w:type="dxa" w:w="2520"/>
            <w:vAlign w:val="center"/>
          </w:tcPr>
          <w:p>
            <w:r/>
            <w:r>
              <w:rPr>
                <w:b w:val="0"/>
                <w:sz w:val="18"/>
              </w:rPr>
              <w:t>Manipur</w:t>
            </w:r>
          </w:p>
        </w:tc>
        <w:tc>
          <w:tcPr>
            <w:tcW w:type="dxa" w:w="2520"/>
            <w:vAlign w:val="center"/>
          </w:tcPr>
          <w:p>
            <w:r/>
            <w:r>
              <w:rPr>
                <w:b w:val="0"/>
                <w:sz w:val="18"/>
              </w:rPr>
              <w:t>Myanmar</w:t>
            </w:r>
          </w:p>
        </w:tc>
        <w:tc>
          <w:tcPr>
            <w:tcW w:type="dxa" w:w="2520"/>
            <w:vAlign w:val="center"/>
          </w:tcPr>
          <w:p>
            <w:r/>
            <w:r>
              <w:rPr>
                <w:b w:val="0"/>
                <w:sz w:val="18"/>
              </w:rPr>
              <w:t>Operational since 15 Mar 2018</w:t>
            </w:r>
          </w:p>
        </w:tc>
      </w:tr>
      <w:tr>
        <w:tc>
          <w:tcPr>
            <w:tcW w:type="dxa" w:w="2520"/>
            <w:vAlign w:val="center"/>
          </w:tcPr>
          <w:p>
            <w:r/>
            <w:r>
              <w:rPr>
                <w:b w:val="0"/>
                <w:sz w:val="18"/>
              </w:rPr>
              <w:t>Sutarkandi</w:t>
            </w:r>
          </w:p>
        </w:tc>
        <w:tc>
          <w:tcPr>
            <w:tcW w:type="dxa" w:w="2520"/>
            <w:vAlign w:val="center"/>
          </w:tcPr>
          <w:p>
            <w:r/>
            <w:r>
              <w:rPr>
                <w:b w:val="0"/>
                <w:sz w:val="18"/>
              </w:rPr>
              <w:t>Assam</w:t>
            </w:r>
          </w:p>
        </w:tc>
        <w:tc>
          <w:tcPr>
            <w:tcW w:type="dxa" w:w="2520"/>
            <w:vAlign w:val="center"/>
          </w:tcPr>
          <w:p>
            <w:r/>
            <w:r>
              <w:rPr>
                <w:b w:val="0"/>
                <w:sz w:val="18"/>
              </w:rPr>
              <w:t>Bangladesh</w:t>
            </w:r>
          </w:p>
        </w:tc>
        <w:tc>
          <w:tcPr>
            <w:tcW w:type="dxa" w:w="2520"/>
            <w:vAlign w:val="center"/>
          </w:tcPr>
          <w:p>
            <w:r/>
            <w:r>
              <w:rPr>
                <w:b w:val="0"/>
                <w:sz w:val="18"/>
              </w:rPr>
              <w:t>Operational since 7 Sep 2019</w:t>
            </w:r>
          </w:p>
        </w:tc>
      </w:tr>
      <w:tr>
        <w:tc>
          <w:tcPr>
            <w:tcW w:type="dxa" w:w="2520"/>
            <w:vAlign w:val="center"/>
          </w:tcPr>
          <w:p>
            <w:r/>
            <w:r>
              <w:rPr>
                <w:b w:val="0"/>
                <w:sz w:val="18"/>
              </w:rPr>
              <w:t>Srimantpur</w:t>
            </w:r>
          </w:p>
        </w:tc>
        <w:tc>
          <w:tcPr>
            <w:tcW w:type="dxa" w:w="2520"/>
            <w:vAlign w:val="center"/>
          </w:tcPr>
          <w:p>
            <w:r/>
            <w:r>
              <w:rPr>
                <w:b w:val="0"/>
                <w:sz w:val="18"/>
              </w:rPr>
              <w:t>Tripura</w:t>
            </w:r>
          </w:p>
        </w:tc>
        <w:tc>
          <w:tcPr>
            <w:tcW w:type="dxa" w:w="2520"/>
            <w:vAlign w:val="center"/>
          </w:tcPr>
          <w:p>
            <w:r/>
            <w:r>
              <w:rPr>
                <w:b w:val="0"/>
                <w:sz w:val="18"/>
              </w:rPr>
              <w:t>Bangladesh</w:t>
            </w:r>
          </w:p>
        </w:tc>
        <w:tc>
          <w:tcPr>
            <w:tcW w:type="dxa" w:w="2520"/>
            <w:vAlign w:val="center"/>
          </w:tcPr>
          <w:p>
            <w:r/>
            <w:r>
              <w:rPr>
                <w:b w:val="0"/>
                <w:sz w:val="18"/>
              </w:rPr>
              <w:t>Operational since 5 Sep 2020</w:t>
            </w:r>
          </w:p>
        </w:tc>
      </w:tr>
      <w:tr>
        <w:tc>
          <w:tcPr>
            <w:tcW w:type="dxa" w:w="2520"/>
            <w:vAlign w:val="center"/>
          </w:tcPr>
          <w:p>
            <w:r/>
            <w:r>
              <w:rPr>
                <w:b w:val="0"/>
                <w:sz w:val="18"/>
              </w:rPr>
              <w:t>Dawki</w:t>
            </w:r>
          </w:p>
        </w:tc>
        <w:tc>
          <w:tcPr>
            <w:tcW w:type="dxa" w:w="2520"/>
            <w:vAlign w:val="center"/>
          </w:tcPr>
          <w:p>
            <w:r/>
            <w:r>
              <w:rPr>
                <w:b w:val="0"/>
                <w:sz w:val="18"/>
              </w:rPr>
              <w:t>Meghalaya</w:t>
            </w:r>
          </w:p>
        </w:tc>
        <w:tc>
          <w:tcPr>
            <w:tcW w:type="dxa" w:w="2520"/>
            <w:vAlign w:val="center"/>
          </w:tcPr>
          <w:p>
            <w:r/>
            <w:r>
              <w:rPr>
                <w:b w:val="0"/>
                <w:sz w:val="18"/>
              </w:rPr>
              <w:t>Bangladesh</w:t>
            </w:r>
          </w:p>
        </w:tc>
        <w:tc>
          <w:tcPr>
            <w:tcW w:type="dxa" w:w="2520"/>
            <w:vAlign w:val="center"/>
          </w:tcPr>
          <w:p>
            <w:r/>
            <w:r>
              <w:rPr>
                <w:b w:val="0"/>
                <w:sz w:val="18"/>
              </w:rPr>
              <w:t>Operational since 4 May 2023</w:t>
            </w:r>
          </w:p>
        </w:tc>
      </w:tr>
      <w:tr>
        <w:tc>
          <w:tcPr>
            <w:tcW w:type="dxa" w:w="2520"/>
            <w:vAlign w:val="center"/>
          </w:tcPr>
          <w:p>
            <w:r/>
            <w:r>
              <w:rPr>
                <w:b w:val="0"/>
                <w:sz w:val="18"/>
              </w:rPr>
              <w:t>Sabroom</w:t>
            </w:r>
          </w:p>
        </w:tc>
        <w:tc>
          <w:tcPr>
            <w:tcW w:type="dxa" w:w="2520"/>
            <w:vAlign w:val="center"/>
          </w:tcPr>
          <w:p>
            <w:r/>
            <w:r>
              <w:rPr>
                <w:b w:val="0"/>
                <w:sz w:val="18"/>
              </w:rPr>
              <w:t>Tripura</w:t>
            </w:r>
          </w:p>
        </w:tc>
        <w:tc>
          <w:tcPr>
            <w:tcW w:type="dxa" w:w="2520"/>
            <w:vAlign w:val="center"/>
          </w:tcPr>
          <w:p>
            <w:r/>
            <w:r>
              <w:rPr>
                <w:b w:val="0"/>
                <w:sz w:val="18"/>
              </w:rPr>
              <w:t>Bangladesh</w:t>
            </w:r>
          </w:p>
        </w:tc>
        <w:tc>
          <w:tcPr>
            <w:tcW w:type="dxa" w:w="2520"/>
            <w:vAlign w:val="center"/>
          </w:tcPr>
          <w:p>
            <w:r/>
            <w:r>
              <w:rPr>
                <w:b w:val="0"/>
                <w:sz w:val="18"/>
              </w:rPr>
              <w:t>Inaugurated 9 Mar 2024</w:t>
            </w:r>
          </w:p>
        </w:tc>
      </w:tr>
      <w:tr>
        <w:tc>
          <w:tcPr>
            <w:tcW w:type="dxa" w:w="2520"/>
            <w:vAlign w:val="center"/>
          </w:tcPr>
          <w:p>
            <w:r/>
            <w:r>
              <w:rPr>
                <w:b w:val="0"/>
                <w:sz w:val="18"/>
              </w:rPr>
              <w:t>Darranga</w:t>
            </w:r>
          </w:p>
        </w:tc>
        <w:tc>
          <w:tcPr>
            <w:tcW w:type="dxa" w:w="2520"/>
            <w:vAlign w:val="center"/>
          </w:tcPr>
          <w:p>
            <w:r/>
            <w:r>
              <w:rPr>
                <w:b w:val="0"/>
                <w:sz w:val="18"/>
              </w:rPr>
              <w:t>Assam</w:t>
            </w:r>
          </w:p>
        </w:tc>
        <w:tc>
          <w:tcPr>
            <w:tcW w:type="dxa" w:w="2520"/>
            <w:vAlign w:val="center"/>
          </w:tcPr>
          <w:p>
            <w:r/>
            <w:r>
              <w:rPr>
                <w:b w:val="0"/>
                <w:sz w:val="18"/>
              </w:rPr>
              <w:t>Bhutan</w:t>
            </w:r>
          </w:p>
        </w:tc>
        <w:tc>
          <w:tcPr>
            <w:tcW w:type="dxa" w:w="2520"/>
            <w:vAlign w:val="center"/>
          </w:tcPr>
          <w:p>
            <w:r/>
            <w:r>
              <w:rPr>
                <w:b w:val="0"/>
                <w:sz w:val="18"/>
              </w:rPr>
              <w:t>Taken over by LPAI 8 Aug 2024</w:t>
            </w:r>
          </w:p>
        </w:tc>
      </w:tr>
      <w:tr>
        <w:tc>
          <w:tcPr>
            <w:tcW w:type="dxa" w:w="2520"/>
            <w:vAlign w:val="center"/>
          </w:tcPr>
          <w:p>
            <w:r/>
            <w:r>
              <w:rPr>
                <w:b w:val="0"/>
                <w:sz w:val="18"/>
              </w:rPr>
              <w:t>Mankachar</w:t>
            </w:r>
          </w:p>
        </w:tc>
        <w:tc>
          <w:tcPr>
            <w:tcW w:type="dxa" w:w="2520"/>
            <w:vAlign w:val="center"/>
          </w:tcPr>
          <w:p>
            <w:r/>
            <w:r>
              <w:rPr>
                <w:b w:val="0"/>
                <w:sz w:val="18"/>
              </w:rPr>
              <w:t>Assam</w:t>
            </w:r>
          </w:p>
        </w:tc>
        <w:tc>
          <w:tcPr>
            <w:tcW w:type="dxa" w:w="2520"/>
            <w:vAlign w:val="center"/>
          </w:tcPr>
          <w:p>
            <w:r/>
            <w:r>
              <w:rPr>
                <w:b w:val="0"/>
                <w:sz w:val="18"/>
              </w:rPr>
              <w:t>Bangladesh</w:t>
            </w:r>
          </w:p>
        </w:tc>
        <w:tc>
          <w:tcPr>
            <w:tcW w:type="dxa" w:w="2520"/>
            <w:vAlign w:val="center"/>
          </w:tcPr>
          <w:p>
            <w:r/>
            <w:r>
              <w:rPr>
                <w:b w:val="0"/>
                <w:sz w:val="18"/>
              </w:rPr>
              <w:t>Taken over by LPAI 3 Sep 2024</w:t>
            </w:r>
          </w:p>
        </w:tc>
      </w:tr>
      <w:tr>
        <w:tc>
          <w:tcPr>
            <w:tcW w:type="dxa" w:w="2520"/>
            <w:vAlign w:val="center"/>
          </w:tcPr>
          <w:p>
            <w:r/>
            <w:r>
              <w:rPr>
                <w:b w:val="0"/>
                <w:sz w:val="18"/>
              </w:rPr>
              <w:t>Golakganj</w:t>
            </w:r>
          </w:p>
        </w:tc>
        <w:tc>
          <w:tcPr>
            <w:tcW w:type="dxa" w:w="2520"/>
            <w:vAlign w:val="center"/>
          </w:tcPr>
          <w:p>
            <w:r/>
            <w:r>
              <w:rPr>
                <w:b w:val="0"/>
                <w:sz w:val="18"/>
              </w:rPr>
              <w:t>Assam</w:t>
            </w:r>
          </w:p>
        </w:tc>
        <w:tc>
          <w:tcPr>
            <w:tcW w:type="dxa" w:w="2520"/>
            <w:vAlign w:val="center"/>
          </w:tcPr>
          <w:p>
            <w:r/>
            <w:r>
              <w:rPr>
                <w:b w:val="0"/>
                <w:sz w:val="18"/>
              </w:rPr>
              <w:t>Bangladesh</w:t>
            </w:r>
          </w:p>
        </w:tc>
        <w:tc>
          <w:tcPr>
            <w:tcW w:type="dxa" w:w="2520"/>
            <w:vAlign w:val="center"/>
          </w:tcPr>
          <w:p>
            <w:r/>
            <w:r>
              <w:rPr>
                <w:b w:val="0"/>
                <w:sz w:val="18"/>
              </w:rPr>
              <w:t>Taken over by LPAI 3 Sep 2024</w:t>
            </w:r>
          </w:p>
        </w:tc>
      </w:tr>
    </w:tbl>
    <w:p/>
    <w:p>
      <w:r>
        <w:t>The March 2026 MHA response states that LPAI had developed and operationalised 15 ICPs along international borders nationally; the table above isolates the NER-relevant locations from that official list. [S12]</w:t>
      </w:r>
    </w:p>
    <w:p>
      <w:pPr>
        <w:pStyle w:val="Heading2"/>
      </w:pPr>
      <w:r>
        <w:t>7.2 Logistics implications of border trade</w:t>
      </w:r>
    </w:p>
    <w:p>
      <w:pPr>
        <w:pStyle w:val="ListBullet"/>
        <w:ind w:left="0"/>
      </w:pPr>
      <w:r>
        <w:t>Border logistics creates a sequence of road arrival, documentation, inspection, clearance, loading/unloading and onward dispatch.</w:t>
      </w:r>
    </w:p>
    <w:p>
      <w:pPr>
        <w:pStyle w:val="ListBullet"/>
        <w:ind w:left="0"/>
      </w:pPr>
      <w:r>
        <w:t>A truck may be physically available but operationally unavailable while waiting for clearance or documentation; a freight platform should model this distinction.</w:t>
      </w:r>
    </w:p>
    <w:p>
      <w:pPr>
        <w:pStyle w:val="ListBullet"/>
        <w:ind w:left="0"/>
      </w:pPr>
      <w:r>
        <w:t>Border points are natural locations for demand aggregation, cross-border shipment visibility, warehouse/cold-chain support and corridor monitoring.</w:t>
      </w:r>
    </w:p>
    <w:p>
      <w:pPr>
        <w:pStyle w:val="ListBullet"/>
        <w:ind w:left="0"/>
      </w:pPr>
      <w:r>
        <w:t>More connectivity does not automatically mean efficient trade: the Commerce Ministry has highlighted the need for better border facilities, seamless transportation and warehousing. [S11]</w:t>
      </w:r>
    </w:p>
    <w:p>
      <w:pPr>
        <w:pStyle w:val="Heading1"/>
      </w:pPr>
      <w:r>
        <w:t>8. Last-Mile &amp; First-Mile Logistics</w:t>
      </w:r>
    </w:p>
    <w:p>
      <w:r>
        <w:t>LEADS 2023 perception evidence is particularly useful here: the NEC Yearbook reports that stakeholders in the North-East were more satisfied with first/last-mile connectivity and warehousing than with some other infrastructure indicators, but overall infrastructure and services still lagged the operating/regulatory environment in stakeholder satisfaction. [S1]</w:t>
      </w:r>
    </w:p>
    <w:p>
      <w:pPr>
        <w:pStyle w:val="ListBullet"/>
        <w:ind w:left="0"/>
      </w:pPr>
      <w:r>
        <w:t>The region's dispersed settlements and difficult terrain mean a national trunk route can be strong while the producer/consumer connection remains weak.</w:t>
      </w:r>
    </w:p>
    <w:p>
      <w:pPr>
        <w:pStyle w:val="ListBullet"/>
        <w:ind w:left="0"/>
      </w:pPr>
      <w:r>
        <w:t>Small producers may need aggregation before a truck becomes economically viable for a long-haul trip.</w:t>
      </w:r>
    </w:p>
    <w:p>
      <w:pPr>
        <w:pStyle w:val="ListBullet"/>
        <w:ind w:left="0"/>
      </w:pPr>
      <w:r>
        <w:t>Perishable products require time-sensitive routing and reliable transfer points.</w:t>
      </w:r>
    </w:p>
    <w:p>
      <w:pPr>
        <w:pStyle w:val="ListBullet"/>
        <w:ind w:left="0"/>
      </w:pPr>
      <w:r>
        <w:t>Backhaul matching can be particularly valuable where a vehicle travels a long distance to deliver and otherwise returns with low utilization.</w:t>
      </w:r>
    </w:p>
    <w:p>
      <w:pPr>
        <w:pStyle w:val="ListBullet"/>
        <w:ind w:left="0"/>
      </w:pPr>
      <w:r>
        <w:t>The digital solution should therefore capture pickup/drop coordinates, load type, vehicle type, available capacity, timing window, route and reliability—not merely vehicle location.</w:t>
      </w:r>
    </w:p>
    <w:p>
      <w:pPr>
        <w:pStyle w:val="Heading1"/>
      </w:pPr>
      <w:r>
        <w:t>9. Weather, Terrain &amp; Corridor Disruptions</w:t>
      </w:r>
    </w:p>
    <w:p>
      <w:r>
        <w:t>Government infrastructure agencies repeatedly emphasize the engineering and operational difficulty of Northeast road construction. NHIDCL notes that high-terrain areas can have unstable soil/rock formations prone to landslides and road collapses. MDoNER's High-Level Task Force has identified corridor vulnerability and the need for resilient, all-weather road connectivity, particularly in hilly and remote states. [S13][S14]</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r/>
            <w:r>
              <w:rPr>
                <w:b/>
                <w:sz w:val="18"/>
              </w:rPr>
              <w:t>Disruption</w:t>
            </w:r>
          </w:p>
        </w:tc>
        <w:tc>
          <w:tcPr>
            <w:tcW w:type="dxa" w:w="3816"/>
            <w:vAlign w:val="center"/>
            <w:shd w:fill="D9EAF7"/>
          </w:tcPr>
          <w:p>
            <w:r/>
            <w:r>
              <w:rPr>
                <w:b/>
                <w:sz w:val="18"/>
              </w:rPr>
              <w:t>Logistics effect</w:t>
            </w:r>
          </w:p>
        </w:tc>
        <w:tc>
          <w:tcPr>
            <w:tcW w:type="dxa" w:w="3816"/>
            <w:vAlign w:val="center"/>
            <w:shd w:fill="D9EAF7"/>
          </w:tcPr>
          <w:p>
            <w:r/>
            <w:r>
              <w:rPr>
                <w:b/>
                <w:sz w:val="18"/>
              </w:rPr>
              <w:t>Required digital response</w:t>
            </w:r>
          </w:p>
        </w:tc>
      </w:tr>
      <w:tr>
        <w:tc>
          <w:tcPr>
            <w:tcW w:type="dxa" w:w="2232"/>
            <w:vAlign w:val="center"/>
          </w:tcPr>
          <w:p>
            <w:r/>
            <w:r>
              <w:rPr>
                <w:b w:val="0"/>
                <w:sz w:val="18"/>
              </w:rPr>
              <w:t>Landslide / road collapse</w:t>
            </w:r>
          </w:p>
        </w:tc>
        <w:tc>
          <w:tcPr>
            <w:tcW w:type="dxa" w:w="3816"/>
            <w:vAlign w:val="center"/>
          </w:tcPr>
          <w:p>
            <w:r/>
            <w:r>
              <w:rPr>
                <w:b w:val="0"/>
                <w:sz w:val="18"/>
              </w:rPr>
              <w:t>Sudden loss of a corridor; detour or delayed delivery.</w:t>
            </w:r>
          </w:p>
        </w:tc>
        <w:tc>
          <w:tcPr>
            <w:tcW w:type="dxa" w:w="3816"/>
            <w:vAlign w:val="center"/>
          </w:tcPr>
          <w:p>
            <w:r/>
            <w:r>
              <w:rPr>
                <w:b w:val="0"/>
                <w:sz w:val="18"/>
              </w:rPr>
              <w:t>Incident feed + alternative route + ETA recalculation.</w:t>
            </w:r>
          </w:p>
        </w:tc>
      </w:tr>
      <w:tr>
        <w:tc>
          <w:tcPr>
            <w:tcW w:type="dxa" w:w="2232"/>
            <w:vAlign w:val="center"/>
          </w:tcPr>
          <w:p>
            <w:r/>
            <w:r>
              <w:rPr>
                <w:b w:val="0"/>
                <w:sz w:val="18"/>
              </w:rPr>
              <w:t>Flooding / inundation</w:t>
            </w:r>
          </w:p>
        </w:tc>
        <w:tc>
          <w:tcPr>
            <w:tcW w:type="dxa" w:w="3816"/>
            <w:vAlign w:val="center"/>
          </w:tcPr>
          <w:p>
            <w:r/>
            <w:r>
              <w:rPr>
                <w:b w:val="0"/>
                <w:sz w:val="18"/>
              </w:rPr>
              <w:t>Reduced speed, closures, damaged approaches and bridges.</w:t>
            </w:r>
          </w:p>
        </w:tc>
        <w:tc>
          <w:tcPr>
            <w:tcW w:type="dxa" w:w="3816"/>
            <w:vAlign w:val="center"/>
          </w:tcPr>
          <w:p>
            <w:r/>
            <w:r>
              <w:rPr>
                <w:b w:val="0"/>
                <w:sz w:val="18"/>
              </w:rPr>
              <w:t>Weather/road-risk overlay and pre-emptive rerouting.</w:t>
            </w:r>
          </w:p>
        </w:tc>
      </w:tr>
      <w:tr>
        <w:tc>
          <w:tcPr>
            <w:tcW w:type="dxa" w:w="2232"/>
            <w:vAlign w:val="center"/>
          </w:tcPr>
          <w:p>
            <w:r/>
            <w:r>
              <w:rPr>
                <w:b w:val="0"/>
                <w:sz w:val="18"/>
              </w:rPr>
              <w:t>Heavy rainfall</w:t>
            </w:r>
          </w:p>
        </w:tc>
        <w:tc>
          <w:tcPr>
            <w:tcW w:type="dxa" w:w="3816"/>
            <w:vAlign w:val="center"/>
          </w:tcPr>
          <w:p>
            <w:r/>
            <w:r>
              <w:rPr>
                <w:b w:val="0"/>
                <w:sz w:val="18"/>
              </w:rPr>
              <w:t>Lower reliability and higher travel-time variance.</w:t>
            </w:r>
          </w:p>
        </w:tc>
        <w:tc>
          <w:tcPr>
            <w:tcW w:type="dxa" w:w="3816"/>
            <w:vAlign w:val="center"/>
          </w:tcPr>
          <w:p>
            <w:r/>
            <w:r>
              <w:rPr>
                <w:b w:val="0"/>
                <w:sz w:val="18"/>
              </w:rPr>
              <w:t>Risk-adjusted ETA rather than distance-only ETA.</w:t>
            </w:r>
          </w:p>
        </w:tc>
      </w:tr>
      <w:tr>
        <w:tc>
          <w:tcPr>
            <w:tcW w:type="dxa" w:w="2232"/>
            <w:vAlign w:val="center"/>
          </w:tcPr>
          <w:p>
            <w:r/>
            <w:r>
              <w:rPr>
                <w:b w:val="0"/>
                <w:sz w:val="18"/>
              </w:rPr>
              <w:t>Bridge / construction restriction</w:t>
            </w:r>
          </w:p>
        </w:tc>
        <w:tc>
          <w:tcPr>
            <w:tcW w:type="dxa" w:w="3816"/>
            <w:vAlign w:val="center"/>
          </w:tcPr>
          <w:p>
            <w:r/>
            <w:r>
              <w:rPr>
                <w:b w:val="0"/>
                <w:sz w:val="18"/>
              </w:rPr>
              <w:t>Vehicle-type restrictions and temporary bottlenecks.</w:t>
            </w:r>
          </w:p>
        </w:tc>
        <w:tc>
          <w:tcPr>
            <w:tcW w:type="dxa" w:w="3816"/>
            <w:vAlign w:val="center"/>
          </w:tcPr>
          <w:p>
            <w:r/>
            <w:r>
              <w:rPr>
                <w:b w:val="0"/>
                <w:sz w:val="18"/>
              </w:rPr>
              <w:t>Vehicle compatibility and route restriction engine.</w:t>
            </w:r>
          </w:p>
        </w:tc>
      </w:tr>
      <w:tr>
        <w:tc>
          <w:tcPr>
            <w:tcW w:type="dxa" w:w="2232"/>
            <w:vAlign w:val="center"/>
          </w:tcPr>
          <w:p>
            <w:r/>
            <w:r>
              <w:rPr>
                <w:b w:val="0"/>
                <w:sz w:val="18"/>
              </w:rPr>
              <w:t>Border/clearance delay</w:t>
            </w:r>
          </w:p>
        </w:tc>
        <w:tc>
          <w:tcPr>
            <w:tcW w:type="dxa" w:w="3816"/>
            <w:vAlign w:val="center"/>
          </w:tcPr>
          <w:p>
            <w:r/>
            <w:r>
              <w:rPr>
                <w:b w:val="0"/>
                <w:sz w:val="18"/>
              </w:rPr>
              <w:t>Truck idle time without productive movement.</w:t>
            </w:r>
          </w:p>
        </w:tc>
        <w:tc>
          <w:tcPr>
            <w:tcW w:type="dxa" w:w="3816"/>
            <w:vAlign w:val="center"/>
          </w:tcPr>
          <w:p>
            <w:r/>
            <w:r>
              <w:rPr>
                <w:b w:val="0"/>
                <w:sz w:val="18"/>
              </w:rPr>
              <w:t>Status tracking and appointment/queue visibility.</w:t>
            </w:r>
          </w:p>
        </w:tc>
      </w:tr>
      <w:tr>
        <w:tc>
          <w:tcPr>
            <w:tcW w:type="dxa" w:w="2232"/>
            <w:vAlign w:val="center"/>
          </w:tcPr>
          <w:p>
            <w:r/>
            <w:r>
              <w:rPr>
                <w:b w:val="0"/>
                <w:sz w:val="18"/>
              </w:rPr>
              <w:t>Seasonal accessibility</w:t>
            </w:r>
          </w:p>
        </w:tc>
        <w:tc>
          <w:tcPr>
            <w:tcW w:type="dxa" w:w="3816"/>
            <w:vAlign w:val="center"/>
          </w:tcPr>
          <w:p>
            <w:r/>
            <w:r>
              <w:rPr>
                <w:b w:val="0"/>
                <w:sz w:val="18"/>
              </w:rPr>
              <w:t>Some remote routes have recurrent reliability problems.</w:t>
            </w:r>
          </w:p>
        </w:tc>
        <w:tc>
          <w:tcPr>
            <w:tcW w:type="dxa" w:w="3816"/>
            <w:vAlign w:val="center"/>
          </w:tcPr>
          <w:p>
            <w:r/>
            <w:r>
              <w:rPr>
                <w:b w:val="0"/>
                <w:sz w:val="18"/>
              </w:rPr>
              <w:t>Historical route reliability and seasonal planning.</w:t>
            </w:r>
          </w:p>
        </w:tc>
      </w:tr>
    </w:tbl>
    <w:p/>
    <w:p>
      <w:pPr>
        <w:pStyle w:val="Heading1"/>
      </w:pPr>
      <w:r>
        <w:t>10. Logistics Cost, Efficiency &amp; Vehicle Utilization</w:t>
      </w:r>
    </w:p>
    <w:p>
      <w:r>
        <w:t>A critical finding is that the NER's logistics challenge is not only physical connectivity. LEADS 2023 stakeholder analysis identified cost/pricing of logistics services and terminal-service quality as weaker service indicators, while LEADS 2024 recorded improvement in logistics infrastructure and services but continued to describe the region as constrained by challenging topography, inadequate infrastructure and limited connectivity to major economic hubs. [S1][S3]</w:t>
      </w:r>
    </w:p>
    <w:p>
      <w:pPr>
        <w:pStyle w:val="Heading2"/>
      </w:pPr>
      <w:r>
        <w:t>10.1 Empty/under-utilized capacity: what can be stated safely</w:t>
      </w:r>
    </w:p>
    <w:p>
      <w:r>
        <w:t>The official sources reviewed for this report do not provide a robust NER-wide percentage for empty truck kilometres or empty return trips. Therefore, this report does NOT claim a numerical empty-run rate for the region. However, fleet under-utilisation is a recognized structural problem in logistics generally: ONDC's logistics material explicitly identifies supply disconnected from demand and underutilised fleets as barriers in the fragmented last-mile ecosystem. [S15]</w:t>
      </w:r>
    </w:p>
    <w:p>
      <w:r>
        <w:t>For SIH260002, the defensible proposition is therefore a hypothesis to be validated locally: long-haul corridors and dispersed demand may create opportunities to match available truck capacity with return or nearby loads. The prototype should collect actual utilization data and report the measured baseline rather than assume a national or NER-wide empty-run percentage.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Efficiency dimension</w:t>
            </w:r>
          </w:p>
        </w:tc>
        <w:tc>
          <w:tcPr>
            <w:tcW w:type="dxa" w:w="4392"/>
            <w:vAlign w:val="center"/>
            <w:shd w:fill="D9EAF7"/>
          </w:tcPr>
          <w:p>
            <w:r/>
            <w:r>
              <w:rPr>
                <w:b/>
                <w:sz w:val="18"/>
              </w:rPr>
              <w:t>Current evidence</w:t>
            </w:r>
          </w:p>
        </w:tc>
        <w:tc>
          <w:tcPr>
            <w:tcW w:type="dxa" w:w="3312"/>
            <w:vAlign w:val="center"/>
            <w:shd w:fill="D9EAF7"/>
          </w:tcPr>
          <w:p>
            <w:r/>
            <w:r>
              <w:rPr>
                <w:b/>
                <w:sz w:val="18"/>
              </w:rPr>
              <w:t>Potential SIH260002 metric</w:t>
            </w:r>
          </w:p>
        </w:tc>
      </w:tr>
      <w:tr>
        <w:tc>
          <w:tcPr>
            <w:tcW w:type="dxa" w:w="2160"/>
            <w:vAlign w:val="center"/>
          </w:tcPr>
          <w:p>
            <w:r/>
            <w:r>
              <w:rPr>
                <w:b w:val="0"/>
                <w:sz w:val="18"/>
              </w:rPr>
              <w:t>Travel-time reliability</w:t>
            </w:r>
          </w:p>
        </w:tc>
        <w:tc>
          <w:tcPr>
            <w:tcW w:type="dxa" w:w="4392"/>
            <w:vAlign w:val="center"/>
          </w:tcPr>
          <w:p>
            <w:r/>
            <w:r>
              <w:rPr>
                <w:b w:val="0"/>
                <w:sz w:val="18"/>
              </w:rPr>
              <w:t>Corridor vulnerability and terrain are recognized regional constraints.</w:t>
            </w:r>
          </w:p>
        </w:tc>
        <w:tc>
          <w:tcPr>
            <w:tcW w:type="dxa" w:w="3312"/>
            <w:vAlign w:val="center"/>
          </w:tcPr>
          <w:p>
            <w:r/>
            <w:r>
              <w:rPr>
                <w:b w:val="0"/>
                <w:sz w:val="18"/>
              </w:rPr>
              <w:t>95th percentile delivery delay / ETA error</w:t>
            </w:r>
          </w:p>
        </w:tc>
      </w:tr>
      <w:tr>
        <w:tc>
          <w:tcPr>
            <w:tcW w:type="dxa" w:w="2160"/>
            <w:vAlign w:val="center"/>
          </w:tcPr>
          <w:p>
            <w:r/>
            <w:r>
              <w:rPr>
                <w:b w:val="0"/>
                <w:sz w:val="18"/>
              </w:rPr>
              <w:t>Vehicle utilization</w:t>
            </w:r>
          </w:p>
        </w:tc>
        <w:tc>
          <w:tcPr>
            <w:tcW w:type="dxa" w:w="4392"/>
            <w:vAlign w:val="center"/>
          </w:tcPr>
          <w:p>
            <w:r/>
            <w:r>
              <w:rPr>
                <w:b w:val="0"/>
                <w:sz w:val="18"/>
              </w:rPr>
              <w:t>No verified NER-wide empty-run rate found in reviewed official sources.</w:t>
            </w:r>
          </w:p>
        </w:tc>
        <w:tc>
          <w:tcPr>
            <w:tcW w:type="dxa" w:w="3312"/>
            <w:vAlign w:val="center"/>
          </w:tcPr>
          <w:p>
            <w:r/>
            <w:r>
              <w:rPr>
                <w:b w:val="0"/>
                <w:sz w:val="18"/>
              </w:rPr>
              <w:t>Load factor, utilized cubic/weight capacity, empty-km share from platform data</w:t>
            </w:r>
          </w:p>
        </w:tc>
      </w:tr>
      <w:tr>
        <w:tc>
          <w:tcPr>
            <w:tcW w:type="dxa" w:w="2160"/>
            <w:vAlign w:val="center"/>
          </w:tcPr>
          <w:p>
            <w:r/>
            <w:r>
              <w:rPr>
                <w:b w:val="0"/>
                <w:sz w:val="18"/>
              </w:rPr>
              <w:t>Cost</w:t>
            </w:r>
          </w:p>
        </w:tc>
        <w:tc>
          <w:tcPr>
            <w:tcW w:type="dxa" w:w="4392"/>
            <w:vAlign w:val="center"/>
          </w:tcPr>
          <w:p>
            <w:r/>
            <w:r>
              <w:rPr>
                <w:b w:val="0"/>
                <w:sz w:val="18"/>
              </w:rPr>
              <w:t>LEADS identifies cost/pricing as a weaker logistics-service indicator.</w:t>
            </w:r>
          </w:p>
        </w:tc>
        <w:tc>
          <w:tcPr>
            <w:tcW w:type="dxa" w:w="3312"/>
            <w:vAlign w:val="center"/>
          </w:tcPr>
          <w:p>
            <w:r/>
            <w:r>
              <w:rPr>
                <w:b w:val="0"/>
                <w:sz w:val="18"/>
              </w:rPr>
              <w:t>₹/tonne-km or ₹/shipment; matched vs unmatched load cost</w:t>
            </w:r>
          </w:p>
        </w:tc>
      </w:tr>
      <w:tr>
        <w:tc>
          <w:tcPr>
            <w:tcW w:type="dxa" w:w="2160"/>
            <w:vAlign w:val="center"/>
          </w:tcPr>
          <w:p>
            <w:r/>
            <w:r>
              <w:rPr>
                <w:b w:val="0"/>
                <w:sz w:val="18"/>
              </w:rPr>
              <w:t>First/last mile</w:t>
            </w:r>
          </w:p>
        </w:tc>
        <w:tc>
          <w:tcPr>
            <w:tcW w:type="dxa" w:w="4392"/>
            <w:vAlign w:val="center"/>
          </w:tcPr>
          <w:p>
            <w:r/>
            <w:r>
              <w:rPr>
                <w:b w:val="0"/>
                <w:sz w:val="18"/>
              </w:rPr>
              <w:t>Stakeholders report this as an improving but relevant infrastructure area.</w:t>
            </w:r>
          </w:p>
        </w:tc>
        <w:tc>
          <w:tcPr>
            <w:tcW w:type="dxa" w:w="3312"/>
            <w:vAlign w:val="center"/>
          </w:tcPr>
          <w:p>
            <w:r/>
            <w:r>
              <w:rPr>
                <w:b w:val="0"/>
                <w:sz w:val="18"/>
              </w:rPr>
              <w:t>Pickup/drop detour km and time</w:t>
            </w:r>
          </w:p>
        </w:tc>
      </w:tr>
      <w:tr>
        <w:tc>
          <w:tcPr>
            <w:tcW w:type="dxa" w:w="2160"/>
            <w:vAlign w:val="center"/>
          </w:tcPr>
          <w:p>
            <w:r/>
            <w:r>
              <w:rPr>
                <w:b w:val="0"/>
                <w:sz w:val="18"/>
              </w:rPr>
              <w:t>Disruption resilience</w:t>
            </w:r>
          </w:p>
        </w:tc>
        <w:tc>
          <w:tcPr>
            <w:tcW w:type="dxa" w:w="4392"/>
            <w:vAlign w:val="center"/>
          </w:tcPr>
          <w:p>
            <w:r/>
            <w:r>
              <w:rPr>
                <w:b w:val="0"/>
                <w:sz w:val="18"/>
              </w:rPr>
              <w:t>All-weather connectivity and corridor vulnerability are explicit government concerns.</w:t>
            </w:r>
          </w:p>
        </w:tc>
        <w:tc>
          <w:tcPr>
            <w:tcW w:type="dxa" w:w="3312"/>
            <w:vAlign w:val="center"/>
          </w:tcPr>
          <w:p>
            <w:r/>
            <w:r>
              <w:rPr>
                <w:b w:val="0"/>
                <w:sz w:val="18"/>
              </w:rPr>
              <w:t>Recovery time, reroute success rate, disruption-aware ETA</w:t>
            </w:r>
          </w:p>
        </w:tc>
      </w:tr>
      <w:tr>
        <w:tc>
          <w:tcPr>
            <w:tcW w:type="dxa" w:w="2160"/>
            <w:vAlign w:val="center"/>
          </w:tcPr>
          <w:p>
            <w:r/>
            <w:r>
              <w:rPr>
                <w:b w:val="0"/>
                <w:sz w:val="18"/>
              </w:rPr>
              <w:t>Border dwell</w:t>
            </w:r>
          </w:p>
        </w:tc>
        <w:tc>
          <w:tcPr>
            <w:tcW w:type="dxa" w:w="4392"/>
            <w:vAlign w:val="center"/>
          </w:tcPr>
          <w:p>
            <w:r/>
            <w:r>
              <w:rPr>
                <w:b w:val="0"/>
                <w:sz w:val="18"/>
              </w:rPr>
              <w:t>Border infrastructure and seamless transport are identified as needs.</w:t>
            </w:r>
          </w:p>
        </w:tc>
        <w:tc>
          <w:tcPr>
            <w:tcW w:type="dxa" w:w="3312"/>
            <w:vAlign w:val="center"/>
          </w:tcPr>
          <w:p>
            <w:r/>
            <w:r>
              <w:rPr>
                <w:b w:val="0"/>
                <w:sz w:val="18"/>
              </w:rPr>
              <w:t>Truck dwell time at border/ICP</w:t>
            </w:r>
          </w:p>
        </w:tc>
      </w:tr>
    </w:tbl>
    <w:p/>
    <w:p>
      <w:pPr>
        <w:pStyle w:val="Heading1"/>
      </w:pPr>
      <w:r>
        <w:t>11. Existing Government Initiatives &amp; What They Solve</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D9EAF7"/>
          </w:tcPr>
          <w:p>
            <w:r/>
            <w:r>
              <w:rPr>
                <w:b/>
                <w:sz w:val="18"/>
              </w:rPr>
              <w:t>Initiative / programme</w:t>
            </w:r>
          </w:p>
        </w:tc>
        <w:tc>
          <w:tcPr>
            <w:tcW w:type="dxa" w:w="4320"/>
            <w:vAlign w:val="center"/>
            <w:shd w:fill="D9EAF7"/>
          </w:tcPr>
          <w:p>
            <w:r/>
            <w:r>
              <w:rPr>
                <w:b/>
                <w:sz w:val="18"/>
              </w:rPr>
              <w:t>Core purpose</w:t>
            </w:r>
          </w:p>
        </w:tc>
        <w:tc>
          <w:tcPr>
            <w:tcW w:type="dxa" w:w="3168"/>
            <w:vAlign w:val="center"/>
            <w:shd w:fill="D9EAF7"/>
          </w:tcPr>
          <w:p>
            <w:r/>
            <w:r>
              <w:rPr>
                <w:b/>
                <w:sz w:val="18"/>
              </w:rPr>
              <w:t>Remaining gap relevant to SIH260002</w:t>
            </w:r>
          </w:p>
        </w:tc>
      </w:tr>
      <w:tr>
        <w:tc>
          <w:tcPr>
            <w:tcW w:type="dxa" w:w="2376"/>
            <w:vAlign w:val="center"/>
          </w:tcPr>
          <w:p>
            <w:r/>
            <w:r>
              <w:rPr>
                <w:b w:val="0"/>
                <w:sz w:val="18"/>
              </w:rPr>
              <w:t>SARDP-NE</w:t>
            </w:r>
          </w:p>
        </w:tc>
        <w:tc>
          <w:tcPr>
            <w:tcW w:type="dxa" w:w="4320"/>
            <w:vAlign w:val="center"/>
          </w:tcPr>
          <w:p>
            <w:r/>
            <w:r>
              <w:rPr>
                <w:b w:val="0"/>
                <w:sz w:val="18"/>
              </w:rPr>
              <w:t>Upgrade NHs, connect capitals/DHQs, improve remote/border connectivity.</w:t>
            </w:r>
          </w:p>
        </w:tc>
        <w:tc>
          <w:tcPr>
            <w:tcW w:type="dxa" w:w="3168"/>
            <w:vAlign w:val="center"/>
          </w:tcPr>
          <w:p>
            <w:r/>
            <w:r>
              <w:rPr>
                <w:b w:val="0"/>
                <w:sz w:val="18"/>
              </w:rPr>
              <w:t>Physical connectivity does not itself solve dynamic load matching or operational visibility.</w:t>
            </w:r>
          </w:p>
        </w:tc>
      </w:tr>
      <w:tr>
        <w:tc>
          <w:tcPr>
            <w:tcW w:type="dxa" w:w="2376"/>
            <w:vAlign w:val="center"/>
          </w:tcPr>
          <w:p>
            <w:r/>
            <w:r>
              <w:rPr>
                <w:b w:val="0"/>
                <w:sz w:val="18"/>
              </w:rPr>
              <w:t>Bharatmala / NH development</w:t>
            </w:r>
          </w:p>
        </w:tc>
        <w:tc>
          <w:tcPr>
            <w:tcW w:type="dxa" w:w="4320"/>
            <w:vAlign w:val="center"/>
          </w:tcPr>
          <w:p>
            <w:r/>
            <w:r>
              <w:rPr>
                <w:b w:val="0"/>
                <w:sz w:val="18"/>
              </w:rPr>
              <w:t>Economic corridors, feeder roads, border/international connectivity and network capacity.</w:t>
            </w:r>
          </w:p>
        </w:tc>
        <w:tc>
          <w:tcPr>
            <w:tcW w:type="dxa" w:w="3168"/>
            <w:vAlign w:val="center"/>
          </w:tcPr>
          <w:p>
            <w:r/>
            <w:r>
              <w:rPr>
                <w:b w:val="0"/>
                <w:sz w:val="18"/>
              </w:rPr>
              <w:t>Need demand-aware utilization and operational intelligence on the network.</w:t>
            </w:r>
          </w:p>
        </w:tc>
      </w:tr>
      <w:tr>
        <w:tc>
          <w:tcPr>
            <w:tcW w:type="dxa" w:w="2376"/>
            <w:vAlign w:val="center"/>
          </w:tcPr>
          <w:p>
            <w:r/>
            <w:r>
              <w:rPr>
                <w:b w:val="0"/>
                <w:sz w:val="18"/>
              </w:rPr>
              <w:t>NHIDCL</w:t>
            </w:r>
          </w:p>
        </w:tc>
        <w:tc>
          <w:tcPr>
            <w:tcW w:type="dxa" w:w="4320"/>
            <w:vAlign w:val="center"/>
          </w:tcPr>
          <w:p>
            <w:r/>
            <w:r>
              <w:rPr>
                <w:b w:val="0"/>
                <w:sz w:val="18"/>
              </w:rPr>
              <w:t>Accelerate highway and strategic infrastructure in NER and border areas.</w:t>
            </w:r>
          </w:p>
        </w:tc>
        <w:tc>
          <w:tcPr>
            <w:tcW w:type="dxa" w:w="3168"/>
            <w:vAlign w:val="center"/>
          </w:tcPr>
          <w:p>
            <w:r/>
            <w:r>
              <w:rPr>
                <w:b w:val="0"/>
                <w:sz w:val="18"/>
              </w:rPr>
              <w:t>Construction/asset delivery is different from a neutral freight-demand/vehicle-capacity exchange.</w:t>
            </w:r>
          </w:p>
        </w:tc>
      </w:tr>
      <w:tr>
        <w:tc>
          <w:tcPr>
            <w:tcW w:type="dxa" w:w="2376"/>
            <w:vAlign w:val="center"/>
          </w:tcPr>
          <w:p>
            <w:r/>
            <w:r>
              <w:rPr>
                <w:b w:val="0"/>
                <w:sz w:val="18"/>
              </w:rPr>
              <w:t>PM Gati Shakti</w:t>
            </w:r>
          </w:p>
        </w:tc>
        <w:tc>
          <w:tcPr>
            <w:tcW w:type="dxa" w:w="4320"/>
            <w:vAlign w:val="center"/>
          </w:tcPr>
          <w:p>
            <w:r/>
            <w:r>
              <w:rPr>
                <w:b w:val="0"/>
                <w:sz w:val="18"/>
              </w:rPr>
              <w:t>Integrated planning of infrastructure and economic-zone linkages; identify missing connectivity gaps.</w:t>
            </w:r>
          </w:p>
        </w:tc>
        <w:tc>
          <w:tcPr>
            <w:tcW w:type="dxa" w:w="3168"/>
            <w:vAlign w:val="center"/>
          </w:tcPr>
          <w:p>
            <w:r/>
            <w:r>
              <w:rPr>
                <w:b w:val="0"/>
                <w:sz w:val="18"/>
              </w:rPr>
              <w:t>Planning layer needs complementary real-time freight demand/supply data.</w:t>
            </w:r>
          </w:p>
        </w:tc>
      </w:tr>
      <w:tr>
        <w:tc>
          <w:tcPr>
            <w:tcW w:type="dxa" w:w="2376"/>
            <w:vAlign w:val="center"/>
          </w:tcPr>
          <w:p>
            <w:r/>
            <w:r>
              <w:rPr>
                <w:b w:val="0"/>
                <w:sz w:val="18"/>
              </w:rPr>
              <w:t>MMLP Jogighopa</w:t>
            </w:r>
          </w:p>
        </w:tc>
        <w:tc>
          <w:tcPr>
            <w:tcW w:type="dxa" w:w="4320"/>
            <w:vAlign w:val="center"/>
          </w:tcPr>
          <w:p>
            <w:r/>
            <w:r>
              <w:rPr>
                <w:b w:val="0"/>
                <w:sz w:val="18"/>
              </w:rPr>
              <w:t>Regional cargo aggregation/distribution and cross-border trade facilitation.</w:t>
            </w:r>
          </w:p>
        </w:tc>
        <w:tc>
          <w:tcPr>
            <w:tcW w:type="dxa" w:w="3168"/>
            <w:vAlign w:val="center"/>
          </w:tcPr>
          <w:p>
            <w:r/>
            <w:r>
              <w:rPr>
                <w:b w:val="0"/>
                <w:sz w:val="18"/>
              </w:rPr>
              <w:t>Need digital flow coordination between producers, vehicles, hubs and destinations.</w:t>
            </w:r>
          </w:p>
        </w:tc>
      </w:tr>
      <w:tr>
        <w:tc>
          <w:tcPr>
            <w:tcW w:type="dxa" w:w="2376"/>
            <w:vAlign w:val="center"/>
          </w:tcPr>
          <w:p>
            <w:r/>
            <w:r>
              <w:rPr>
                <w:b w:val="0"/>
                <w:sz w:val="18"/>
              </w:rPr>
              <w:t>High-Level Task Force on Infrastructure &amp; Connectivity</w:t>
            </w:r>
          </w:p>
        </w:tc>
        <w:tc>
          <w:tcPr>
            <w:tcW w:type="dxa" w:w="4320"/>
            <w:vAlign w:val="center"/>
          </w:tcPr>
          <w:p>
            <w:r/>
            <w:r>
              <w:rPr>
                <w:b w:val="0"/>
                <w:sz w:val="18"/>
              </w:rPr>
              <w:t>Region-wide roadmap to reduce logistics costs and address infrastructure/connectivity bottlenecks.</w:t>
            </w:r>
          </w:p>
        </w:tc>
        <w:tc>
          <w:tcPr>
            <w:tcW w:type="dxa" w:w="3168"/>
            <w:vAlign w:val="center"/>
          </w:tcPr>
          <w:p>
            <w:r/>
            <w:r>
              <w:rPr>
                <w:b w:val="0"/>
                <w:sz w:val="18"/>
              </w:rPr>
              <w:t>Creates policy momentum for an integrated digital logistics layer.</w:t>
            </w:r>
          </w:p>
        </w:tc>
      </w:tr>
      <w:tr>
        <w:tc>
          <w:tcPr>
            <w:tcW w:type="dxa" w:w="2376"/>
            <w:vAlign w:val="center"/>
          </w:tcPr>
          <w:p>
            <w:r/>
            <w:r>
              <w:rPr>
                <w:b w:val="0"/>
                <w:sz w:val="18"/>
              </w:rPr>
              <w:t>Land Ports / ICP programme</w:t>
            </w:r>
          </w:p>
        </w:tc>
        <w:tc>
          <w:tcPr>
            <w:tcW w:type="dxa" w:w="4320"/>
            <w:vAlign w:val="center"/>
          </w:tcPr>
          <w:p>
            <w:r/>
            <w:r>
              <w:rPr>
                <w:b w:val="0"/>
                <w:sz w:val="18"/>
              </w:rPr>
              <w:t>Improve border trade and passenger movement through integrated facilities.</w:t>
            </w:r>
          </w:p>
        </w:tc>
        <w:tc>
          <w:tcPr>
            <w:tcW w:type="dxa" w:w="3168"/>
            <w:vAlign w:val="center"/>
          </w:tcPr>
          <w:p>
            <w:r/>
            <w:r>
              <w:rPr>
                <w:b w:val="0"/>
                <w:sz w:val="18"/>
              </w:rPr>
              <w:t>Need shipment/vehicle visibility before, during and after border processing.</w:t>
            </w:r>
          </w:p>
        </w:tc>
      </w:tr>
      <w:tr>
        <w:tc>
          <w:tcPr>
            <w:tcW w:type="dxa" w:w="2376"/>
            <w:vAlign w:val="center"/>
          </w:tcPr>
          <w:p>
            <w:r/>
            <w:r>
              <w:rPr>
                <w:b w:val="0"/>
                <w:sz w:val="18"/>
              </w:rPr>
              <w:t>LEADS</w:t>
            </w:r>
          </w:p>
        </w:tc>
        <w:tc>
          <w:tcPr>
            <w:tcW w:type="dxa" w:w="4320"/>
            <w:vAlign w:val="center"/>
          </w:tcPr>
          <w:p>
            <w:r/>
            <w:r>
              <w:rPr>
                <w:b w:val="0"/>
                <w:sz w:val="18"/>
              </w:rPr>
              <w:t>Measures logistics performance through infrastructure, services and regulatory environment.</w:t>
            </w:r>
          </w:p>
        </w:tc>
        <w:tc>
          <w:tcPr>
            <w:tcW w:type="dxa" w:w="3168"/>
            <w:vAlign w:val="center"/>
          </w:tcPr>
          <w:p>
            <w:r/>
            <w:r>
              <w:rPr>
                <w:b w:val="0"/>
                <w:sz w:val="18"/>
              </w:rPr>
              <w:t>Diagnostic index; not a live freight-matching or operational optimization platform.</w:t>
            </w:r>
          </w:p>
        </w:tc>
      </w:tr>
    </w:tbl>
    <w:p/>
    <w:p>
      <w:pPr>
        <w:pStyle w:val="Heading1"/>
      </w:pPr>
      <w:r>
        <w:t>12. Existing Digital / Logistics Platforms and the Gap</w:t>
      </w:r>
    </w:p>
    <w:p>
      <w:r>
        <w:t>The digital ecosystem is not empty. India already has major national digital infrastructure and private/open-network logistics services. The differentiator for SIH260002 should therefore be the regional intelligence layer rather than another generic booking app.</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System / platform</w:t>
            </w:r>
          </w:p>
        </w:tc>
        <w:tc>
          <w:tcPr>
            <w:tcW w:type="dxa" w:w="4320"/>
            <w:vAlign w:val="center"/>
            <w:shd w:fill="D9EAF7"/>
          </w:tcPr>
          <w:p>
            <w:r/>
            <w:r>
              <w:rPr>
                <w:b/>
                <w:sz w:val="18"/>
              </w:rPr>
              <w:t>What it already does</w:t>
            </w:r>
          </w:p>
        </w:tc>
        <w:tc>
          <w:tcPr>
            <w:tcW w:type="dxa" w:w="3096"/>
            <w:vAlign w:val="center"/>
            <w:shd w:fill="D9EAF7"/>
          </w:tcPr>
          <w:p>
            <w:r/>
            <w:r>
              <w:rPr>
                <w:b/>
                <w:sz w:val="18"/>
              </w:rPr>
              <w:t>Gap/opportunity for SIH260002</w:t>
            </w:r>
          </w:p>
        </w:tc>
      </w:tr>
      <w:tr>
        <w:tc>
          <w:tcPr>
            <w:tcW w:type="dxa" w:w="2448"/>
            <w:vAlign w:val="center"/>
          </w:tcPr>
          <w:p>
            <w:r/>
            <w:r>
              <w:rPr>
                <w:b w:val="0"/>
                <w:sz w:val="18"/>
              </w:rPr>
              <w:t>PM Gati Shakti NMP</w:t>
            </w:r>
          </w:p>
        </w:tc>
        <w:tc>
          <w:tcPr>
            <w:tcW w:type="dxa" w:w="4320"/>
            <w:vAlign w:val="center"/>
          </w:tcPr>
          <w:p>
            <w:r/>
            <w:r>
              <w:rPr>
                <w:b w:val="0"/>
                <w:sz w:val="18"/>
              </w:rPr>
              <w:t>Integrates infrastructure and economic-zone planning and helps identify connectivity gaps.</w:t>
            </w:r>
          </w:p>
        </w:tc>
        <w:tc>
          <w:tcPr>
            <w:tcW w:type="dxa" w:w="3096"/>
            <w:vAlign w:val="center"/>
          </w:tcPr>
          <w:p>
            <w:r/>
            <w:r>
              <w:rPr>
                <w:b w:val="0"/>
                <w:sz w:val="18"/>
              </w:rPr>
              <w:t>Not a public truck-capacity/load-matching marketplace or live freight operations layer.</w:t>
            </w:r>
          </w:p>
        </w:tc>
      </w:tr>
      <w:tr>
        <w:tc>
          <w:tcPr>
            <w:tcW w:type="dxa" w:w="2448"/>
            <w:vAlign w:val="center"/>
          </w:tcPr>
          <w:p>
            <w:r/>
            <w:r>
              <w:rPr>
                <w:b w:val="0"/>
                <w:sz w:val="18"/>
              </w:rPr>
              <w:t>LEADS</w:t>
            </w:r>
          </w:p>
        </w:tc>
        <w:tc>
          <w:tcPr>
            <w:tcW w:type="dxa" w:w="4320"/>
            <w:vAlign w:val="center"/>
          </w:tcPr>
          <w:p>
            <w:r/>
            <w:r>
              <w:rPr>
                <w:b w:val="0"/>
                <w:sz w:val="18"/>
              </w:rPr>
              <w:t>Provides comparative logistics performance assessment.</w:t>
            </w:r>
          </w:p>
        </w:tc>
        <w:tc>
          <w:tcPr>
            <w:tcW w:type="dxa" w:w="3096"/>
            <w:vAlign w:val="center"/>
          </w:tcPr>
          <w:p>
            <w:r/>
            <w:r>
              <w:rPr>
                <w:b w:val="0"/>
                <w:sz w:val="18"/>
              </w:rPr>
              <w:t>Periodic diagnostic, not shipment-level or vehicle-level operational optimization.</w:t>
            </w:r>
          </w:p>
        </w:tc>
      </w:tr>
      <w:tr>
        <w:tc>
          <w:tcPr>
            <w:tcW w:type="dxa" w:w="2448"/>
            <w:vAlign w:val="center"/>
          </w:tcPr>
          <w:p>
            <w:r/>
            <w:r>
              <w:rPr>
                <w:b w:val="0"/>
                <w:sz w:val="18"/>
              </w:rPr>
              <w:t>ONDC Logistics</w:t>
            </w:r>
          </w:p>
        </w:tc>
        <w:tc>
          <w:tcPr>
            <w:tcW w:type="dxa" w:w="4320"/>
            <w:vAlign w:val="center"/>
          </w:tcPr>
          <w:p>
            <w:r/>
            <w:r>
              <w:rPr>
                <w:b w:val="0"/>
                <w:sz w:val="18"/>
              </w:rPr>
              <w:t>Open-network logistics with multiple LSPs, dynamic routing/allocation and interoperability.</w:t>
            </w:r>
          </w:p>
        </w:tc>
        <w:tc>
          <w:tcPr>
            <w:tcW w:type="dxa" w:w="3096"/>
            <w:vAlign w:val="center"/>
          </w:tcPr>
          <w:p>
            <w:r/>
            <w:r>
              <w:rPr>
                <w:b w:val="0"/>
                <w:sz w:val="18"/>
              </w:rPr>
              <w:t>Primarily commerce/last-mile network; SIH can focus on NER long-haul freight, regional corridors, backhaul and disruption intelligence.</w:t>
            </w:r>
          </w:p>
        </w:tc>
      </w:tr>
      <w:tr>
        <w:tc>
          <w:tcPr>
            <w:tcW w:type="dxa" w:w="2448"/>
            <w:vAlign w:val="center"/>
          </w:tcPr>
          <w:p>
            <w:r/>
            <w:r>
              <w:rPr>
                <w:b w:val="0"/>
                <w:sz w:val="18"/>
              </w:rPr>
              <w:t>Land Ports / ICP systems</w:t>
            </w:r>
          </w:p>
        </w:tc>
        <w:tc>
          <w:tcPr>
            <w:tcW w:type="dxa" w:w="4320"/>
            <w:vAlign w:val="center"/>
          </w:tcPr>
          <w:p>
            <w:r/>
            <w:r>
              <w:rPr>
                <w:b w:val="0"/>
                <w:sz w:val="18"/>
              </w:rPr>
              <w:t>Border trade/passenger processing infrastructure.</w:t>
            </w:r>
          </w:p>
        </w:tc>
        <w:tc>
          <w:tcPr>
            <w:tcW w:type="dxa" w:w="3096"/>
            <w:vAlign w:val="center"/>
          </w:tcPr>
          <w:p>
            <w:r/>
            <w:r>
              <w:rPr>
                <w:b w:val="0"/>
                <w:sz w:val="18"/>
              </w:rPr>
              <w:t>Need pre-arrival freight visibility, capacity matching and corridor-level coordination.</w:t>
            </w:r>
          </w:p>
        </w:tc>
      </w:tr>
      <w:tr>
        <w:tc>
          <w:tcPr>
            <w:tcW w:type="dxa" w:w="2448"/>
            <w:vAlign w:val="center"/>
          </w:tcPr>
          <w:p>
            <w:r/>
            <w:r>
              <w:rPr>
                <w:b w:val="0"/>
                <w:sz w:val="18"/>
              </w:rPr>
              <w:t>MMLP Jogighopa</w:t>
            </w:r>
          </w:p>
        </w:tc>
        <w:tc>
          <w:tcPr>
            <w:tcW w:type="dxa" w:w="4320"/>
            <w:vAlign w:val="center"/>
          </w:tcPr>
          <w:p>
            <w:r/>
            <w:r>
              <w:rPr>
                <w:b w:val="0"/>
                <w:sz w:val="18"/>
              </w:rPr>
              <w:t>Physical aggregation/distribution hub with cross-border orientation.</w:t>
            </w:r>
          </w:p>
        </w:tc>
        <w:tc>
          <w:tcPr>
            <w:tcW w:type="dxa" w:w="3096"/>
            <w:vAlign w:val="center"/>
          </w:tcPr>
          <w:p>
            <w:r/>
            <w:r>
              <w:rPr>
                <w:b w:val="0"/>
                <w:sz w:val="18"/>
              </w:rPr>
              <w:t>Needs upstream/downstream digital matching and demand visibility.</w:t>
            </w:r>
          </w:p>
        </w:tc>
      </w:tr>
      <w:tr>
        <w:tc>
          <w:tcPr>
            <w:tcW w:type="dxa" w:w="2448"/>
            <w:vAlign w:val="center"/>
          </w:tcPr>
          <w:p>
            <w:r/>
            <w:r>
              <w:rPr>
                <w:b w:val="0"/>
                <w:sz w:val="18"/>
              </w:rPr>
              <w:t>Private TMS/3PL systems</w:t>
            </w:r>
          </w:p>
        </w:tc>
        <w:tc>
          <w:tcPr>
            <w:tcW w:type="dxa" w:w="4320"/>
            <w:vAlign w:val="center"/>
          </w:tcPr>
          <w:p>
            <w:r/>
            <w:r>
              <w:rPr>
                <w:b w:val="0"/>
                <w:sz w:val="18"/>
              </w:rPr>
              <w:t>Fleet tracking, dispatch and shipment management.</w:t>
            </w:r>
          </w:p>
        </w:tc>
        <w:tc>
          <w:tcPr>
            <w:tcW w:type="dxa" w:w="3096"/>
            <w:vAlign w:val="center"/>
          </w:tcPr>
          <w:p>
            <w:r/>
            <w:r>
              <w:rPr>
                <w:b w:val="0"/>
                <w:sz w:val="18"/>
              </w:rPr>
              <w:t>Often enterprise-specific; opportunity for neutral multi-party regional matching and public-interest corridor intelligence.</w:t>
            </w:r>
          </w:p>
        </w:tc>
      </w:tr>
    </w:tbl>
    <w:p/>
    <w:p>
      <w:r>
        <w:t>ONDC's official logistics documentation identifies a fragmented ecosystem, supply disconnected from demand, underutilised fleets and high last-mile cost pressures, and describes dynamic routing/allocation and interoperable logistics as remedies. This is useful evidence for the general digital-logistics architecture, but it should not be misrepresented as NER-specific evidence. [S15]</w:t>
      </w:r>
    </w:p>
    <w:p>
      <w:pPr>
        <w:pStyle w:val="Heading1"/>
      </w:pPr>
      <w:r>
        <w:t>13. What This Means for SIH260002</w:t>
      </w:r>
    </w:p>
    <w:p>
      <w:pPr>
        <w:pStyle w:val="Heading2"/>
      </w:pPr>
      <w:r>
        <w:t>13.1 Strongest evidence-backed problem statement</w:t>
      </w:r>
    </w:p>
    <w:p>
      <w:r>
        <w:t>The NER is receiving significant road investment, yet official logistics assessments continue to identify challenges in infrastructure/service quality, cost/pricing, connectivity to economic hubs, terrain and corridor vulnerability. Trucks are a major goods-movement mode in several NE states. Therefore, the opportunity is to add an intelligent operational layer on top of the physical network.</w:t>
      </w:r>
    </w:p>
    <w:p>
      <w:pPr>
        <w:pStyle w:val="Heading2"/>
      </w:pPr>
      <w:r>
        <w:t>13.2 Recommended solution architecture</w:t>
      </w:r>
    </w:p>
    <w:p>
      <w:pPr>
        <w:pStyle w:val="ListNumber"/>
      </w:pPr>
      <w:r>
        <w:t>Freight demand layer: capture origin, destination, commodity, weight/volume, pickup window and delivery deadline.</w:t>
      </w:r>
    </w:p>
    <w:p>
      <w:pPr>
        <w:pStyle w:val="ListNumber"/>
      </w:pPr>
      <w:r>
        <w:t>Vehicle capacity layer: capture vehicle type, current location, remaining capacity, planned destination and availability time.</w:t>
      </w:r>
    </w:p>
    <w:p>
      <w:pPr>
        <w:pStyle w:val="ListNumber"/>
      </w:pPr>
      <w:r>
        <w:t>Matching engine: recommend compatible loads for available capacity and possible backhaul legs.</w:t>
      </w:r>
    </w:p>
    <w:p>
      <w:pPr>
        <w:pStyle w:val="ListNumber"/>
      </w:pPr>
      <w:r>
        <w:t>Corridor intelligence: score routes using distance, estimated time, road class, restrictions and historical reliability.</w:t>
      </w:r>
    </w:p>
    <w:p>
      <w:pPr>
        <w:pStyle w:val="ListNumber"/>
      </w:pPr>
      <w:r>
        <w:t>Disruption intelligence: combine weather/incident inputs with route graphs to flag vulnerable corridors and calculate alternatives.</w:t>
      </w:r>
    </w:p>
    <w:p>
      <w:pPr>
        <w:pStyle w:val="ListNumber"/>
      </w:pPr>
      <w:r>
        <w:t>Border/ICP intelligence: track expected arrival, documentation state and potential dwell time where data access permits.</w:t>
      </w:r>
    </w:p>
    <w:p>
      <w:pPr>
        <w:pStyle w:val="ListNumber"/>
      </w:pPr>
      <w:r>
        <w:t>Hub/warehouse intelligence: connect demand with aggregation points and MMLP/logistics hubs.</w:t>
      </w:r>
    </w:p>
    <w:p>
      <w:pPr>
        <w:pStyle w:val="ListNumber"/>
      </w:pPr>
      <w:r>
        <w:t>Impact dashboard: report utilization, cost, travel-time reliability, empty-km reduction and avoided emissions from measured platform activity.</w:t>
      </w:r>
    </w:p>
    <w:p>
      <w:pPr>
        <w:pStyle w:val="Heading2"/>
      </w:pPr>
      <w:r>
        <w:t>13.3 Differentiators to emphasize</w:t>
      </w:r>
    </w:p>
    <w:p>
      <w:pPr>
        <w:pStyle w:val="ListBullet"/>
        <w:ind w:left="0"/>
      </w:pPr>
      <w:r>
        <w:t>NER-specific rather than generic India-wide freight optimization.</w:t>
      </w:r>
    </w:p>
    <w:p>
      <w:pPr>
        <w:pStyle w:val="ListBullet"/>
        <w:ind w:left="0"/>
      </w:pPr>
      <w:r>
        <w:t>Road-corridor resilience rather than distance-only routing.</w:t>
      </w:r>
    </w:p>
    <w:p>
      <w:pPr>
        <w:pStyle w:val="ListBullet"/>
        <w:ind w:left="0"/>
      </w:pPr>
      <w:r>
        <w:t>Two-sided freight matching: shipper demand + unused vehicle capacity.</w:t>
      </w:r>
    </w:p>
    <w:p>
      <w:pPr>
        <w:pStyle w:val="ListBullet"/>
        <w:ind w:left="0"/>
      </w:pPr>
      <w:r>
        <w:t>Public-interest regional layer that can interoperate with existing logistics systems instead of replacing them.</w:t>
      </w:r>
    </w:p>
    <w:p>
      <w:pPr>
        <w:pStyle w:val="ListBullet"/>
        <w:ind w:left="0"/>
      </w:pPr>
      <w:r>
        <w:t>Border-trade-aware planning for ICP and international corridor flows.</w:t>
      </w:r>
    </w:p>
    <w:p>
      <w:pPr>
        <w:pStyle w:val="ListBullet"/>
        <w:ind w:left="0"/>
      </w:pPr>
      <w:r>
        <w:t>Evidence-first impact measurement: no unsupported claim about empty trucks; the platform measures its own baseline and improvement.</w:t>
      </w:r>
    </w:p>
    <w:p>
      <w:pPr>
        <w:pStyle w:val="ListBullet"/>
        <w:ind w:left="0"/>
      </w:pPr>
      <w:r>
        <w:t>Designed for fragmented operators and smaller regional carriers, not only large 3PL fleets.</w:t>
      </w:r>
    </w:p>
    <w:p>
      <w:pPr>
        <w:pStyle w:val="Heading1"/>
      </w:pPr>
      <w:r>
        <w:t>14. Suggested KPIs for the SIH Prototype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KPI</w:t>
            </w:r>
          </w:p>
        </w:tc>
        <w:tc>
          <w:tcPr>
            <w:tcW w:type="dxa" w:w="4464"/>
            <w:vAlign w:val="center"/>
            <w:shd w:fill="D9EAF7"/>
          </w:tcPr>
          <w:p>
            <w:r/>
            <w:r>
              <w:rPr>
                <w:b/>
                <w:sz w:val="18"/>
              </w:rPr>
              <w:t>Definition</w:t>
            </w:r>
          </w:p>
        </w:tc>
        <w:tc>
          <w:tcPr>
            <w:tcW w:type="dxa" w:w="2952"/>
            <w:vAlign w:val="center"/>
            <w:shd w:fill="D9EAF7"/>
          </w:tcPr>
          <w:p>
            <w:r/>
            <w:r>
              <w:rPr>
                <w:b/>
                <w:sz w:val="18"/>
              </w:rPr>
              <w:t>Why judges should care</w:t>
            </w:r>
          </w:p>
        </w:tc>
      </w:tr>
      <w:tr>
        <w:tc>
          <w:tcPr>
            <w:tcW w:type="dxa" w:w="2448"/>
            <w:vAlign w:val="center"/>
          </w:tcPr>
          <w:p>
            <w:r/>
            <w:r>
              <w:rPr>
                <w:b w:val="0"/>
                <w:sz w:val="18"/>
              </w:rPr>
              <w:t>Capacity utilization</w:t>
            </w:r>
          </w:p>
        </w:tc>
        <w:tc>
          <w:tcPr>
            <w:tcW w:type="dxa" w:w="4464"/>
            <w:vAlign w:val="center"/>
          </w:tcPr>
          <w:p>
            <w:r/>
            <w:r>
              <w:rPr>
                <w:b w:val="0"/>
                <w:sz w:val="18"/>
              </w:rPr>
              <w:t>Booked load capacity / available capacity.</w:t>
            </w:r>
          </w:p>
        </w:tc>
        <w:tc>
          <w:tcPr>
            <w:tcW w:type="dxa" w:w="2952"/>
            <w:vAlign w:val="center"/>
          </w:tcPr>
          <w:p>
            <w:r/>
            <w:r>
              <w:rPr>
                <w:b w:val="0"/>
                <w:sz w:val="18"/>
              </w:rPr>
              <w:t>Directly tests the core freight-matching value proposition.</w:t>
            </w:r>
          </w:p>
        </w:tc>
      </w:tr>
      <w:tr>
        <w:tc>
          <w:tcPr>
            <w:tcW w:type="dxa" w:w="2448"/>
            <w:vAlign w:val="center"/>
          </w:tcPr>
          <w:p>
            <w:r/>
            <w:r>
              <w:rPr>
                <w:b w:val="0"/>
                <w:sz w:val="18"/>
              </w:rPr>
              <w:t>Empty-km reduction</w:t>
            </w:r>
          </w:p>
        </w:tc>
        <w:tc>
          <w:tcPr>
            <w:tcW w:type="dxa" w:w="4464"/>
            <w:vAlign w:val="center"/>
          </w:tcPr>
          <w:p>
            <w:r/>
            <w:r>
              <w:rPr>
                <w:b w:val="0"/>
                <w:sz w:val="18"/>
              </w:rPr>
              <w:t>Baseline empty kilometres minus platform-enabled empty kilometres.</w:t>
            </w:r>
          </w:p>
        </w:tc>
        <w:tc>
          <w:tcPr>
            <w:tcW w:type="dxa" w:w="2952"/>
            <w:vAlign w:val="center"/>
          </w:tcPr>
          <w:p>
            <w:r/>
            <w:r>
              <w:rPr>
                <w:b w:val="0"/>
                <w:sz w:val="18"/>
              </w:rPr>
              <w:t>Connects utilization to cost and emissions.</w:t>
            </w:r>
          </w:p>
        </w:tc>
      </w:tr>
      <w:tr>
        <w:tc>
          <w:tcPr>
            <w:tcW w:type="dxa" w:w="2448"/>
            <w:vAlign w:val="center"/>
          </w:tcPr>
          <w:p>
            <w:r/>
            <w:r>
              <w:rPr>
                <w:b w:val="0"/>
                <w:sz w:val="18"/>
              </w:rPr>
              <w:t>Freight match rate</w:t>
            </w:r>
          </w:p>
        </w:tc>
        <w:tc>
          <w:tcPr>
            <w:tcW w:type="dxa" w:w="4464"/>
            <w:vAlign w:val="center"/>
          </w:tcPr>
          <w:p>
            <w:r/>
            <w:r>
              <w:rPr>
                <w:b w:val="0"/>
                <w:sz w:val="18"/>
              </w:rPr>
              <w:t>Compatible load opportunities successfully matched to available capacity.</w:t>
            </w:r>
          </w:p>
        </w:tc>
        <w:tc>
          <w:tcPr>
            <w:tcW w:type="dxa" w:w="2952"/>
            <w:vAlign w:val="center"/>
          </w:tcPr>
          <w:p>
            <w:r/>
            <w:r>
              <w:rPr>
                <w:b w:val="0"/>
                <w:sz w:val="18"/>
              </w:rPr>
              <w:t>Measures marketplace effectiveness.</w:t>
            </w:r>
          </w:p>
        </w:tc>
      </w:tr>
      <w:tr>
        <w:tc>
          <w:tcPr>
            <w:tcW w:type="dxa" w:w="2448"/>
            <w:vAlign w:val="center"/>
          </w:tcPr>
          <w:p>
            <w:r/>
            <w:r>
              <w:rPr>
                <w:b w:val="0"/>
                <w:sz w:val="18"/>
              </w:rPr>
              <w:t>Cost per shipment</w:t>
            </w:r>
          </w:p>
        </w:tc>
        <w:tc>
          <w:tcPr>
            <w:tcW w:type="dxa" w:w="4464"/>
            <w:vAlign w:val="center"/>
          </w:tcPr>
          <w:p>
            <w:r/>
            <w:r>
              <w:rPr>
                <w:b w:val="0"/>
                <w:sz w:val="18"/>
              </w:rPr>
              <w:t>Total transport cost / shipment.</w:t>
            </w:r>
          </w:p>
        </w:tc>
        <w:tc>
          <w:tcPr>
            <w:tcW w:type="dxa" w:w="2952"/>
            <w:vAlign w:val="center"/>
          </w:tcPr>
          <w:p>
            <w:r/>
            <w:r>
              <w:rPr>
                <w:b w:val="0"/>
                <w:sz w:val="18"/>
              </w:rPr>
              <w:t>Shows customer economics.</w:t>
            </w:r>
          </w:p>
        </w:tc>
      </w:tr>
      <w:tr>
        <w:tc>
          <w:tcPr>
            <w:tcW w:type="dxa" w:w="2448"/>
            <w:vAlign w:val="center"/>
          </w:tcPr>
          <w:p>
            <w:r/>
            <w:r>
              <w:rPr>
                <w:b w:val="0"/>
                <w:sz w:val="18"/>
              </w:rPr>
              <w:t>Cost per tonne-km</w:t>
            </w:r>
          </w:p>
        </w:tc>
        <w:tc>
          <w:tcPr>
            <w:tcW w:type="dxa" w:w="4464"/>
            <w:vAlign w:val="center"/>
          </w:tcPr>
          <w:p>
            <w:r/>
            <w:r>
              <w:rPr>
                <w:b w:val="0"/>
                <w:sz w:val="18"/>
              </w:rPr>
              <w:t>Transport cost divided by weight and distance.</w:t>
            </w:r>
          </w:p>
        </w:tc>
        <w:tc>
          <w:tcPr>
            <w:tcW w:type="dxa" w:w="2952"/>
            <w:vAlign w:val="center"/>
          </w:tcPr>
          <w:p>
            <w:r/>
            <w:r>
              <w:rPr>
                <w:b w:val="0"/>
                <w:sz w:val="18"/>
              </w:rPr>
              <w:t>Comparable efficiency metric.</w:t>
            </w:r>
          </w:p>
        </w:tc>
      </w:tr>
      <w:tr>
        <w:tc>
          <w:tcPr>
            <w:tcW w:type="dxa" w:w="2448"/>
            <w:vAlign w:val="center"/>
          </w:tcPr>
          <w:p>
            <w:r/>
            <w:r>
              <w:rPr>
                <w:b w:val="0"/>
                <w:sz w:val="18"/>
              </w:rPr>
              <w:t>ETA accuracy</w:t>
            </w:r>
          </w:p>
        </w:tc>
        <w:tc>
          <w:tcPr>
            <w:tcW w:type="dxa" w:w="4464"/>
            <w:vAlign w:val="center"/>
          </w:tcPr>
          <w:p>
            <w:r/>
            <w:r>
              <w:rPr>
                <w:b w:val="0"/>
                <w:sz w:val="18"/>
              </w:rPr>
              <w:t>Absolute difference between predicted and actual arrival time.</w:t>
            </w:r>
          </w:p>
        </w:tc>
        <w:tc>
          <w:tcPr>
            <w:tcW w:type="dxa" w:w="2952"/>
            <w:vAlign w:val="center"/>
          </w:tcPr>
          <w:p>
            <w:r/>
            <w:r>
              <w:rPr>
                <w:b w:val="0"/>
                <w:sz w:val="18"/>
              </w:rPr>
              <w:t>Tests route intelligence.</w:t>
            </w:r>
          </w:p>
        </w:tc>
      </w:tr>
      <w:tr>
        <w:tc>
          <w:tcPr>
            <w:tcW w:type="dxa" w:w="2448"/>
            <w:vAlign w:val="center"/>
          </w:tcPr>
          <w:p>
            <w:r/>
            <w:r>
              <w:rPr>
                <w:b w:val="0"/>
                <w:sz w:val="18"/>
              </w:rPr>
              <w:t>Disruption reroute success</w:t>
            </w:r>
          </w:p>
        </w:tc>
        <w:tc>
          <w:tcPr>
            <w:tcW w:type="dxa" w:w="4464"/>
            <w:vAlign w:val="center"/>
          </w:tcPr>
          <w:p>
            <w:r/>
            <w:r>
              <w:rPr>
                <w:b w:val="0"/>
                <w:sz w:val="18"/>
              </w:rPr>
              <w:t>Share of disruption events where an alternative route is accepted/completed.</w:t>
            </w:r>
          </w:p>
        </w:tc>
        <w:tc>
          <w:tcPr>
            <w:tcW w:type="dxa" w:w="2952"/>
            <w:vAlign w:val="center"/>
          </w:tcPr>
          <w:p>
            <w:r/>
            <w:r>
              <w:rPr>
                <w:b w:val="0"/>
                <w:sz w:val="18"/>
              </w:rPr>
              <w:t>Demonstrates resilience.</w:t>
            </w:r>
          </w:p>
        </w:tc>
      </w:tr>
      <w:tr>
        <w:tc>
          <w:tcPr>
            <w:tcW w:type="dxa" w:w="2448"/>
            <w:vAlign w:val="center"/>
          </w:tcPr>
          <w:p>
            <w:r/>
            <w:r>
              <w:rPr>
                <w:b w:val="0"/>
                <w:sz w:val="18"/>
              </w:rPr>
              <w:t>Border dwell time</w:t>
            </w:r>
          </w:p>
        </w:tc>
        <w:tc>
          <w:tcPr>
            <w:tcW w:type="dxa" w:w="4464"/>
            <w:vAlign w:val="center"/>
          </w:tcPr>
          <w:p>
            <w:r/>
            <w:r>
              <w:rPr>
                <w:b w:val="0"/>
                <w:sz w:val="18"/>
              </w:rPr>
              <w:t>Time between arrival and release/dispatch at an ICP where data is available.</w:t>
            </w:r>
          </w:p>
        </w:tc>
        <w:tc>
          <w:tcPr>
            <w:tcW w:type="dxa" w:w="2952"/>
            <w:vAlign w:val="center"/>
          </w:tcPr>
          <w:p>
            <w:r/>
            <w:r>
              <w:rPr>
                <w:b w:val="0"/>
                <w:sz w:val="18"/>
              </w:rPr>
              <w:t>Directly relevant to cross-border logistics.</w:t>
            </w:r>
          </w:p>
        </w:tc>
      </w:tr>
      <w:tr>
        <w:tc>
          <w:tcPr>
            <w:tcW w:type="dxa" w:w="2448"/>
            <w:vAlign w:val="center"/>
          </w:tcPr>
          <w:p>
            <w:r/>
            <w:r>
              <w:rPr>
                <w:b w:val="0"/>
                <w:sz w:val="18"/>
              </w:rPr>
              <w:t>Load-to-truck search time</w:t>
            </w:r>
          </w:p>
        </w:tc>
        <w:tc>
          <w:tcPr>
            <w:tcW w:type="dxa" w:w="4464"/>
            <w:vAlign w:val="center"/>
          </w:tcPr>
          <w:p>
            <w:r/>
            <w:r>
              <w:rPr>
                <w:b w:val="0"/>
                <w:sz w:val="18"/>
              </w:rPr>
              <w:t>Time from shipment posting to a viable truck match.</w:t>
            </w:r>
          </w:p>
        </w:tc>
        <w:tc>
          <w:tcPr>
            <w:tcW w:type="dxa" w:w="2952"/>
            <w:vAlign w:val="center"/>
          </w:tcPr>
          <w:p>
            <w:r/>
            <w:r>
              <w:rPr>
                <w:b w:val="0"/>
                <w:sz w:val="18"/>
              </w:rPr>
              <w:t>Shows reduction in coordination friction.</w:t>
            </w:r>
          </w:p>
        </w:tc>
      </w:tr>
      <w:tr>
        <w:tc>
          <w:tcPr>
            <w:tcW w:type="dxa" w:w="2448"/>
            <w:vAlign w:val="center"/>
          </w:tcPr>
          <w:p>
            <w:r/>
            <w:r>
              <w:rPr>
                <w:b w:val="0"/>
                <w:sz w:val="18"/>
              </w:rPr>
              <w:t>CO₂ avoided</w:t>
            </w:r>
          </w:p>
        </w:tc>
        <w:tc>
          <w:tcPr>
            <w:tcW w:type="dxa" w:w="4464"/>
            <w:vAlign w:val="center"/>
          </w:tcPr>
          <w:p>
            <w:r/>
            <w:r>
              <w:rPr>
                <w:b w:val="0"/>
                <w:sz w:val="18"/>
              </w:rPr>
              <w:t>Estimated emissions avoided from reduced empty travel using a transparent emission-factor methodology.</w:t>
            </w:r>
          </w:p>
        </w:tc>
        <w:tc>
          <w:tcPr>
            <w:tcW w:type="dxa" w:w="2952"/>
            <w:vAlign w:val="center"/>
          </w:tcPr>
          <w:p>
            <w:r/>
            <w:r>
              <w:rPr>
                <w:b w:val="0"/>
                <w:sz w:val="18"/>
              </w:rPr>
              <w:t>Environmental impact without double counting.</w:t>
            </w:r>
          </w:p>
        </w:tc>
      </w:tr>
    </w:tbl>
    <w:p/>
    <w:p>
      <w:pPr>
        <w:pStyle w:val="Heading1"/>
      </w:pPr>
      <w:r>
        <w:t>15. Research Limitations &amp; Data Gaps</w:t>
      </w:r>
    </w:p>
    <w:p>
      <w:pPr>
        <w:pStyle w:val="ListBullet"/>
        <w:ind w:left="0"/>
      </w:pPr>
      <w:r>
        <w:t>India's latest completed population census is older than the current date; demographic figures should be labelled by census year.</w:t>
      </w:r>
    </w:p>
    <w:p>
      <w:pPr>
        <w:pStyle w:val="ListBullet"/>
        <w:ind w:left="0"/>
      </w:pPr>
      <w:r>
        <w:t>Consolidated road-network statistics can lag the current infrastructure position. This report therefore uses recent MoRTH project-status releases for project activity and avoids treating older road-stock totals as 2026 values.</w:t>
      </w:r>
    </w:p>
    <w:p>
      <w:pPr>
        <w:pStyle w:val="ListBullet"/>
        <w:ind w:left="0"/>
      </w:pPr>
      <w:r>
        <w:t>No authoritative NER-wide empty-truck-kilometre percentage was found in the reviewed official sources. SIH should generate this metric from prototype data or a dedicated field study.</w:t>
      </w:r>
    </w:p>
    <w:p>
      <w:pPr>
        <w:pStyle w:val="ListBullet"/>
        <w:ind w:left="0"/>
      </w:pPr>
      <w:r>
        <w:t>Freight origin-destination matrices at truck/shipment level are not generally published openly for all eight states. A future pilot should obtain anonymized data from transporters, FCI/commodity agencies, logistics parks, state transport departments, toll/FASTag-compatible datasets where legally accessible, and consenting fleet operators.</w:t>
      </w:r>
    </w:p>
    <w:p>
      <w:pPr>
        <w:pStyle w:val="ListBullet"/>
        <w:ind w:left="0"/>
      </w:pPr>
      <w:r>
        <w:t>Border dwell and commodity-flow data may be split across customs, land-port and state systems; interoperability should be treated as a research requirement.</w:t>
      </w:r>
    </w:p>
    <w:p>
      <w:pPr>
        <w:pStyle w:val="Heading1"/>
      </w:pPr>
      <w:r>
        <w:t>16. Sources Consulted</w:t>
      </w:r>
    </w:p>
    <w:p>
      <w:pPr>
        <w:spacing w:after="80"/>
      </w:pPr>
      <w:r>
        <w:rPr>
          <w:b/>
        </w:rPr>
        <w:t>S1. North Eastern Council, NEC Yearbook 2025 — LEADS 2023 analysis and NER logistics observations.</w:t>
        <w:br/>
      </w:r>
      <w:r>
        <w:t>https://necouncil.gov.in/sites/default/files/NEC%20Yearbook%202025.pdf</w:t>
      </w:r>
    </w:p>
    <w:p>
      <w:pPr>
        <w:spacing w:after="80"/>
      </w:pPr>
      <w:r>
        <w:rPr>
          <w:b/>
        </w:rPr>
        <w:t>S2. Press Information Bureau / Ministry of Road Transport &amp; Highways, Road Infrastructure in North Eastern Region, 25 July 2024.</w:t>
        <w:br/>
      </w:r>
      <w:r>
        <w:t>https://www.pib.gov.in/PressReleaseIframePage.aspx?PRID=2036673</w:t>
      </w:r>
    </w:p>
    <w:p>
      <w:pPr>
        <w:spacing w:after="80"/>
      </w:pPr>
      <w:r>
        <w:rPr>
          <w:b/>
        </w:rPr>
        <w:t>S3. DPIIT, Logistics Ease Across Different States (LEADS) 2024.</w:t>
        <w:br/>
      </w:r>
      <w:r>
        <w:t>https://www.dpiit.gov.in/static/uploads/2025/07/f65999eeeca38c3ab5d15b50a60a1a6e.pdf</w:t>
      </w:r>
    </w:p>
    <w:p>
      <w:pPr>
        <w:spacing w:after="80"/>
      </w:pPr>
      <w:r>
        <w:rPr>
          <w:b/>
        </w:rPr>
        <w:t>S4. Ministry of Home Affairs, 2026 parliamentary response on operational Integrated Check Posts / LPAI.</w:t>
        <w:br/>
      </w:r>
      <w:r>
        <w:t>https://www.mha.gov.in/MHA1/Par2017/pdfs/par2026-pdfs/RS11032026/2160.pdf</w:t>
      </w:r>
    </w:p>
    <w:p>
      <w:pPr>
        <w:spacing w:after="80"/>
      </w:pPr>
      <w:r>
        <w:rPr>
          <w:b/>
        </w:rPr>
        <w:t>S5. Press Information Bureau / MoRTH, MMLP Jogighopa (Assam) — logistics park and cross-border distribution role.</w:t>
        <w:br/>
      </w:r>
      <w:r>
        <w:t>https://www.pib.gov.in/PressReleasePage.aspx?PRID=2091508</w:t>
      </w:r>
    </w:p>
    <w:p>
      <w:pPr>
        <w:spacing w:after="80"/>
      </w:pPr>
      <w:r>
        <w:rPr>
          <w:b/>
        </w:rPr>
        <w:t>S6. MoRTH Annual Report 2023–24 — state-wise ongoing projects in North-East as of 31 March 2024.</w:t>
        <w:br/>
      </w:r>
      <w:r>
        <w:t>https://morth.nic.in/sites/default/files/AR-MoRTH_Annual%20Report_2023-24_English.pdf</w:t>
      </w:r>
    </w:p>
    <w:p>
      <w:pPr>
        <w:spacing w:after="80"/>
      </w:pPr>
      <w:r>
        <w:rPr>
          <w:b/>
        </w:rPr>
        <w:t>S7. MoRTH Annual Report 2022–23 — North Eastern Region road development chapter.</w:t>
        <w:br/>
      </w:r>
      <w:r>
        <w:t>https://morth.nic.in/sites/default/files/MoRTH%20Annual%20Report%20for%20the%20Year%202022-23%20in%20English.pdf</w:t>
      </w:r>
    </w:p>
    <w:p>
      <w:pPr>
        <w:spacing w:after="80"/>
      </w:pPr>
      <w:r>
        <w:rPr>
          <w:b/>
        </w:rPr>
        <w:t>S8. APEDA Annual Report 2018–19 — North-East agricultural/horticultural market-linkage activities.</w:t>
        <w:br/>
      </w:r>
      <w:r>
        <w:t>https://apeda.gov.in/sites/default/files/files_universal_page/2024-01/Apeda_Annual_Report_English_2018-19.pdf</w:t>
      </w:r>
    </w:p>
    <w:p>
      <w:pPr>
        <w:spacing w:after="80"/>
      </w:pPr>
      <w:r>
        <w:rPr>
          <w:b/>
        </w:rPr>
        <w:t>S9. Department of Commerce, Government of India, TradeStat — current trade/commodity data interface.</w:t>
        <w:br/>
      </w:r>
      <w:r>
        <w:t>https://tradestat.commerce.gov.in/eidb/region_wise_export</w:t>
      </w:r>
    </w:p>
    <w:p>
      <w:pPr>
        <w:spacing w:after="80"/>
      </w:pPr>
      <w:r>
        <w:rPr>
          <w:b/>
        </w:rPr>
        <w:t>S10. NHIDCL, organizational mandate — North-East road and international trade corridor development.</w:t>
        <w:br/>
      </w:r>
      <w:r>
        <w:t>https://www.nhidcl.com/index.php/en/particulars-organization-functions-and-duties</w:t>
      </w:r>
    </w:p>
    <w:p>
      <w:pPr>
        <w:spacing w:after="80"/>
      </w:pPr>
      <w:r>
        <w:rPr>
          <w:b/>
        </w:rPr>
        <w:t>S11. Department of Commerce, Record of Discussion — North-East trade, Land Customs Stations and logistics infrastructure requirements.</w:t>
        <w:br/>
      </w:r>
      <w:r>
        <w:t>https://commerce.gov.in/wp-content/uploads/2020/07/MOC_636574202241848110_ROD_3nd_Council_for_Trade_Development_and_Promotion.pdf</w:t>
      </w:r>
    </w:p>
    <w:p>
      <w:pPr>
        <w:spacing w:after="80"/>
      </w:pPr>
      <w:r>
        <w:rPr>
          <w:b/>
        </w:rPr>
        <w:t>S12. Ministry of Home Affairs, Annual Report 2021–22 — ICP operationalisation/development context.</w:t>
        <w:br/>
      </w:r>
      <w:r>
        <w:t>https://mha.gov.in/sites/default/files/AnnualReport202122_24112022%5B1%5D.pdf</w:t>
      </w:r>
    </w:p>
    <w:p>
      <w:pPr>
        <w:spacing w:after="80"/>
      </w:pPr>
      <w:r>
        <w:rPr>
          <w:b/>
        </w:rPr>
        <w:t>S13. NHIDCL, Travails of Building Better Infrastructure in High Terrains — landslide/road-collapse engineering context.</w:t>
        <w:br/>
      </w:r>
      <w:r>
        <w:t>https://www.nhidcl.com/en/blog/travails-building-better-infrastructure-high-terrains</w:t>
      </w:r>
    </w:p>
    <w:p>
      <w:pPr>
        <w:spacing w:after="80"/>
      </w:pPr>
      <w:r>
        <w:rPr>
          <w:b/>
        </w:rPr>
        <w:t>S14. MDoNER, High-Level Task Force on Infrastructure &amp; Connectivity in NER — logistics cost, corridor vulnerability and resilient connectivity.</w:t>
        <w:br/>
      </w:r>
      <w:r>
        <w:t>https://www.mdoner.gov.in/static/uploads/2025/12/104955ec5d0769e3140d809d7550f7ce.pdf</w:t>
      </w:r>
    </w:p>
    <w:p>
      <w:pPr>
        <w:spacing w:after="80"/>
      </w:pPr>
      <w:r>
        <w:rPr>
          <w:b/>
        </w:rPr>
        <w:t>S15. ONDC, Hyperlocal Logistics — fragmented logistics ecosystem, underutilised fleets, dynamic routing/allocation and interoperability.</w:t>
        <w:br/>
      </w:r>
      <w:r>
        <w:t>https://ondc.org/pages/hyperlocal-logistics.html</w:t>
      </w:r>
    </w:p>
    <w:p>
      <w:pPr>
        <w:spacing w:after="80"/>
      </w:pPr>
      <w:r>
        <w:rPr>
          <w:b/>
        </w:rPr>
        <w:t>S16. MDoNER, 2025 High-Level Task Force press release — logistics, infrastructure, connectivity and last-mile linkages.</w:t>
        <w:br/>
      </w:r>
      <w:r>
        <w:t>https://www.mdoner.gov.in/static/uploads/2025/12/5d73ce16d0bab90283676744455b53ba.pdf</w:t>
      </w:r>
    </w:p>
    <w:p>
      <w:pPr>
        <w:spacing w:after="80"/>
      </w:pPr>
      <w:r>
        <w:rPr>
          <w:b/>
        </w:rPr>
        <w:t>S17. PIB / MDoNER, Road and transport infrastructure projects in NER, 24 July 2024.</w:t>
        <w:br/>
      </w:r>
      <w:r>
        <w:t>https://www.pib.gov.in/Pressreleaseshare.aspx?PRID=2036339&amp;lang=2&amp;reg=48</w:t>
      </w:r>
    </w:p>
    <w:p>
      <w:pPr>
        <w:spacing w:after="80"/>
      </w:pPr>
      <w:r>
        <w:rPr>
          <w:b/>
        </w:rPr>
        <w:t>S18. PIB / PM Gati Shakti, balanced regional development and logistics efficiency.</w:t>
        <w:br/>
      </w:r>
      <w:r>
        <w:t>https://www.pib.gov.in/Pressreleaseshare.aspx?PRID=2110972&amp;lang=2&amp;reg=48</w:t>
      </w:r>
    </w:p>
    <w:p/>
    <w:p>
      <w:pPr>
        <w:pStyle w:val="SmallNote"/>
      </w:pPr>
      <w:r>
        <w:t>Source-access date: 15 September 2026. URLs were selected from official government/official institutional pages returned during the research. Where a source itself cites an older underlying dataset, the older dataset year is retained in the narrative rather than being presented as current.</w:t>
      </w:r>
    </w:p>
    <w:p>
      <w:pPr>
        <w:pStyle w:val="Heading1"/>
      </w:pPr>
      <w:r>
        <w:t>17. Conclusion</w:t>
      </w:r>
    </w:p>
    <w:p>
      <w:r>
        <w:t>The evidence points to a clear strategic opportunity: NER does not lack government attention or road investment. Instead, the next layer of value is increasingly about how efficiently, reliably and intelligently the existing and expanding network is used. The region's difficult terrain, corridor vulnerability, dispersed demand, border interfaces and heterogeneous freight base make a one-size-fits-all logistics platform less suitable than a region-aware system.</w:t>
      </w:r>
    </w:p>
    <w:p>
      <w:r>
        <w:t>For SIH260002, the most defensible differentiation is therefore an intelligent road-freight coordination layer that combines shipment demand, available vehicle capacity, corridor reliability, disruption awareness, border/ICP context and measurable utilization outcomes. The prototype should avoid unsupported claims and instead generate its own evidence through measurable pilot KPIs.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NER Transport &amp; Logistics Research | SIH260002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