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63B" w:rsidRDefault="00A4263B" w:rsidP="00A4263B">
      <w:pPr>
        <w:pStyle w:val="font-claude-response-body"/>
      </w:pPr>
      <w:proofErr w:type="spellStart"/>
      <w:r>
        <w:rPr>
          <w:rStyle w:val="Strong"/>
        </w:rPr>
        <w:t>Chanci</w:t>
      </w:r>
      <w:proofErr w:type="spellEnd"/>
      <w:r>
        <w:rPr>
          <w:rStyle w:val="Strong"/>
        </w:rPr>
        <w:t xml:space="preserve"> et al. (2025)</w:t>
      </w:r>
      <w:r>
        <w:t xml:space="preserve"> — </w:t>
      </w:r>
      <w:proofErr w:type="gramStart"/>
      <w:r>
        <w:t>This</w:t>
      </w:r>
      <w:proofErr w:type="gramEnd"/>
      <w:r>
        <w:t xml:space="preserve"> is the most directly comparable paper to yours. </w:t>
      </w:r>
      <w:proofErr w:type="spellStart"/>
      <w:r>
        <w:t>CatBoost</w:t>
      </w:r>
      <w:proofErr w:type="spellEnd"/>
      <w:r>
        <w:t xml:space="preserve">, Phoenix criteria, </w:t>
      </w:r>
      <w:proofErr w:type="spellStart"/>
      <w:r>
        <w:t>pediatric</w:t>
      </w:r>
      <w:proofErr w:type="spellEnd"/>
      <w:r>
        <w:t xml:space="preserve"> sepsis prediction. The key difference is they used a private US dataset with no SHAP. Reading this will show you exactly what your study extends and improves upon. Essential for Section 2 and your gap argument.</w:t>
      </w:r>
    </w:p>
    <w:p w:rsidR="00A4263B" w:rsidRDefault="00A4263B" w:rsidP="00A4263B">
      <w:pPr>
        <w:pStyle w:val="font-claude-response-body"/>
      </w:pPr>
      <w:r>
        <w:rPr>
          <w:rStyle w:val="Strong"/>
        </w:rPr>
        <w:t>Shi et al. (2025)</w:t>
      </w:r>
      <w:r>
        <w:t xml:space="preserve"> — </w:t>
      </w:r>
      <w:proofErr w:type="spellStart"/>
      <w:r>
        <w:t>XGBoost</w:t>
      </w:r>
      <w:proofErr w:type="spellEnd"/>
      <w:r>
        <w:t xml:space="preserve"> + GRU hybrid with SHAP on Chinese </w:t>
      </w:r>
      <w:proofErr w:type="spellStart"/>
      <w:r>
        <w:t>pediatric</w:t>
      </w:r>
      <w:proofErr w:type="spellEnd"/>
      <w:r>
        <w:t xml:space="preserve"> hospital data. Structurally very similar to your proposed pipeline — classical ML, deep learning component, </w:t>
      </w:r>
      <w:proofErr w:type="spellStart"/>
      <w:r>
        <w:t>explainability</w:t>
      </w:r>
      <w:proofErr w:type="spellEnd"/>
      <w:r>
        <w:t xml:space="preserve">. Reading this will give you a direct model to contrast your </w:t>
      </w:r>
      <w:proofErr w:type="spellStart"/>
      <w:r>
        <w:t>CatBoost-BiLSTM</w:t>
      </w:r>
      <w:proofErr w:type="spellEnd"/>
      <w:r>
        <w:t xml:space="preserve"> hybrid </w:t>
      </w:r>
      <w:proofErr w:type="gramStart"/>
      <w:r>
        <w:t>against</w:t>
      </w:r>
      <w:proofErr w:type="gramEnd"/>
      <w:r>
        <w:t>. Essential for Sections 3 and 4.</w:t>
      </w:r>
    </w:p>
    <w:p w:rsidR="00A4263B" w:rsidRDefault="00A4263B" w:rsidP="00A4263B">
      <w:pPr>
        <w:pStyle w:val="font-claude-response-body"/>
      </w:pPr>
      <w:r>
        <w:rPr>
          <w:rStyle w:val="Strong"/>
        </w:rPr>
        <w:t>Le et al. (2019)</w:t>
      </w:r>
      <w:r>
        <w:t xml:space="preserve"> — </w:t>
      </w:r>
      <w:proofErr w:type="gramStart"/>
      <w:r>
        <w:t>The</w:t>
      </w:r>
      <w:proofErr w:type="gramEnd"/>
      <w:r>
        <w:t xml:space="preserve"> foundational </w:t>
      </w:r>
      <w:proofErr w:type="spellStart"/>
      <w:r>
        <w:t>pediatric</w:t>
      </w:r>
      <w:proofErr w:type="spellEnd"/>
      <w:r>
        <w:t xml:space="preserve"> sepsis ML paper. AUROC 0.916, 4 hours before onset, UCSF data. </w:t>
      </w:r>
      <w:proofErr w:type="gramStart"/>
      <w:r>
        <w:t>This is the benchmark everyone in your field cites</w:t>
      </w:r>
      <w:proofErr w:type="gramEnd"/>
      <w:r>
        <w:t xml:space="preserve">. </w:t>
      </w:r>
      <w:proofErr w:type="gramStart"/>
      <w:r>
        <w:t>You've</w:t>
      </w:r>
      <w:proofErr w:type="gramEnd"/>
      <w:r>
        <w:t xml:space="preserve"> already cited it in paragraph 2 — you should actually read it.</w:t>
      </w:r>
    </w:p>
    <w:p w:rsidR="00A4263B" w:rsidRDefault="00A4263B" w:rsidP="00A4263B">
      <w:pPr>
        <w:pStyle w:val="font-claude-response-body"/>
      </w:pPr>
      <w:r>
        <w:rPr>
          <w:rStyle w:val="Strong"/>
        </w:rPr>
        <w:t>Read these second — for specific sections:</w:t>
      </w:r>
    </w:p>
    <w:p w:rsidR="00A4263B" w:rsidRDefault="00A4263B" w:rsidP="00A4263B">
      <w:pPr>
        <w:pStyle w:val="font-claude-response-body"/>
      </w:pPr>
      <w:r>
        <w:rPr>
          <w:rStyle w:val="Strong"/>
        </w:rPr>
        <w:t>Shen et al. (2025)</w:t>
      </w:r>
      <w:r>
        <w:t xml:space="preserve"> — </w:t>
      </w:r>
      <w:proofErr w:type="spellStart"/>
      <w:r>
        <w:t>CatBoost</w:t>
      </w:r>
      <w:proofErr w:type="spellEnd"/>
      <w:r>
        <w:t xml:space="preserve"> + SHAP on the PIC database, but for AKI mortality not sepsis. Directly relevant because it demonstrates that </w:t>
      </w:r>
      <w:proofErr w:type="spellStart"/>
      <w:r>
        <w:t>CatBoost+SHAP</w:t>
      </w:r>
      <w:proofErr w:type="spellEnd"/>
      <w:r>
        <w:t xml:space="preserve"> works on PIC data, which supports your methodological choices. Key for Sections 4 and 5.</w:t>
      </w:r>
    </w:p>
    <w:p w:rsidR="00A4263B" w:rsidRDefault="00A4263B" w:rsidP="00A4263B">
      <w:pPr>
        <w:pStyle w:val="font-claude-response-body"/>
      </w:pPr>
      <w:r>
        <w:rPr>
          <w:rStyle w:val="Strong"/>
        </w:rPr>
        <w:t>Zeng et al. (2020)</w:t>
      </w:r>
      <w:r>
        <w:t xml:space="preserve"> — </w:t>
      </w:r>
      <w:proofErr w:type="gramStart"/>
      <w:r>
        <w:t>The</w:t>
      </w:r>
      <w:proofErr w:type="gramEnd"/>
      <w:r>
        <w:t xml:space="preserve"> original PIC database paper. You must read this before writing Section 5. It describes exactly what data is in PIC, how it </w:t>
      </w:r>
      <w:proofErr w:type="gramStart"/>
      <w:r>
        <w:t>was collected</w:t>
      </w:r>
      <w:proofErr w:type="gramEnd"/>
      <w:r>
        <w:t xml:space="preserve">, and what its limitations are — including the missing ventilator and GCS fields that affect your Phoenix </w:t>
      </w:r>
      <w:proofErr w:type="spellStart"/>
      <w:r>
        <w:t>labeling</w:t>
      </w:r>
      <w:proofErr w:type="spellEnd"/>
      <w:r>
        <w:t>.</w:t>
      </w:r>
    </w:p>
    <w:p w:rsidR="00A4263B" w:rsidRDefault="00A4263B" w:rsidP="00A4263B">
      <w:pPr>
        <w:pStyle w:val="font-claude-response-body"/>
      </w:pPr>
      <w:r>
        <w:rPr>
          <w:rStyle w:val="Strong"/>
        </w:rPr>
        <w:t>Sanchez-Pinto et al. (2024)</w:t>
      </w:r>
      <w:r>
        <w:t xml:space="preserve"> — The Phoenix criteria paper itself. </w:t>
      </w:r>
      <w:proofErr w:type="gramStart"/>
      <w:r>
        <w:t>You're</w:t>
      </w:r>
      <w:proofErr w:type="gramEnd"/>
      <w:r>
        <w:t xml:space="preserve"> citing it constantly. You should read at minimum the abstract, methods, and the four-domain scoring table so you can describe it accurately in paragraph 4.</w:t>
      </w:r>
    </w:p>
    <w:p w:rsidR="00A4263B" w:rsidRDefault="00A4263B" w:rsidP="00A4263B">
      <w:pPr>
        <w:pStyle w:val="font-claude-response-body"/>
      </w:pPr>
      <w:r>
        <w:rPr>
          <w:rStyle w:val="Strong"/>
        </w:rPr>
        <w:t>Read these third — for broader context:</w:t>
      </w:r>
    </w:p>
    <w:p w:rsidR="00A4263B" w:rsidRDefault="00A4263B" w:rsidP="00A4263B">
      <w:pPr>
        <w:pStyle w:val="font-claude-response-body"/>
      </w:pPr>
      <w:r>
        <w:rPr>
          <w:rStyle w:val="Strong"/>
        </w:rPr>
        <w:t>Yang et al. (2023)</w:t>
      </w:r>
      <w:r>
        <w:t xml:space="preserve"> — Systematic review of ML for sepsis prediction across 23 studies. Will give you a bird's-eye view of what methods </w:t>
      </w:r>
      <w:proofErr w:type="gramStart"/>
      <w:r>
        <w:t>have been tried</w:t>
      </w:r>
      <w:proofErr w:type="gramEnd"/>
      <w:r>
        <w:t xml:space="preserve"> and what gaps exist. Good for framing Section 2.</w:t>
      </w:r>
    </w:p>
    <w:p w:rsidR="00A4263B" w:rsidRDefault="00A4263B" w:rsidP="00A4263B">
      <w:pPr>
        <w:pStyle w:val="font-claude-response-body"/>
      </w:pPr>
      <w:proofErr w:type="spellStart"/>
      <w:r>
        <w:rPr>
          <w:rStyle w:val="Strong"/>
        </w:rPr>
        <w:t>Athukorala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Ilmini</w:t>
      </w:r>
      <w:proofErr w:type="spellEnd"/>
      <w:r>
        <w:rPr>
          <w:rStyle w:val="Strong"/>
        </w:rPr>
        <w:t xml:space="preserve"> (2026)</w:t>
      </w:r>
      <w:r>
        <w:t xml:space="preserve"> — XAI systematic review specifically identifying the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explainability</w:t>
      </w:r>
      <w:proofErr w:type="spellEnd"/>
      <w:r>
        <w:t xml:space="preserve"> gap. Directly supports your gap argument in Section 6.</w:t>
      </w:r>
    </w:p>
    <w:p w:rsidR="00AD6A4B" w:rsidRDefault="00A4263B">
      <w:bookmarkStart w:id="0" w:name="_GoBack"/>
      <w:bookmarkEnd w:id="0"/>
    </w:p>
    <w:sectPr w:rsidR="00AD6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7B1"/>
    <w:rsid w:val="001C4E38"/>
    <w:rsid w:val="008E47B1"/>
    <w:rsid w:val="00A4263B"/>
    <w:rsid w:val="00AF175F"/>
    <w:rsid w:val="00D7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2E84"/>
  <w15:chartTrackingRefBased/>
  <w15:docId w15:val="{707586CE-F470-4215-9319-6C1D05DC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426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26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9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>HP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2026-04-04T13:50:00Z</dcterms:created>
  <dcterms:modified xsi:type="dcterms:W3CDTF">2026-04-04T13:50:00Z</dcterms:modified>
</cp:coreProperties>
</file>