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37E24" w:rsidRDefault="003C5BAE">
      <w:pPr>
        <w:rPr>
          <w:b/>
          <w:sz w:val="28"/>
        </w:rPr>
      </w:pPr>
      <w:r w:rsidRPr="003C5BAE">
        <w:rPr>
          <w:b/>
          <w:sz w:val="28"/>
        </w:rPr>
        <w:t>Section 1 – Clinical Background</w:t>
      </w:r>
      <w:r>
        <w:rPr>
          <w:b/>
          <w:sz w:val="28"/>
        </w:rPr>
        <w:t xml:space="preserve">: </w:t>
      </w:r>
    </w:p>
    <w:p w:rsidR="00F37E24" w:rsidRDefault="003C5BAE">
      <w:r>
        <w:rPr>
          <w:b/>
          <w:sz w:val="28"/>
        </w:rPr>
        <w:br/>
      </w:r>
      <w:r>
        <w:t xml:space="preserve">Sepsis is a life-threatening medical condition that occurs when </w:t>
      </w:r>
      <w:r w:rsidR="002D6BC1">
        <w:t xml:space="preserve">the immune system responds to an infection in such an uncontrolled way that it starts damaging the healthy tissues and organs inside the body rather than fighting the infection itself, in other words immune system starts overreacting which results in more damage than the infection itself. In children, sepsis is extremely dangerous as it can build up to organ failure rapidly which can lead to fatality within hours. Globally, </w:t>
      </w:r>
      <w:r w:rsidR="00800282">
        <w:t xml:space="preserve">sepsis is regarded as one of the fatal diseases in PICUs worldwide, with studies estimating over 25 million </w:t>
      </w:r>
      <w:proofErr w:type="spellStart"/>
      <w:r w:rsidR="00800282">
        <w:t>pediatric</w:t>
      </w:r>
      <w:proofErr w:type="spellEnd"/>
      <w:r w:rsidR="00800282">
        <w:t xml:space="preserve"> sepsis cases annually with mortality ranging from approximately 4% in mild cases to 50% in severe septic shock</w:t>
      </w:r>
      <w:r w:rsidR="00A85E78">
        <w:t xml:space="preserve"> </w:t>
      </w:r>
      <w:r w:rsidR="001F621B">
        <w:rPr>
          <w:rStyle w:val="Emphasis"/>
        </w:rPr>
        <w:t>(</w:t>
      </w:r>
      <w:proofErr w:type="spellStart"/>
      <w:r w:rsidR="001F621B">
        <w:rPr>
          <w:rStyle w:val="Emphasis"/>
        </w:rPr>
        <w:t>Schlapbach</w:t>
      </w:r>
      <w:proofErr w:type="spellEnd"/>
      <w:r w:rsidR="001F621B">
        <w:rPr>
          <w:rStyle w:val="Emphasis"/>
        </w:rPr>
        <w:t xml:space="preserve"> et al., 2024; Sanchez-Pinto et al., 2024)</w:t>
      </w:r>
      <w:r w:rsidR="00800282">
        <w:t>. There is a genuine clinical urgency for early sepsis prediction systems as studies indicate that even an hour of delay in treatment increases mortality.</w:t>
      </w:r>
    </w:p>
    <w:p w:rsidR="00F37E24" w:rsidRDefault="00F37E24"/>
    <w:p w:rsidR="00F37D4C" w:rsidRDefault="00165DCD" w:rsidP="00F37D4C">
      <w:pPr>
        <w:rPr>
          <w:i/>
          <w:iCs/>
        </w:rPr>
      </w:pPr>
      <w:r>
        <w:t xml:space="preserve">Children are not small adults regarding sepsis </w:t>
      </w:r>
      <w:r w:rsidR="00F37D4C">
        <w:t xml:space="preserve">and </w:t>
      </w:r>
      <w:r>
        <w:t xml:space="preserve">it does have deep clinical </w:t>
      </w:r>
      <w:r w:rsidR="00256FCE">
        <w:t>i</w:t>
      </w:r>
      <w:r w:rsidR="00F37D4C">
        <w:t>mplication</w:t>
      </w:r>
      <w:r w:rsidR="00256FCE">
        <w:t xml:space="preserve">; their immune system, organs, physiological responses, vital signs are in a rapidly developing or a maturing phase which is evident through their higher susceptibility to infections. </w:t>
      </w:r>
      <w:r w:rsidR="00F37D4C" w:rsidRPr="00F37D4C">
        <w:t>Blood pressure thresholds, respiratory rate norms, and neurological baselines all differ by age — meaning that thresholds indicating danger in adults may fall within the normal range for young children (Sanchez-Pinto et al., 2024)</w:t>
      </w:r>
      <w:r w:rsidR="00F37D4C">
        <w:t>.</w:t>
      </w:r>
      <w:r w:rsidR="00E93A11">
        <w:t xml:space="preserve"> All of this evidence suggests that a </w:t>
      </w:r>
      <w:proofErr w:type="spellStart"/>
      <w:r w:rsidR="00E93A11">
        <w:t>pediatric</w:t>
      </w:r>
      <w:proofErr w:type="spellEnd"/>
      <w:r w:rsidR="00E93A11">
        <w:t xml:space="preserve"> model </w:t>
      </w:r>
      <w:proofErr w:type="gramStart"/>
      <w:r w:rsidR="00E93A11">
        <w:t>is needed</w:t>
      </w:r>
      <w:proofErr w:type="gramEnd"/>
      <w:r w:rsidR="00E93A11">
        <w:t xml:space="preserve">, as the models that are trained on adult ICU data will not produce the </w:t>
      </w:r>
      <w:r w:rsidR="00F37D4C">
        <w:t>reliable</w:t>
      </w:r>
      <w:r w:rsidR="00E93A11">
        <w:t xml:space="preserve"> results when applied to children. </w:t>
      </w:r>
      <w:r w:rsidR="002E6116">
        <w:t>Thresholds that indicate danger in adults may fall within the normal range for children</w:t>
      </w:r>
      <w:r w:rsidR="00F37D4C">
        <w:t>, which</w:t>
      </w:r>
      <w:r w:rsidR="006A3E92">
        <w:t xml:space="preserve"> is the direct indication as to why </w:t>
      </w:r>
      <w:proofErr w:type="spellStart"/>
      <w:r w:rsidR="006A3E92">
        <w:t>pediatric</w:t>
      </w:r>
      <w:proofErr w:type="spellEnd"/>
      <w:r w:rsidR="006A3E92">
        <w:t xml:space="preserve">-specific datasets, </w:t>
      </w:r>
      <w:proofErr w:type="spellStart"/>
      <w:r w:rsidR="006A3E92">
        <w:t>pediatric</w:t>
      </w:r>
      <w:proofErr w:type="spellEnd"/>
      <w:r w:rsidR="006A3E92">
        <w:t xml:space="preserve">-specific criteria, and </w:t>
      </w:r>
      <w:proofErr w:type="spellStart"/>
      <w:r w:rsidR="006A3E92">
        <w:t>pediatric</w:t>
      </w:r>
      <w:proofErr w:type="spellEnd"/>
      <w:r w:rsidR="006A3E92">
        <w:t>-specific mod</w:t>
      </w:r>
      <w:r w:rsidR="002063C7">
        <w:t>els are clinically imperative and not optional</w:t>
      </w:r>
      <w:r w:rsidR="00AD4852">
        <w:t xml:space="preserve">. The bulk of the published papers with sepsis ML models do not take </w:t>
      </w:r>
      <w:proofErr w:type="spellStart"/>
      <w:r w:rsidR="00AD4852">
        <w:t>pediatric</w:t>
      </w:r>
      <w:proofErr w:type="spellEnd"/>
      <w:r w:rsidR="00AD4852">
        <w:t xml:space="preserve"> data in account as they </w:t>
      </w:r>
      <w:proofErr w:type="gramStart"/>
      <w:r w:rsidR="00AD4852">
        <w:t>are trained</w:t>
      </w:r>
      <w:proofErr w:type="gramEnd"/>
      <w:r w:rsidR="00AD4852">
        <w:t xml:space="preserve"> on adult data</w:t>
      </w:r>
      <w:r w:rsidR="00F37D4C">
        <w:t xml:space="preserve"> </w:t>
      </w:r>
      <w:r w:rsidR="00F37D4C" w:rsidRPr="00F37D4C">
        <w:rPr>
          <w:i/>
          <w:iCs/>
        </w:rPr>
        <w:t>(Le et al., 2019).</w:t>
      </w:r>
    </w:p>
    <w:p w:rsidR="007D54A9" w:rsidRDefault="007D54A9" w:rsidP="00F37D4C">
      <w:pPr>
        <w:rPr>
          <w:i/>
          <w:iCs/>
        </w:rPr>
      </w:pPr>
    </w:p>
    <w:p w:rsidR="00C62DC3" w:rsidRDefault="007D54A9" w:rsidP="00D73B08">
      <w:r>
        <w:rPr>
          <w:iCs/>
        </w:rPr>
        <w:t xml:space="preserve">Before ML emerged, clinicians used </w:t>
      </w:r>
      <w:r w:rsidR="00DD3487">
        <w:t xml:space="preserve">rule-based scoring systems that are limited by poor specificity and lack of predictive capability in </w:t>
      </w:r>
      <w:proofErr w:type="spellStart"/>
      <w:r w:rsidR="00DD3487">
        <w:t>pediatric</w:t>
      </w:r>
      <w:proofErr w:type="spellEnd"/>
      <w:r w:rsidR="00DD3487">
        <w:t xml:space="preserve"> populations</w:t>
      </w:r>
      <w:r>
        <w:rPr>
          <w:iCs/>
        </w:rPr>
        <w:t xml:space="preserve">. The </w:t>
      </w:r>
      <w:r w:rsidR="00DD3487">
        <w:rPr>
          <w:iCs/>
        </w:rPr>
        <w:t>conventional</w:t>
      </w:r>
      <w:r>
        <w:rPr>
          <w:iCs/>
        </w:rPr>
        <w:t xml:space="preserve"> </w:t>
      </w:r>
      <w:r w:rsidR="005006B5">
        <w:rPr>
          <w:iCs/>
        </w:rPr>
        <w:t xml:space="preserve">approaches to identify </w:t>
      </w:r>
      <w:proofErr w:type="spellStart"/>
      <w:r w:rsidR="005006B5">
        <w:rPr>
          <w:iCs/>
        </w:rPr>
        <w:t>pediatric</w:t>
      </w:r>
      <w:proofErr w:type="spellEnd"/>
      <w:r w:rsidR="005006B5">
        <w:rPr>
          <w:iCs/>
        </w:rPr>
        <w:t xml:space="preserve"> sepsis depend on SIRS (</w:t>
      </w:r>
      <w:r w:rsidR="005006B5">
        <w:t xml:space="preserve">Systemic Inflammatory Response Syndrome) criteria, originally defined by Goldstein et al. (2005) for </w:t>
      </w:r>
      <w:proofErr w:type="spellStart"/>
      <w:r w:rsidR="005006B5">
        <w:t>pediatric</w:t>
      </w:r>
      <w:proofErr w:type="spellEnd"/>
      <w:r w:rsidR="005006B5">
        <w:t xml:space="preserve"> populations. SIRS labels </w:t>
      </w:r>
      <w:r w:rsidR="007F40FA">
        <w:t xml:space="preserve">sepsis if a child indicates </w:t>
      </w:r>
      <w:r w:rsidR="00A85E78">
        <w:t xml:space="preserve">abnormality in </w:t>
      </w:r>
      <w:r w:rsidR="007F40FA">
        <w:t>any two</w:t>
      </w:r>
      <w:r w:rsidR="007D3D9C">
        <w:t xml:space="preserve"> or more</w:t>
      </w:r>
      <w:r w:rsidR="00A85E78">
        <w:t xml:space="preserve"> of the</w:t>
      </w:r>
      <w:r w:rsidR="007F40FA">
        <w:t xml:space="preserve"> parameters:</w:t>
      </w:r>
      <w:r w:rsidR="00A85E78">
        <w:t xml:space="preserve"> heart rate, respiratory rate, temperature, </w:t>
      </w:r>
      <w:proofErr w:type="gramStart"/>
      <w:r w:rsidR="00A85E78">
        <w:t>white</w:t>
      </w:r>
      <w:proofErr w:type="gramEnd"/>
      <w:r w:rsidR="00A85E78">
        <w:t xml:space="preserve"> blood cell count. The probl</w:t>
      </w:r>
      <w:r w:rsidR="009C427E">
        <w:t>em with SIRS is non-specificity. N</w:t>
      </w:r>
      <w:r w:rsidR="00A44A9C">
        <w:t>or</w:t>
      </w:r>
      <w:r w:rsidR="009C427E">
        <w:t>mal physiological reactions such as</w:t>
      </w:r>
      <w:r w:rsidR="00A44A9C">
        <w:t xml:space="preserve"> crying, </w:t>
      </w:r>
      <w:r w:rsidR="00F52AE2">
        <w:t xml:space="preserve">fever from a cold or teething in babies or </w:t>
      </w:r>
      <w:r w:rsidR="00C10B70">
        <w:t>post-surgical recovery</w:t>
      </w:r>
      <w:r w:rsidR="00F52AE2">
        <w:t>- c</w:t>
      </w:r>
      <w:r w:rsidR="00D73B08">
        <w:t>an all trigger SIRS criteria</w:t>
      </w:r>
      <w:r w:rsidR="009C427E">
        <w:t xml:space="preserve"> without any underlying infection</w:t>
      </w:r>
      <w:r w:rsidR="00D73B08">
        <w:t xml:space="preserve">. </w:t>
      </w:r>
      <w:r w:rsidR="00D73B08" w:rsidRPr="00D73B08">
        <w:t xml:space="preserve">This high sensitivity, however, comes at the cost of low precision. As a result, the tool generates a large number of false positive alerts, particularly in </w:t>
      </w:r>
      <w:proofErr w:type="spellStart"/>
      <w:r w:rsidR="00D73B08" w:rsidRPr="00D73B08">
        <w:t>pediatric</w:t>
      </w:r>
      <w:proofErr w:type="spellEnd"/>
      <w:r w:rsidR="00D73B08" w:rsidRPr="00D73B08">
        <w:t xml:space="preserve"> wards. Clinically, this can lead to unnecessary antibiotic prescriptions, excessive diagnostic investigations, and alert fatigue among healthcare providers.</w:t>
      </w:r>
      <w:r w:rsidR="00691B5A">
        <w:t xml:space="preserve"> PELOD-2(</w:t>
      </w:r>
      <w:proofErr w:type="spellStart"/>
      <w:r w:rsidR="00691B5A">
        <w:t>Pediatric</w:t>
      </w:r>
      <w:proofErr w:type="spellEnd"/>
      <w:r w:rsidR="00691B5A">
        <w:t xml:space="preserve"> Logistic Organ Dysfun</w:t>
      </w:r>
      <w:r w:rsidR="00682233">
        <w:t>c</w:t>
      </w:r>
      <w:r w:rsidR="00691B5A">
        <w:t>tion score)</w:t>
      </w:r>
      <w:r w:rsidR="00936243">
        <w:t xml:space="preserve"> </w:t>
      </w:r>
      <w:r w:rsidR="00691B5A">
        <w:t xml:space="preserve">is another tool used for measuring </w:t>
      </w:r>
      <w:r w:rsidR="00682233">
        <w:t>severity of organ dysfunction</w:t>
      </w:r>
      <w:r w:rsidR="0004450B" w:rsidRPr="0004450B">
        <w:t xml:space="preserve"> </w:t>
      </w:r>
      <w:r w:rsidR="0004450B">
        <w:t>Carroll et al. (2023)</w:t>
      </w:r>
      <w:r w:rsidR="00682233">
        <w:t xml:space="preserve">. </w:t>
      </w:r>
      <w:proofErr w:type="gramStart"/>
      <w:r w:rsidR="00C71BA9">
        <w:t>But</w:t>
      </w:r>
      <w:proofErr w:type="gramEnd"/>
      <w:r w:rsidR="00C71BA9">
        <w:t xml:space="preserve"> this tool was designed to </w:t>
      </w:r>
      <w:r w:rsidR="00F667AB">
        <w:t>assess the degree of organ dysfunction in critically ill children</w:t>
      </w:r>
      <w:r w:rsidR="00C71BA9">
        <w:t xml:space="preserve">, not to predict </w:t>
      </w:r>
      <w:proofErr w:type="spellStart"/>
      <w:r w:rsidR="00C71BA9">
        <w:t>pediatric</w:t>
      </w:r>
      <w:proofErr w:type="spellEnd"/>
      <w:r w:rsidR="00C71BA9">
        <w:t xml:space="preserve"> sepsis, therefore it is a severity s</w:t>
      </w:r>
      <w:r w:rsidR="00C62DC3">
        <w:t>core and not a predicting model which is a fundamental mismatch for early warning systems.</w:t>
      </w:r>
      <w:r w:rsidR="00532177">
        <w:t xml:space="preserve"> </w:t>
      </w:r>
      <w:r w:rsidR="00031DE6">
        <w:t xml:space="preserve">The Phoenix Sepsis Score was introduced by Sanchez-Pinto et al. (2024) and validated through an international consensus effort by </w:t>
      </w:r>
      <w:proofErr w:type="spellStart"/>
      <w:r w:rsidR="00031DE6">
        <w:t>Schlapbach</w:t>
      </w:r>
      <w:proofErr w:type="spellEnd"/>
      <w:r w:rsidR="00031DE6">
        <w:t xml:space="preserve"> et al. (2024) to address these limitations, redefining </w:t>
      </w:r>
      <w:proofErr w:type="spellStart"/>
      <w:r w:rsidR="00031DE6">
        <w:t>pediatric</w:t>
      </w:r>
      <w:proofErr w:type="spellEnd"/>
      <w:r w:rsidR="00031DE6">
        <w:t xml:space="preserve"> sepsis as life-threatening organ dysfunction caused by infection</w:t>
      </w:r>
      <w:r w:rsidR="0095169C">
        <w:t xml:space="preserve">. </w:t>
      </w:r>
      <w:r w:rsidR="00F9660B">
        <w:t>It</w:t>
      </w:r>
      <w:r w:rsidR="00AB2681">
        <w:t xml:space="preserve"> </w:t>
      </w:r>
      <w:r w:rsidR="00F9660B">
        <w:t>evaluates</w:t>
      </w:r>
      <w:r w:rsidR="00031DE6">
        <w:t xml:space="preserve"> a</w:t>
      </w:r>
      <w:r w:rsidR="00F9660B">
        <w:t xml:space="preserve"> composite score</w:t>
      </w:r>
      <w:r w:rsidR="000A7F97">
        <w:t xml:space="preserve"> across four domains: respiratory, cardiovascular, coagulation, and neurological.</w:t>
      </w:r>
      <w:r w:rsidR="00A56016">
        <w:t xml:space="preserve"> Phoenix is far more globally </w:t>
      </w:r>
      <w:r w:rsidR="001E6D9D">
        <w:t>representative</w:t>
      </w:r>
      <w:r w:rsidR="00A56016">
        <w:t xml:space="preserve"> than SIRS as the evidence suggest</w:t>
      </w:r>
      <w:r w:rsidR="001A51B9">
        <w:t>s</w:t>
      </w:r>
      <w:r w:rsidR="00A56016">
        <w:t xml:space="preserve"> through validation </w:t>
      </w:r>
      <w:r w:rsidR="00A56016" w:rsidRPr="00A56016">
        <w:t>across 10 countries and 3 million+ patient encounters</w:t>
      </w:r>
      <w:r w:rsidR="00024027">
        <w:t xml:space="preserve"> (</w:t>
      </w:r>
      <w:proofErr w:type="spellStart"/>
      <w:r w:rsidR="00024027">
        <w:t>Schlapbach</w:t>
      </w:r>
      <w:proofErr w:type="spellEnd"/>
      <w:r w:rsidR="00024027">
        <w:t xml:space="preserve"> et al., 2024)</w:t>
      </w:r>
      <w:r w:rsidR="00326C8B">
        <w:t>.</w:t>
      </w:r>
    </w:p>
    <w:p w:rsidR="00C60C5F" w:rsidRDefault="00C60C5F" w:rsidP="00D73B08"/>
    <w:p w:rsidR="00C60C5F" w:rsidRDefault="00C60C5F" w:rsidP="00D73B08"/>
    <w:p w:rsidR="00326C8B" w:rsidRDefault="00326C8B" w:rsidP="00D73B08"/>
    <w:p w:rsidR="00326C8B" w:rsidRPr="00D73B08" w:rsidRDefault="00326C8B" w:rsidP="00D73B08"/>
    <w:p w:rsidR="005E4194" w:rsidRPr="00A85E78" w:rsidRDefault="005E4194" w:rsidP="00F37D4C">
      <w:pPr>
        <w:rPr>
          <w:iCs/>
        </w:rPr>
      </w:pPr>
    </w:p>
    <w:p w:rsidR="005E4194" w:rsidRPr="007D54A9" w:rsidRDefault="005E4194" w:rsidP="00F37D4C"/>
    <w:p w:rsidR="002E6116" w:rsidRDefault="00A95223">
      <w:r>
        <w:lastRenderedPageBreak/>
        <w:t>Phoenix does not merely refine ho</w:t>
      </w:r>
      <w:r w:rsidR="002E37FB">
        <w:t xml:space="preserve">w </w:t>
      </w:r>
      <w:proofErr w:type="spellStart"/>
      <w:r w:rsidR="002E37FB">
        <w:t>pediatric</w:t>
      </w:r>
      <w:proofErr w:type="spellEnd"/>
      <w:r w:rsidR="002E37FB">
        <w:t xml:space="preserve"> sepsis is define rather </w:t>
      </w:r>
      <w:r>
        <w:t xml:space="preserve">it changes what the definition is measuring entirely. Rather than using inflammatory markers as a proxy for illness severity, Phoenix scores organ dysfunction directly across four domains: respiratory, cardiovascular, coagulation, and neurological, with a total score of 2 or above indicating sepsis (Sanchez-Pinto et al., 2024; </w:t>
      </w:r>
      <w:proofErr w:type="spellStart"/>
      <w:r>
        <w:t>Schlapbach</w:t>
      </w:r>
      <w:proofErr w:type="spellEnd"/>
      <w:r>
        <w:t xml:space="preserve"> et al., 2024). The framework </w:t>
      </w:r>
      <w:proofErr w:type="gramStart"/>
      <w:r>
        <w:t>was validated</w:t>
      </w:r>
      <w:proofErr w:type="gramEnd"/>
      <w:r>
        <w:t xml:space="preserve"> against data from over three million patient encounters, a scale that gives it cross-population credibility no earlier </w:t>
      </w:r>
      <w:proofErr w:type="spellStart"/>
      <w:r>
        <w:t>pediatric</w:t>
      </w:r>
      <w:proofErr w:type="spellEnd"/>
      <w:r>
        <w:t xml:space="preserve"> definition could claim (</w:t>
      </w:r>
      <w:proofErr w:type="spellStart"/>
      <w:r>
        <w:t>Schlapbach</w:t>
      </w:r>
      <w:proofErr w:type="spellEnd"/>
      <w:r>
        <w:t xml:space="preserve"> et al., 2024). This study uses Phoenix as its labelling standard </w:t>
      </w:r>
      <w:proofErr w:type="gramStart"/>
      <w:r>
        <w:t>because it is the only definition that operationalizes actual organ failure rather than systemic inflammation as a stand-in (Sanchez-Pinto et al., 2024)</w:t>
      </w:r>
      <w:proofErr w:type="gramEnd"/>
      <w:r>
        <w:t xml:space="preserve">. </w:t>
      </w:r>
      <w:r w:rsidR="007C7BF9">
        <w:t xml:space="preserve">An important methodological constraint must nonetheless be acknowledged. </w:t>
      </w:r>
      <w:r w:rsidR="00956245">
        <w:t xml:space="preserve">The </w:t>
      </w:r>
      <w:proofErr w:type="spellStart"/>
      <w:r w:rsidR="00956245">
        <w:t>Pediatric</w:t>
      </w:r>
      <w:proofErr w:type="spellEnd"/>
      <w:r w:rsidR="00956245">
        <w:t xml:space="preserve"> Intensive Care (PIC) database, which serves as the data source for this study, does not record </w:t>
      </w:r>
      <w:proofErr w:type="spellStart"/>
      <w:r w:rsidR="00956245">
        <w:t>FiO</w:t>
      </w:r>
      <w:proofErr w:type="spellEnd"/>
      <w:r w:rsidR="00956245">
        <w:t xml:space="preserve">₂ or mechanical ventilation parameters, making the respiratory Phoenix component non-computable; similarly, the absence of GCS documentation renders the neurological component effectively zero throughout the cohort (Zeng et al., 2020). Sepsis classification in this study therefore rests on the cardiovascular and coagulation Phoenix domains </w:t>
      </w:r>
      <w:proofErr w:type="gramStart"/>
      <w:r w:rsidR="00956245">
        <w:t xml:space="preserve">alone </w:t>
      </w:r>
      <w:r w:rsidR="00F51825">
        <w:t>which is a limitation</w:t>
      </w:r>
      <w:proofErr w:type="gramEnd"/>
      <w:r w:rsidR="00F51825">
        <w:t xml:space="preserve"> acknowledged in prior machine learning studies applying Phoenix criteria to datasets with incomplete physiological coverage</w:t>
      </w:r>
      <w:r w:rsidR="003B29A7">
        <w:t xml:space="preserve"> (</w:t>
      </w:r>
      <w:proofErr w:type="spellStart"/>
      <w:r w:rsidR="003B29A7">
        <w:t>Chanci</w:t>
      </w:r>
      <w:proofErr w:type="spellEnd"/>
      <w:r w:rsidR="003B29A7">
        <w:t xml:space="preserve"> et al., 2025). While this is a genuine constraint, it does not undermine the validity of the labelling approach, given that cardiovascular instability and coagulation dysfunction </w:t>
      </w:r>
      <w:proofErr w:type="gramStart"/>
      <w:r w:rsidR="003B29A7">
        <w:t>are consistently identified</w:t>
      </w:r>
      <w:proofErr w:type="gramEnd"/>
      <w:r w:rsidR="003B29A7">
        <w:t xml:space="preserve"> as the dominant organ failure signatures driving mortality and deterioration in </w:t>
      </w:r>
      <w:proofErr w:type="spellStart"/>
      <w:r w:rsidR="003B29A7">
        <w:t>pediatric</w:t>
      </w:r>
      <w:proofErr w:type="spellEnd"/>
      <w:r w:rsidR="003B29A7">
        <w:t xml:space="preserve"> sepsis.</w:t>
      </w:r>
    </w:p>
    <w:p w:rsidR="00062F96" w:rsidRDefault="00062F96"/>
    <w:p w:rsidR="00A23FFF" w:rsidRDefault="00A23FFF"/>
    <w:p w:rsidR="00D6695E" w:rsidRDefault="00A23FFF">
      <w:r w:rsidRPr="00A23FFF">
        <w:rPr>
          <w:b/>
          <w:sz w:val="28"/>
        </w:rPr>
        <w:t>SECTION 2 — ML for Sepsis Prediction</w:t>
      </w:r>
      <w:r>
        <w:rPr>
          <w:b/>
          <w:sz w:val="28"/>
        </w:rPr>
        <w:t>:</w:t>
      </w:r>
      <w:r w:rsidR="00C05D30">
        <w:rPr>
          <w:b/>
          <w:sz w:val="28"/>
        </w:rPr>
        <w:br/>
      </w:r>
      <w:r w:rsidR="00C05D30">
        <w:rPr>
          <w:b/>
          <w:sz w:val="28"/>
        </w:rPr>
        <w:br/>
      </w:r>
      <w:r w:rsidR="00C05D30">
        <w:t xml:space="preserve">The application of machine learning to sepsis prediction has expanded </w:t>
      </w:r>
      <w:r w:rsidR="00A26B38">
        <w:t xml:space="preserve">considerably over the past decade to the point where the systematic reviews now catalogue the field in the hundreds of published models. </w:t>
      </w:r>
      <w:proofErr w:type="spellStart"/>
      <w:r w:rsidR="00A26B38">
        <w:t>Fleuren</w:t>
      </w:r>
      <w:proofErr w:type="spellEnd"/>
      <w:r w:rsidR="00A26B38">
        <w:t xml:space="preserve"> et al. (2020) identified over 150 such studies in a comprehensive review of the literature, while</w:t>
      </w:r>
      <w:r w:rsidR="00865E3F">
        <w:t xml:space="preserve"> Yang et al. (2023) examined 23 studies with a narrower methodological lens, each arriving at the shared conclusion that predictive performance has improved </w:t>
      </w:r>
      <w:r w:rsidR="00B87A95">
        <w:t xml:space="preserve">substantially with the adoption of richer clinical feature sets and </w:t>
      </w:r>
      <w:proofErr w:type="gramStart"/>
      <w:r w:rsidR="00B87A95">
        <w:t>more sophisticated algorithms</w:t>
      </w:r>
      <w:proofErr w:type="gramEnd"/>
      <w:r w:rsidR="00B87A95">
        <w:t xml:space="preserve">. A persistent structural bias in this body of work, however, is its near exclusive </w:t>
      </w:r>
      <w:r w:rsidR="00AF18B8">
        <w:t>focus</w:t>
      </w:r>
      <w:r w:rsidR="00FA453F">
        <w:t xml:space="preserve"> on adult populations; MIMIC-III and MIMIC-IV are the dominant training datasets, and the representational </w:t>
      </w:r>
      <w:r w:rsidR="00BA3CE6">
        <w:t xml:space="preserve">assumptions embedded in models trained on adult ICU physiology do not transfer cleanly </w:t>
      </w:r>
      <w:r w:rsidR="00CB246E">
        <w:t xml:space="preserve">to children. The </w:t>
      </w:r>
      <w:proofErr w:type="spellStart"/>
      <w:r w:rsidR="00CB246E">
        <w:t>pediatric</w:t>
      </w:r>
      <w:proofErr w:type="spellEnd"/>
      <w:r w:rsidR="00CB246E">
        <w:t xml:space="preserve"> specific literature remains comparatively sparse. </w:t>
      </w:r>
      <w:r w:rsidR="00ED6B32">
        <w:t xml:space="preserve">Le et al. (2019) trained one of the earlier </w:t>
      </w:r>
      <w:proofErr w:type="spellStart"/>
      <w:r w:rsidR="00ED6B32">
        <w:t>pediatric</w:t>
      </w:r>
      <w:proofErr w:type="spellEnd"/>
      <w:r w:rsidR="00ED6B32">
        <w:t>-specific models on UCSF PICU data, reaching an AUROC of 0.916 at four hours before onset — performance that established that early prediction was achievable in children, though replication across different hospital systems has been limited. The field also carries a quality problem that volume alone has not resolved. Deng et al. (2022) showed that leakage, weak cross-validation, and inconsistent outcome definitions show up repeatedly across the sepsis ML literature, which makes comparing results across studies a largely unreliable exercise and overstates how capable many of these models actually are.</w:t>
      </w:r>
      <w:r w:rsidR="00053B35">
        <w:br/>
      </w:r>
      <w:r w:rsidR="00053B35">
        <w:br/>
        <w:t xml:space="preserve">Among the architectures applied to structured clinical data, gradient boosted decision trees have repeatedly come out on top. </w:t>
      </w:r>
      <w:proofErr w:type="spellStart"/>
      <w:r w:rsidR="00053B35">
        <w:t>XGBoost</w:t>
      </w:r>
      <w:proofErr w:type="spellEnd"/>
      <w:r w:rsidR="00053B35">
        <w:t xml:space="preserve">, </w:t>
      </w:r>
      <w:proofErr w:type="spellStart"/>
      <w:r w:rsidR="00053B35">
        <w:t>LightGBM</w:t>
      </w:r>
      <w:proofErr w:type="spellEnd"/>
      <w:r w:rsidR="00053B35">
        <w:t xml:space="preserve">, and </w:t>
      </w:r>
      <w:proofErr w:type="spellStart"/>
      <w:r w:rsidR="00053B35">
        <w:t>CatBoost</w:t>
      </w:r>
      <w:proofErr w:type="spellEnd"/>
      <w:r w:rsidR="00053B35">
        <w:t xml:space="preserve"> handle non-linear feature interactions and mixed variable types without requiring the kind of </w:t>
      </w:r>
      <w:proofErr w:type="spellStart"/>
      <w:r w:rsidR="00053B35">
        <w:t>preprocessing</w:t>
      </w:r>
      <w:proofErr w:type="spellEnd"/>
      <w:r w:rsidR="00053B35">
        <w:t xml:space="preserve"> that neural networks demand, and their native mechanisms for dealing with class imbalance make them practically well suited to ICU datasets where positive cases are rare. In the </w:t>
      </w:r>
      <w:proofErr w:type="spellStart"/>
      <w:r w:rsidR="00053B35">
        <w:t>pediatric</w:t>
      </w:r>
      <w:proofErr w:type="spellEnd"/>
      <w:r w:rsidR="00053B35">
        <w:t xml:space="preserve"> sepsis </w:t>
      </w:r>
      <w:proofErr w:type="gramStart"/>
      <w:r w:rsidR="00053B35">
        <w:t>literature</w:t>
      </w:r>
      <w:proofErr w:type="gramEnd"/>
      <w:r w:rsidR="00053B35">
        <w:t xml:space="preserve"> this preference </w:t>
      </w:r>
      <w:r w:rsidR="009435DE">
        <w:t xml:space="preserve">has been confirmed empirically. </w:t>
      </w:r>
      <w:proofErr w:type="spellStart"/>
      <w:r w:rsidR="009435DE">
        <w:t>Chanci</w:t>
      </w:r>
      <w:proofErr w:type="spellEnd"/>
      <w:r w:rsidR="009435DE">
        <w:t xml:space="preserve"> et al. (2025) applied </w:t>
      </w:r>
      <w:proofErr w:type="spellStart"/>
      <w:r w:rsidR="009435DE">
        <w:t>CatBoost</w:t>
      </w:r>
      <w:proofErr w:type="spellEnd"/>
      <w:r w:rsidR="009435DE">
        <w:t xml:space="preserve"> with Phoenix Sepsis Criteria </w:t>
      </w:r>
      <w:r w:rsidR="00B45020">
        <w:t xml:space="preserve">labelling on a US hospital dataset and reported an AUROC of 0.98, though the model </w:t>
      </w:r>
      <w:proofErr w:type="gramStart"/>
      <w:r w:rsidR="00B45020">
        <w:t>was trained</w:t>
      </w:r>
      <w:proofErr w:type="gramEnd"/>
      <w:r w:rsidR="00B45020">
        <w:t xml:space="preserve"> on proprietary data </w:t>
      </w:r>
      <w:r w:rsidR="004F25D1">
        <w:t xml:space="preserve">and no </w:t>
      </w:r>
      <w:proofErr w:type="spellStart"/>
      <w:r w:rsidR="004F25D1">
        <w:t>explainability</w:t>
      </w:r>
      <w:proofErr w:type="spellEnd"/>
      <w:r w:rsidR="004F25D1">
        <w:t xml:space="preserve"> analysis was included, which limits both its reproducibility </w:t>
      </w:r>
      <w:r w:rsidR="004112B9">
        <w:t xml:space="preserve">and its clinical interpretability. Han et al. (2024) </w:t>
      </w:r>
      <w:r w:rsidR="00C9694E">
        <w:t xml:space="preserve">combined </w:t>
      </w:r>
      <w:proofErr w:type="spellStart"/>
      <w:r w:rsidR="00C9694E">
        <w:t>CatBoost</w:t>
      </w:r>
      <w:proofErr w:type="spellEnd"/>
      <w:r w:rsidR="00C9694E">
        <w:t xml:space="preserve"> and </w:t>
      </w:r>
      <w:proofErr w:type="spellStart"/>
      <w:r w:rsidR="00C9694E">
        <w:t>XGBoost</w:t>
      </w:r>
      <w:proofErr w:type="spellEnd"/>
      <w:r w:rsidR="00C9694E">
        <w:t xml:space="preserve"> for </w:t>
      </w:r>
      <w:proofErr w:type="spellStart"/>
      <w:r w:rsidR="00C9694E">
        <w:t>pediatric</w:t>
      </w:r>
      <w:proofErr w:type="spellEnd"/>
      <w:r w:rsidR="00C9694E">
        <w:t xml:space="preserve"> bloodstream infection prediction, further establishing that ensemble tree methods </w:t>
      </w:r>
      <w:r w:rsidR="00976FF0">
        <w:lastRenderedPageBreak/>
        <w:t xml:space="preserve">generalise well to this population. Shi et al. (2025) </w:t>
      </w:r>
      <w:r w:rsidR="006954C1">
        <w:t xml:space="preserve">took a hybrid approach, pairing </w:t>
      </w:r>
      <w:proofErr w:type="spellStart"/>
      <w:r w:rsidR="006954C1">
        <w:t>XGBoost</w:t>
      </w:r>
      <w:proofErr w:type="spellEnd"/>
      <w:r w:rsidR="006954C1">
        <w:t xml:space="preserve"> with a gated recurrent unit and adding SHAP </w:t>
      </w:r>
      <w:proofErr w:type="spellStart"/>
      <w:r w:rsidR="006954C1">
        <w:t>explaina</w:t>
      </w:r>
      <w:r w:rsidR="0060097D">
        <w:t>bility</w:t>
      </w:r>
      <w:proofErr w:type="spellEnd"/>
      <w:r w:rsidR="0060097D">
        <w:t xml:space="preserve">, reaching an AUROC of 0.915. The present study continues along this line. It applies </w:t>
      </w:r>
      <w:proofErr w:type="spellStart"/>
      <w:r w:rsidR="0060097D">
        <w:t>CatBoost</w:t>
      </w:r>
      <w:proofErr w:type="spellEnd"/>
      <w:r w:rsidR="0060097D">
        <w:t xml:space="preserve"> with Phoenix labelling and full SHAP analysis on th</w:t>
      </w:r>
      <w:r w:rsidR="00D807E2">
        <w:t xml:space="preserve">e publicly available PIC database, which addresses the reproducibility gap </w:t>
      </w:r>
      <w:proofErr w:type="spellStart"/>
      <w:r w:rsidR="00D807E2">
        <w:t>Chanci</w:t>
      </w:r>
      <w:proofErr w:type="spellEnd"/>
      <w:r w:rsidR="00D807E2">
        <w:t xml:space="preserve"> et al. (2025) left open and extends </w:t>
      </w:r>
      <w:proofErr w:type="gramStart"/>
      <w:r w:rsidR="00D807E2">
        <w:t>SHAP</w:t>
      </w:r>
      <w:proofErr w:type="gramEnd"/>
      <w:r w:rsidR="00D807E2">
        <w:t xml:space="preserve"> based interpretation to a Chinese PICU cohort that has not previously been examined under this combination. </w:t>
      </w:r>
    </w:p>
    <w:p w:rsidR="00D6695E" w:rsidRDefault="00D6695E"/>
    <w:p w:rsidR="009B7168" w:rsidRDefault="00D6695E">
      <w:r>
        <w:t xml:space="preserve">Two problems appear consistently </w:t>
      </w:r>
      <w:r w:rsidR="00C80C51">
        <w:t xml:space="preserve">enough </w:t>
      </w:r>
      <w:r w:rsidR="00DD7396">
        <w:t xml:space="preserve">across the sepsis ML literature to warrant treatment as active design decisions rather than background noise. The first is class imbalance. In this cohort, roughly 27.3% of patients carry the sepsis label, meaning the negative class outnumbers the positive by close to three to one. SMOTE and other oversampling strategies are the standard response to this kind of distribution. After t-SNE visualisation of the feature space showed substantial overlap between sepsis-positive and sepsis-negative patients in this dataset, synthetic oversampling </w:t>
      </w:r>
      <w:proofErr w:type="gramStart"/>
      <w:r w:rsidR="00DD7396">
        <w:t>was ruled out</w:t>
      </w:r>
      <w:proofErr w:type="gramEnd"/>
      <w:r w:rsidR="00DD7396">
        <w:t xml:space="preserve">. Generating artificial minority samples in a region where the two classes are not cleanly separable risks inflating performance metrics without actually improving the model’s ability to </w:t>
      </w:r>
      <w:r w:rsidR="00550D31">
        <w:t>distinguish real cases.</w:t>
      </w:r>
      <w:r w:rsidR="009B6189">
        <w:t xml:space="preserve"> Class weights of 0:1.0 and 1:2.7 </w:t>
      </w:r>
      <w:proofErr w:type="gramStart"/>
      <w:r w:rsidR="009B6189">
        <w:t>were used</w:t>
      </w:r>
      <w:proofErr w:type="gramEnd"/>
      <w:r w:rsidR="009B6189">
        <w:t xml:space="preserve"> instead, consistent with how prior work with PIC data has handled the same problem (Bravo and Fajardo, 2025). The second problem is leakage, which Deng et al. (2022) identified as widespread and underreported across clinical ML studies. Before any model </w:t>
      </w:r>
      <w:proofErr w:type="gramStart"/>
      <w:r w:rsidR="009B6189">
        <w:t>was trained</w:t>
      </w:r>
      <w:proofErr w:type="gramEnd"/>
      <w:r w:rsidR="009B6189">
        <w:t xml:space="preserve">, this study ran a systematic audit across 306 candidate features. Measurement frequency variables </w:t>
      </w:r>
      <w:proofErr w:type="gramStart"/>
      <w:r w:rsidR="009B6189">
        <w:t>were excluded</w:t>
      </w:r>
      <w:proofErr w:type="gramEnd"/>
      <w:r w:rsidR="009B6189">
        <w:t xml:space="preserve"> after producing an isolation AUROC of 0.878 on their own. Vasoactive medication indicators </w:t>
      </w:r>
      <w:proofErr w:type="gramStart"/>
      <w:r w:rsidR="009B6189">
        <w:t>were excluded</w:t>
      </w:r>
      <w:proofErr w:type="gramEnd"/>
      <w:r w:rsidR="009B6189">
        <w:t xml:space="preserve"> after producing an isolation AUROC of 0.863, and because these indicators are a direct component of the Phoenix cardiovascular scoring domain, retaining them would have introduced label leakage by construction. Removing both feature categories before training is a deliberate methodological step and addresses an inflation source that has gone uncorrected in a substantial portion of the published literature. </w:t>
      </w:r>
      <w:r w:rsidR="009B7168">
        <w:br/>
      </w:r>
    </w:p>
    <w:p w:rsidR="009B7168" w:rsidRDefault="009B7168"/>
    <w:p w:rsidR="009E511D" w:rsidRDefault="009B7168">
      <w:r w:rsidRPr="009B7168">
        <w:rPr>
          <w:b/>
          <w:sz w:val="28"/>
          <w:szCs w:val="28"/>
        </w:rPr>
        <w:t>SECTION 3 — Deep Learning, Hybrid Models, and Synthetic Data</w:t>
      </w:r>
      <w:r>
        <w:rPr>
          <w:b/>
          <w:sz w:val="28"/>
          <w:szCs w:val="28"/>
        </w:rPr>
        <w:t>:</w:t>
      </w:r>
      <w:r>
        <w:rPr>
          <w:b/>
          <w:sz w:val="28"/>
          <w:szCs w:val="28"/>
        </w:rPr>
        <w:br/>
      </w:r>
      <w:r>
        <w:rPr>
          <w:b/>
          <w:sz w:val="28"/>
          <w:szCs w:val="28"/>
        </w:rPr>
        <w:br/>
      </w:r>
      <w:r>
        <w:t xml:space="preserve">Deep learning has been applied to sepsis prediction with meaningful success, though much of that success has come from sequential or time series formulations of the problem. </w:t>
      </w:r>
      <w:proofErr w:type="spellStart"/>
      <w:r>
        <w:t>Lauritsen</w:t>
      </w:r>
      <w:proofErr w:type="spellEnd"/>
      <w:r>
        <w:t xml:space="preserve"> et al. (2020) trained LSTM networks on electronic health record sequences, exploiting temporal ordering of clinical measurements rather than treating each patient as a static feature vector. Moor et al. (2021) applied deep self-attention to the same problem and reached an AUROC of 0.847. </w:t>
      </w:r>
      <w:proofErr w:type="spellStart"/>
      <w:r>
        <w:t>Kamaleswaran</w:t>
      </w:r>
      <w:proofErr w:type="spellEnd"/>
      <w:r>
        <w:t xml:space="preserve"> et al. (2018)</w:t>
      </w:r>
      <w:r>
        <w:t xml:space="preserve"> used convolutional neural networks and demonstrated prediction up to eight hours before sepsis onset in a </w:t>
      </w:r>
      <w:proofErr w:type="spellStart"/>
      <w:r>
        <w:t>pediatric</w:t>
      </w:r>
      <w:proofErr w:type="spellEnd"/>
      <w:r>
        <w:t xml:space="preserve"> cohort. These results are encouraging, but they depend on longitudinal data structures that </w:t>
      </w:r>
      <w:r w:rsidR="0091129E">
        <w:t xml:space="preserve">are not always available or consistently recorded across institutions. For purely tabular data, two architectures have attracted attention more recently. </w:t>
      </w:r>
      <w:proofErr w:type="spellStart"/>
      <w:r w:rsidR="0091129E">
        <w:t>Gorishniy</w:t>
      </w:r>
      <w:proofErr w:type="spellEnd"/>
      <w:r w:rsidR="0091129E">
        <w:t xml:space="preserve"> et al. (2021)</w:t>
      </w:r>
      <w:r w:rsidR="0091129E">
        <w:t xml:space="preserve"> introduced the Feature Tokenizer Transformer, which treats each tabular feature as an individual token and passes them through multi-head self-attention layers, and showed it outperformed prior deep learning methods across multiple tabular benchmarks while remaining competitive with gradient boosted trees. Arik and </w:t>
      </w:r>
      <w:proofErr w:type="spellStart"/>
      <w:r w:rsidR="0091129E">
        <w:t>Pfister</w:t>
      </w:r>
      <w:proofErr w:type="spellEnd"/>
      <w:r w:rsidR="0091129E">
        <w:t xml:space="preserve"> (2021) introduced </w:t>
      </w:r>
      <w:proofErr w:type="spellStart"/>
      <w:r w:rsidR="0091129E">
        <w:t>TabNet</w:t>
      </w:r>
      <w:proofErr w:type="spellEnd"/>
      <w:r w:rsidR="0091129E">
        <w:t xml:space="preserve">, which takes a different approach by using sequential attention to select features instance by instance, giving it </w:t>
      </w:r>
      <w:proofErr w:type="spellStart"/>
      <w:r w:rsidR="0091129E">
        <w:t>builtin</w:t>
      </w:r>
      <w:proofErr w:type="spellEnd"/>
      <w:r w:rsidR="0091129E">
        <w:t xml:space="preserve"> interpretability without post hoc methods. This study evaluated both architectures alongside a </w:t>
      </w:r>
      <w:proofErr w:type="spellStart"/>
      <w:r w:rsidR="0091129E">
        <w:t>ResNet</w:t>
      </w:r>
      <w:proofErr w:type="spellEnd"/>
      <w:r w:rsidR="0091129E">
        <w:t xml:space="preserve"> baseline. The FT-Transformer reached an AUROC of 0.9577, </w:t>
      </w:r>
      <w:proofErr w:type="spellStart"/>
      <w:r w:rsidR="0091129E">
        <w:t>ResNet</w:t>
      </w:r>
      <w:proofErr w:type="spellEnd"/>
      <w:r w:rsidR="0091129E">
        <w:t xml:space="preserve"> reached 0.9311, and </w:t>
      </w:r>
      <w:proofErr w:type="spellStart"/>
      <w:r w:rsidR="0091129E">
        <w:t>TabNet</w:t>
      </w:r>
      <w:proofErr w:type="spellEnd"/>
      <w:r w:rsidR="0091129E">
        <w:t xml:space="preserve"> reached 0.9306, all compared against a tuned </w:t>
      </w:r>
      <w:proofErr w:type="spellStart"/>
      <w:r w:rsidR="0091129E">
        <w:t>CatBoost</w:t>
      </w:r>
      <w:proofErr w:type="spellEnd"/>
      <w:r w:rsidR="0091129E">
        <w:t xml:space="preserve"> at 0.9868. </w:t>
      </w:r>
      <w:proofErr w:type="gramStart"/>
      <w:r w:rsidR="0091129E">
        <w:t>the</w:t>
      </w:r>
      <w:proofErr w:type="gramEnd"/>
      <w:r w:rsidR="0091129E">
        <w:t xml:space="preserve"> FT-Transformer was the strongest of the three deep learning models but did not differ significantly from </w:t>
      </w:r>
      <w:proofErr w:type="spellStart"/>
      <w:r w:rsidR="0091129E">
        <w:t>CatBoost</w:t>
      </w:r>
      <w:proofErr w:type="spellEnd"/>
      <w:r w:rsidR="0091129E">
        <w:t xml:space="preserve"> on the DeLong test (p=0.169). This result is consistent with what </w:t>
      </w:r>
      <w:proofErr w:type="spellStart"/>
      <w:r w:rsidR="0091129E">
        <w:t>Gorishniy</w:t>
      </w:r>
      <w:proofErr w:type="spellEnd"/>
      <w:r w:rsidR="0091129E">
        <w:t xml:space="preserve"> et al. (2021)</w:t>
      </w:r>
      <w:r w:rsidR="0091129E">
        <w:t xml:space="preserve"> found more broadly: gradient boosted tress hold their ground against transformer based models on tabular data, particularly when sample sizes are moderate. </w:t>
      </w:r>
      <w:r>
        <w:t xml:space="preserve"> </w:t>
      </w:r>
    </w:p>
    <w:p w:rsidR="009E511D" w:rsidRDefault="009E511D">
      <w:r>
        <w:lastRenderedPageBreak/>
        <w:t xml:space="preserve">Stacking ensembles work by training a meta-learner on the out of fold predictions of multiple base models, with the idea that different models capture different aspects of the data and a learned combination will outperform any individual component. In clinical ML, this approach has been no single architecture clearly dominates across all performance metrics. This study implemented two stacking configurations, both using logistic regression as the meta-learner on five five-fold out-of-fold probabilities from </w:t>
      </w:r>
      <w:proofErr w:type="spellStart"/>
      <w:r>
        <w:t>CatBoost</w:t>
      </w:r>
      <w:proofErr w:type="spellEnd"/>
      <w:r>
        <w:t xml:space="preserve"> and the FT-Transformer. The first configuration trained on real data only and produced and AUROC of 0.9851, which was not significantly different from tuned </w:t>
      </w:r>
      <w:proofErr w:type="spellStart"/>
      <w:r>
        <w:t>CatBoost</w:t>
      </w:r>
      <w:proofErr w:type="spellEnd"/>
      <w:r>
        <w:t xml:space="preserve"> alone (DeLong p = 0.388). The second trained on the hybrid dataset combining real and synthetic patients and produced an AUROC of 0.9786, again not significantly different from real only </w:t>
      </w:r>
      <w:proofErr w:type="spellStart"/>
      <w:r>
        <w:t>CatBoost</w:t>
      </w:r>
      <w:proofErr w:type="spellEnd"/>
      <w:r>
        <w:t xml:space="preserve"> (p = 0.126). In both configurations the meta-learner assigned </w:t>
      </w:r>
      <w:proofErr w:type="spellStart"/>
      <w:r>
        <w:t>CatBoost</w:t>
      </w:r>
      <w:proofErr w:type="spellEnd"/>
      <w:r>
        <w:t xml:space="preserve"> roughly three to four times the weight of FT-Transformer, which reflects the primary model’s consistently stronger out-of-fold performance and suggests the ensemble’s behaviour was driven predominantly by </w:t>
      </w:r>
      <w:proofErr w:type="spellStart"/>
      <w:r>
        <w:t>CatBoost</w:t>
      </w:r>
      <w:proofErr w:type="spellEnd"/>
      <w:r>
        <w:t xml:space="preserve"> rather than representing a genuine complimentary combination.</w:t>
      </w:r>
    </w:p>
    <w:p w:rsidR="009E511D" w:rsidRDefault="009E511D"/>
    <w:p w:rsidR="009E511D" w:rsidRDefault="00C3189C">
      <w:r>
        <w:t xml:space="preserve">Beyond standard </w:t>
      </w:r>
      <w:proofErr w:type="spellStart"/>
      <w:r>
        <w:t>ensembling</w:t>
      </w:r>
      <w:proofErr w:type="spellEnd"/>
      <w:r>
        <w:t xml:space="preserve">, this study explored a </w:t>
      </w:r>
      <w:proofErr w:type="gramStart"/>
      <w:r>
        <w:t>more structural</w:t>
      </w:r>
      <w:proofErr w:type="gramEnd"/>
      <w:r>
        <w:t xml:space="preserve"> form of hybridisation. Frozen weights from the trained FT-Transformer </w:t>
      </w:r>
      <w:proofErr w:type="gramStart"/>
      <w:r>
        <w:t>were used</w:t>
      </w:r>
      <w:proofErr w:type="gramEnd"/>
      <w:r>
        <w:t xml:space="preserve"> to extract CLS-token attention maps across the 225 input features, producing a 225-dimensional attention weight vector for each patient. This vector </w:t>
      </w:r>
      <w:proofErr w:type="gramStart"/>
      <w:r>
        <w:t>was concatenated</w:t>
      </w:r>
      <w:proofErr w:type="gramEnd"/>
      <w:r>
        <w:t xml:space="preserve"> with the original feature set to create a 450-feature input for </w:t>
      </w:r>
      <w:proofErr w:type="spellStart"/>
      <w:r>
        <w:t>CatBoost</w:t>
      </w:r>
      <w:proofErr w:type="spellEnd"/>
      <w:r>
        <w:t xml:space="preserve"> training. The reasoning was that transformer attention weights encode relational structure between features that gradient boosting does not compute directly, and that injecting this structure might give </w:t>
      </w:r>
      <w:proofErr w:type="spellStart"/>
      <w:r>
        <w:t>CatBoost</w:t>
      </w:r>
      <w:proofErr w:type="spellEnd"/>
      <w:r>
        <w:t xml:space="preserve"> access to inter-feature dependencies it would otherwise miss. The result does not support this hypothesis. The attention-augmented </w:t>
      </w:r>
      <w:proofErr w:type="spellStart"/>
      <w:r>
        <w:t>CatBoost</w:t>
      </w:r>
      <w:proofErr w:type="spellEnd"/>
      <w:r>
        <w:t xml:space="preserve"> reached an AUROC of 0.9657, which was significantly worse than the tuned </w:t>
      </w:r>
      <w:proofErr w:type="spellStart"/>
      <w:r>
        <w:t>CatBoost</w:t>
      </w:r>
      <w:proofErr w:type="spellEnd"/>
      <w:r>
        <w:t xml:space="preserve"> trained on the original 225 fe</w:t>
      </w:r>
      <w:r w:rsidR="00B75D0F">
        <w:t xml:space="preserve">atures alone (DeLong p </w:t>
      </w:r>
      <w:r>
        <w:t xml:space="preserve">= 0.014). The top features by attention weight included </w:t>
      </w:r>
      <w:proofErr w:type="spellStart"/>
      <w:r>
        <w:t>calcium_max</w:t>
      </w:r>
      <w:proofErr w:type="spellEnd"/>
      <w:r>
        <w:t xml:space="preserve">, pao2_max, SICU, </w:t>
      </w:r>
      <w:proofErr w:type="spellStart"/>
      <w:r>
        <w:t>lactate_max</w:t>
      </w:r>
      <w:proofErr w:type="spellEnd"/>
      <w:r>
        <w:t xml:space="preserve">, and </w:t>
      </w:r>
      <w:proofErr w:type="spellStart"/>
      <w:r>
        <w:t>platelets_min</w:t>
      </w:r>
      <w:proofErr w:type="spellEnd"/>
      <w:r>
        <w:t xml:space="preserve">, all of which are clinically interpretable and map onto the physiological processes relevant to sepsis. The problem was not clinical </w:t>
      </w:r>
      <w:r w:rsidR="00F268ED">
        <w:t xml:space="preserve">incoherence but redundancy. The attention weights did not carry information beyond what the raw physiological values already encoded, and adding 225 additional features that </w:t>
      </w:r>
      <w:proofErr w:type="gramStart"/>
      <w:r w:rsidR="00F268ED">
        <w:t>were correlated</w:t>
      </w:r>
      <w:proofErr w:type="gramEnd"/>
      <w:r w:rsidR="00F268ED">
        <w:t xml:space="preserve"> with the original appear to have introduced noise rather than signal into the </w:t>
      </w:r>
      <w:proofErr w:type="spellStart"/>
      <w:r w:rsidR="00F268ED">
        <w:t>CatBoost</w:t>
      </w:r>
      <w:proofErr w:type="spellEnd"/>
      <w:r w:rsidR="00F268ED">
        <w:t xml:space="preserve"> training process.</w:t>
      </w:r>
    </w:p>
    <w:p w:rsidR="009E511D" w:rsidRDefault="009E511D"/>
    <w:p w:rsidR="00EC069A" w:rsidRDefault="00481A14">
      <w:r>
        <w:t xml:space="preserve">The PIC training cohort contains 2,530 patients, a sample size that is workable but small enough to raise questions about whether augmentation could improve model robustness. CTGAN, introduced by </w:t>
      </w:r>
      <w:r>
        <w:t>Xu et al. (2019), is a conditional generative adversarial network built specifically for tabular data. It uses mode-specific normalisation for continuous variables and conditional sampling to respect the discrete structure of categorical features, making it better suited to mixed clinical datasets than standard GAN architectures.</w:t>
      </w:r>
      <w:r>
        <w:t xml:space="preserve"> A well-documented limitation of CTGAN in clinical applications is that it generates features independently, which destroys the correlation structure present in real data. In this </w:t>
      </w:r>
      <w:r w:rsidR="00B75D0F">
        <w:t>dataset,</w:t>
      </w:r>
      <w:r>
        <w:t xml:space="preserve"> the problem was severe: the Spearman correlation between INR and PT in real patients was 0.999, as </w:t>
      </w:r>
      <w:proofErr w:type="gramStart"/>
      <w:r>
        <w:t>would be expected</w:t>
      </w:r>
      <w:proofErr w:type="gramEnd"/>
      <w:r>
        <w:t xml:space="preserve"> given their shared biological pathway, while vanilla CTGAN reduced this to 0.016. To address this, a </w:t>
      </w:r>
      <w:r w:rsidR="00B75D0F">
        <w:t>three-layer</w:t>
      </w:r>
      <w:r>
        <w:t xml:space="preserve"> pipeline </w:t>
      </w:r>
      <w:proofErr w:type="gramStart"/>
      <w:r>
        <w:t>was developed</w:t>
      </w:r>
      <w:proofErr w:type="gramEnd"/>
      <w:r>
        <w:t xml:space="preserve">. CTGAN </w:t>
      </w:r>
      <w:proofErr w:type="gramStart"/>
      <w:r>
        <w:t>was applied</w:t>
      </w:r>
      <w:proofErr w:type="gramEnd"/>
      <w:r>
        <w:t xml:space="preserve"> separately per class to preserve correct marginal distributions for sepsis-positive and sepsis-negative patients. </w:t>
      </w:r>
      <w:proofErr w:type="spellStart"/>
      <w:r>
        <w:t>Iman</w:t>
      </w:r>
      <w:proofErr w:type="spellEnd"/>
      <w:r>
        <w:t xml:space="preserve">-Conover rank correlation </w:t>
      </w:r>
      <w:r w:rsidR="00B75D0F">
        <w:t>injection (</w:t>
      </w:r>
      <w:proofErr w:type="spellStart"/>
      <w:r w:rsidR="00B75D0F">
        <w:t>Iman</w:t>
      </w:r>
      <w:proofErr w:type="spellEnd"/>
      <w:r w:rsidR="00B75D0F">
        <w:t xml:space="preserve"> and Conover, 1982) </w:t>
      </w:r>
      <w:proofErr w:type="gramStart"/>
      <w:r w:rsidR="00B75D0F">
        <w:t>was then applied</w:t>
      </w:r>
      <w:proofErr w:type="gramEnd"/>
      <w:r w:rsidR="00B75D0F">
        <w:t xml:space="preserve"> to restore the real Spearman correlation structure within each class. A separation zero-inflation correction was applied to features with heavy zero mass. The final synthetic dataset contained 10,000 patients and </w:t>
      </w:r>
      <w:proofErr w:type="gramStart"/>
      <w:r w:rsidR="00B75D0F">
        <w:t>was combined</w:t>
      </w:r>
      <w:proofErr w:type="gramEnd"/>
      <w:r w:rsidR="00B75D0F">
        <w:t xml:space="preserve"> with the 2,530 real patients to form a hybrid training set of 12,530. Real patient rows </w:t>
      </w:r>
      <w:proofErr w:type="gramStart"/>
      <w:r w:rsidR="00B75D0F">
        <w:t>were assigned</w:t>
      </w:r>
      <w:proofErr w:type="gramEnd"/>
      <w:r w:rsidR="00B75D0F">
        <w:t xml:space="preserve"> a training weight of four to ensure they retained dominant influence despite representing only 20% of rows by count. Performance on purely synthetic data confirmed the expected ceiling: </w:t>
      </w:r>
      <w:proofErr w:type="spellStart"/>
      <w:r w:rsidR="00B75D0F">
        <w:t>CatBoost</w:t>
      </w:r>
      <w:proofErr w:type="spellEnd"/>
      <w:r w:rsidR="00B75D0F">
        <w:t xml:space="preserve"> trained on synthetic data alone reached an AUROC of 0.9290, significantly below the real-data model (p less than 0.0001). The weighted hybrid </w:t>
      </w:r>
      <w:proofErr w:type="spellStart"/>
      <w:r w:rsidR="00B75D0F">
        <w:t>CatBoost</w:t>
      </w:r>
      <w:proofErr w:type="spellEnd"/>
      <w:r w:rsidR="00B75D0F">
        <w:t xml:space="preserve"> reached 0.9776 and the hybrid stacking ensemble reached 0.9786, both significantly below real-only </w:t>
      </w:r>
      <w:proofErr w:type="spellStart"/>
      <w:r w:rsidR="00B75D0F">
        <w:t>CatBoost</w:t>
      </w:r>
      <w:proofErr w:type="spellEnd"/>
      <w:r w:rsidR="00B75D0F">
        <w:t xml:space="preserve"> (p = 0.0007 and p = 0.126 respectively). Synthetic augmentation narrowed the gap but did not close it, </w:t>
      </w:r>
      <w:r w:rsidR="00B75D0F">
        <w:lastRenderedPageBreak/>
        <w:t xml:space="preserve">and the results suggests that in this domain, data quality </w:t>
      </w:r>
      <w:proofErr w:type="gramStart"/>
      <w:r w:rsidR="00B75D0F">
        <w:t>cannot be substituted</w:t>
      </w:r>
      <w:proofErr w:type="gramEnd"/>
      <w:r w:rsidR="00B75D0F">
        <w:t xml:space="preserve"> by volume of generated samples.</w:t>
      </w:r>
    </w:p>
    <w:p w:rsidR="00975DD6" w:rsidRDefault="00975DD6"/>
    <w:p w:rsidR="00975DD6" w:rsidRDefault="00975DD6"/>
    <w:p w:rsidR="00BC16C8" w:rsidRDefault="00975DD6">
      <w:r w:rsidRPr="00975DD6">
        <w:rPr>
          <w:b/>
          <w:sz w:val="28"/>
          <w:szCs w:val="28"/>
        </w:rPr>
        <w:t xml:space="preserve">SECTION </w:t>
      </w:r>
      <w:proofErr w:type="gramStart"/>
      <w:r w:rsidRPr="00975DD6">
        <w:rPr>
          <w:b/>
          <w:sz w:val="28"/>
          <w:szCs w:val="28"/>
        </w:rPr>
        <w:t>4</w:t>
      </w:r>
      <w:proofErr w:type="gramEnd"/>
      <w:r w:rsidRPr="00975DD6">
        <w:rPr>
          <w:b/>
          <w:sz w:val="28"/>
          <w:szCs w:val="28"/>
        </w:rPr>
        <w:t xml:space="preserve"> — Explainable AI in Healthcare</w:t>
      </w:r>
      <w:r w:rsidR="00724126">
        <w:rPr>
          <w:b/>
          <w:sz w:val="28"/>
          <w:szCs w:val="28"/>
        </w:rPr>
        <w:t xml:space="preserve">: </w:t>
      </w:r>
      <w:r>
        <w:rPr>
          <w:b/>
          <w:sz w:val="28"/>
          <w:szCs w:val="28"/>
        </w:rPr>
        <w:br/>
      </w:r>
      <w:r>
        <w:rPr>
          <w:b/>
          <w:sz w:val="28"/>
          <w:szCs w:val="28"/>
        </w:rPr>
        <w:br/>
      </w:r>
      <w:r>
        <w:t>A model that performs well on a held-out test set is not automatically useful in a clinical environment</w:t>
      </w:r>
      <w:r w:rsidR="00D35E04">
        <w:t xml:space="preserve">. The gap between statistical performance and actual adoption comes down to trust, and trust in medical context requires that the person acting on a prediction can understand why it </w:t>
      </w:r>
      <w:proofErr w:type="gramStart"/>
      <w:r w:rsidR="00D35E04">
        <w:t>was made</w:t>
      </w:r>
      <w:proofErr w:type="gramEnd"/>
      <w:r w:rsidR="00D35E04">
        <w:t xml:space="preserve">. This problem is particularly sharp for sepsis alerts. A false positive carries real costs: unnecessary antibiotics, invasive procedures, and the kind of alert fatigue that leads clinicians to begin ignoring warnings across the board. A missed true positive in a deteriorating </w:t>
      </w:r>
      <w:proofErr w:type="spellStart"/>
      <w:r w:rsidR="00D35E04">
        <w:t>pediatric</w:t>
      </w:r>
      <w:proofErr w:type="spellEnd"/>
      <w:r w:rsidR="00D35E04">
        <w:t xml:space="preserve"> patient can be fatal. When the model producing those alerts is a black box that outputs a probability score with no supporting reasoning, asking a clinician to act on it is asking them to outsource judgement to a system they cannot interrogate (</w:t>
      </w:r>
      <w:proofErr w:type="spellStart"/>
      <w:r w:rsidR="00D35E04">
        <w:t>Athukorala</w:t>
      </w:r>
      <w:proofErr w:type="spellEnd"/>
      <w:r w:rsidR="00D35E04">
        <w:t xml:space="preserve"> and </w:t>
      </w:r>
      <w:proofErr w:type="spellStart"/>
      <w:r w:rsidR="00D35E04">
        <w:t>Ilmini</w:t>
      </w:r>
      <w:proofErr w:type="spellEnd"/>
      <w:r w:rsidR="00D35E04">
        <w:t xml:space="preserve">, 2026). </w:t>
      </w:r>
      <w:r w:rsidR="00D35E04">
        <w:t xml:space="preserve">The regulatory environment is beginning to reflect this reality. Frameworks like the EU AI Act now classify </w:t>
      </w:r>
      <w:proofErr w:type="gramStart"/>
      <w:r w:rsidR="00D35E04">
        <w:t>high risk</w:t>
      </w:r>
      <w:proofErr w:type="gramEnd"/>
      <w:r w:rsidR="00D35E04">
        <w:t xml:space="preserve"> medical AI systems in ways that effectively require interpretability as a condition of deployment, which has pushed the field towards post-hoc explanation methods that can be layered on top of existing model architectures without retraining from scratch.</w:t>
      </w:r>
      <w:r w:rsidR="00BD5E2A">
        <w:br/>
      </w:r>
    </w:p>
    <w:p w:rsidR="003508E4" w:rsidRDefault="00D248A6">
      <w:r>
        <w:t xml:space="preserve">Among the post-hoc explanation methods that have gained traction in clinical machine learning, SHAP has become the most widely adopted. Lundberg and Lee (2017) introduced </w:t>
      </w:r>
      <w:proofErr w:type="spellStart"/>
      <w:r>
        <w:t>SHapley</w:t>
      </w:r>
      <w:proofErr w:type="spellEnd"/>
      <w:r>
        <w:t xml:space="preserve"> Additive </w:t>
      </w:r>
      <w:proofErr w:type="spellStart"/>
      <w:r>
        <w:t>exPlanations</w:t>
      </w:r>
      <w:proofErr w:type="spellEnd"/>
      <w:r>
        <w:t xml:space="preserve"> by grounding feature attribution in Shapley values from cooperative game theory. The practical significance of this foundation is that SHAP is the only additive attribution method that simultaneously satisfies the consistency, dummy, and efficiency axioms, meaning the attributions it produces </w:t>
      </w:r>
      <w:proofErr w:type="gramStart"/>
      <w:r>
        <w:t>are mathematically guaranteed</w:t>
      </w:r>
      <w:proofErr w:type="gramEnd"/>
      <w:r>
        <w:t xml:space="preserve"> to have properties that other saliency methods lack. For tree-based models specifically, the </w:t>
      </w:r>
      <w:proofErr w:type="spellStart"/>
      <w:r>
        <w:t>TreeSHAP</w:t>
      </w:r>
      <w:proofErr w:type="spellEnd"/>
      <w:r>
        <w:t xml:space="preserve"> algorithm computes exact Shapley values without sampling approximation, which matters when the explanation itself needs to be reliable enough for clinical scrutiny. Prior work on the PIC database has already demonstrated that SHAP can surface clinically meaningful patterns from Chinese PICU data. Shen et al. (2025) applied </w:t>
      </w:r>
      <w:proofErr w:type="spellStart"/>
      <w:r>
        <w:t>CatBoost</w:t>
      </w:r>
      <w:proofErr w:type="spellEnd"/>
      <w:r>
        <w:t xml:space="preserve"> with SHAP to PIC data for AKI mortality prediction. Zhou et al. (2025) used SHAP for DIC prediction on the same database. Huang et al. (2025) incorporated SHAP into a sepsis survival analysis using PIC records. Outside the PIC context, Jiang et al. (2023) applied SHAP-based clustering to MIMIC-IV sepsis data to identify physiologically distinct patient subgroups. The present study's SHAP analysis extends this line of work into sepsis onset prediction. The features with the highest mean absolute SHAP values are lactate max, D-dimer max, platelets min, INR max, and PT max, which map directly onto the cardiovascular and coagulation Phoenix domains that drive the sepsis labels in this cohort. Glucose max, pH min, and bicarbonate min appear further down the ranking and reflect the metabolic derangements that accompany multi-organ dysfunction. The interaction analysis identifies two dominant axes: a lactate and platelets interaction with a mean absolute value of 0.035, and an INR and D-dimer coagulopathy axis at 0.021. Both are consistent with the pathophysiology of </w:t>
      </w:r>
      <w:proofErr w:type="spellStart"/>
      <w:r>
        <w:t>pediatric</w:t>
      </w:r>
      <w:proofErr w:type="spellEnd"/>
      <w:r>
        <w:t xml:space="preserve"> sepsis and with what clinicians already understand about how the condition progresses. The fact that a model trained purely on data arrives at feature importance rankings that align with established clinical knowledge gives the SHAP output a mechanistic grounding that goes beyond post-hoc justification and makes it genuinely usable for clinician communication.</w:t>
      </w:r>
    </w:p>
    <w:p w:rsidR="003508E4" w:rsidRDefault="003508E4"/>
    <w:p w:rsidR="003508E4" w:rsidRDefault="003508E4"/>
    <w:p w:rsidR="003508E4" w:rsidRDefault="003508E4"/>
    <w:p w:rsidR="003508E4" w:rsidRDefault="003508E4"/>
    <w:p w:rsidR="003508E4" w:rsidRDefault="003508E4"/>
    <w:p w:rsidR="003508E4" w:rsidRDefault="003508E4"/>
    <w:p w:rsidR="003508E4" w:rsidRPr="002C77AD" w:rsidRDefault="002C77AD">
      <w:r w:rsidRPr="002C77AD">
        <w:rPr>
          <w:b/>
          <w:sz w:val="28"/>
          <w:szCs w:val="28"/>
        </w:rPr>
        <w:lastRenderedPageBreak/>
        <w:t>SECTION 5 — The PIC Database</w:t>
      </w:r>
      <w:r>
        <w:rPr>
          <w:b/>
          <w:sz w:val="28"/>
          <w:szCs w:val="28"/>
        </w:rPr>
        <w:t>:</w:t>
      </w:r>
      <w:r>
        <w:rPr>
          <w:b/>
          <w:sz w:val="28"/>
          <w:szCs w:val="28"/>
        </w:rPr>
        <w:br/>
      </w:r>
      <w:r>
        <w:rPr>
          <w:b/>
          <w:sz w:val="28"/>
          <w:szCs w:val="28"/>
        </w:rPr>
        <w:br/>
      </w:r>
      <w:r>
        <w:t xml:space="preserve">The </w:t>
      </w:r>
      <w:proofErr w:type="spellStart"/>
      <w:r>
        <w:t>Pediatric</w:t>
      </w:r>
      <w:proofErr w:type="spellEnd"/>
      <w:r>
        <w:t xml:space="preserve"> Intensive Care (PIC) database, described by Zeng et al. (2020), is the first publicly accessible intensive care database drawn from a Chinese </w:t>
      </w:r>
      <w:proofErr w:type="spellStart"/>
      <w:r>
        <w:t>pediatric</w:t>
      </w:r>
      <w:proofErr w:type="spellEnd"/>
      <w:r>
        <w:t xml:space="preserve"> population, maintained by the Children's Hospital of Zhejiang University School of Medicine. It contains structured electronic health record data spanning laboratory measurements, vital signs, medication records, and clinical notes from PICU admissions, and its public availability makes it one of the few resources outside of North American and European datasets on which </w:t>
      </w:r>
      <w:proofErr w:type="spellStart"/>
      <w:r>
        <w:t>pediatric</w:t>
      </w:r>
      <w:proofErr w:type="spellEnd"/>
      <w:r>
        <w:t xml:space="preserve"> clinical ML models can be openly developed and validated. The database </w:t>
      </w:r>
      <w:proofErr w:type="gramStart"/>
      <w:r>
        <w:t>has been used</w:t>
      </w:r>
      <w:proofErr w:type="gramEnd"/>
      <w:r>
        <w:t xml:space="preserve"> across a range of clinical prediction tasks in recent years. </w:t>
      </w:r>
      <w:proofErr w:type="gramStart"/>
      <w:r>
        <w:t xml:space="preserve">Huang et al. (2025) applied it to sepsis survival analysis, Shen et al. (2025) used it for acute kidney injury mortality prediction with </w:t>
      </w:r>
      <w:proofErr w:type="spellStart"/>
      <w:r>
        <w:t>CatBoost</w:t>
      </w:r>
      <w:proofErr w:type="spellEnd"/>
      <w:r>
        <w:t xml:space="preserve"> and SHAP, Zhou et al. (2025) examined disseminated intravascular coagulation, Hong et al. (2021) applied logistic regression to ICU mortality, Bravo and Fajardo (2025) used it specifically to study class imbalance handling, and Ding and Mei (2026) examined sepsis-related clinical markers without applying machine learning.</w:t>
      </w:r>
      <w:proofErr w:type="gramEnd"/>
      <w:r>
        <w:t xml:space="preserve"> This study uses PIC version 1.1.0 and restricts the cohort to patients with suspected infection, yielding 3,163 patients in total, split into 2,530 for training and 633 for testing. This infection-only restriction is a deliberate design choice rather than a data convenience. In realistic clinical </w:t>
      </w:r>
      <w:proofErr w:type="gramStart"/>
      <w:r>
        <w:t>deployment</w:t>
      </w:r>
      <w:proofErr w:type="gramEnd"/>
      <w:r>
        <w:t xml:space="preserve"> the model would be applied after infection has been suspected, not to all PICU admissions indiscriminately, so training on the infection-only subpopulation better reflects the actual decision context the model is meant to support. One structural limitation of PIC v1.1.0 </w:t>
      </w:r>
      <w:proofErr w:type="gramStart"/>
      <w:r>
        <w:t>must be stated</w:t>
      </w:r>
      <w:proofErr w:type="gramEnd"/>
      <w:r>
        <w:t xml:space="preserve"> directly: fields for FiO2, mechanical ventilation parameters, and Glasgow Coma Scale are absent from the database entirely. This makes the respiratory and neurological Phoenix scoring components permanently non-computable across the cohort, a constraint this study shares with other PIC-based sepsis work and one that </w:t>
      </w:r>
      <w:proofErr w:type="gramStart"/>
      <w:r>
        <w:t>is carried</w:t>
      </w:r>
      <w:proofErr w:type="gramEnd"/>
      <w:r>
        <w:t xml:space="preserve"> forward as a disclosed limitation throughout the analysis.</w:t>
      </w:r>
    </w:p>
    <w:p w:rsidR="003508E4" w:rsidRDefault="003508E4"/>
    <w:p w:rsidR="00EB6BC6" w:rsidRPr="004657AD" w:rsidRDefault="004657AD">
      <w:pPr>
        <w:rPr>
          <w:b/>
          <w:sz w:val="28"/>
          <w:szCs w:val="28"/>
        </w:rPr>
      </w:pPr>
      <w:r>
        <w:br/>
      </w:r>
      <w:r w:rsidRPr="004657AD">
        <w:rPr>
          <w:b/>
          <w:sz w:val="28"/>
          <w:szCs w:val="28"/>
        </w:rPr>
        <w:t>SECTION 6 — Research Gap and Study Rationale</w:t>
      </w:r>
      <w:proofErr w:type="gramStart"/>
      <w:r>
        <w:rPr>
          <w:b/>
          <w:sz w:val="28"/>
          <w:szCs w:val="28"/>
        </w:rPr>
        <w:t>:</w:t>
      </w:r>
      <w:proofErr w:type="gramEnd"/>
      <w:r>
        <w:rPr>
          <w:b/>
          <w:sz w:val="28"/>
          <w:szCs w:val="28"/>
        </w:rPr>
        <w:br/>
      </w:r>
      <w:r>
        <w:rPr>
          <w:b/>
          <w:sz w:val="28"/>
          <w:szCs w:val="28"/>
        </w:rPr>
        <w:br/>
      </w:r>
      <w:r>
        <w:t xml:space="preserve">Despite the volume of machine learning research on sepsis prediction, a specific and reproducible combination has not appeared in the published literature. </w:t>
      </w:r>
      <w:proofErr w:type="spellStart"/>
      <w:r>
        <w:t>Chanci</w:t>
      </w:r>
      <w:proofErr w:type="spellEnd"/>
      <w:r>
        <w:t xml:space="preserve"> et al. (2025) applied </w:t>
      </w:r>
      <w:proofErr w:type="spellStart"/>
      <w:r>
        <w:t>CatBoost</w:t>
      </w:r>
      <w:proofErr w:type="spellEnd"/>
      <w:r>
        <w:t xml:space="preserve"> with Phoenix Sepsis Criteria labelling and reached strong predictive performance, but the work relied on proprietary US hospital data and included no </w:t>
      </w:r>
      <w:proofErr w:type="spellStart"/>
      <w:r>
        <w:t>explainability</w:t>
      </w:r>
      <w:proofErr w:type="spellEnd"/>
      <w:r>
        <w:t xml:space="preserve"> analysis, meaning </w:t>
      </w:r>
      <w:proofErr w:type="gramStart"/>
      <w:r>
        <w:t>neither the</w:t>
      </w:r>
      <w:proofErr w:type="gramEnd"/>
      <w:r>
        <w:t xml:space="preserve"> dataset nor the interpretive layer is accessible for external validation or clinical scrutiny. Shen et al. (2025) used </w:t>
      </w:r>
      <w:proofErr w:type="spellStart"/>
      <w:r>
        <w:t>CatBoost</w:t>
      </w:r>
      <w:proofErr w:type="spellEnd"/>
      <w:r>
        <w:t xml:space="preserve"> with SHAP on the PIC database, but the target outcome was acute kidney injury mortality rather than sepsis onset, so the clinical domain and labelling logic are entirely different. Huang et al. (2025) worked with PIC data on a sepsis-related question but framed it as survival analysis, without Phoenix criteria for case definition and without any </w:t>
      </w:r>
      <w:proofErr w:type="spellStart"/>
      <w:r>
        <w:t>explainability</w:t>
      </w:r>
      <w:proofErr w:type="spellEnd"/>
      <w:r>
        <w:t xml:space="preserve"> component. No published study has brought all four elements together in a single pipeline: </w:t>
      </w:r>
      <w:proofErr w:type="spellStart"/>
      <w:r>
        <w:t>CatBoost</w:t>
      </w:r>
      <w:proofErr w:type="spellEnd"/>
      <w:r>
        <w:t xml:space="preserve"> as the primary model, Phoenix Sepsis Criteria as the labelling standard, SHAP-based </w:t>
      </w:r>
      <w:proofErr w:type="spellStart"/>
      <w:r>
        <w:t>explainability</w:t>
      </w:r>
      <w:proofErr w:type="spellEnd"/>
      <w:r>
        <w:t xml:space="preserve">, and the PIC database as the data source. This gap is not merely a combination that </w:t>
      </w:r>
      <w:proofErr w:type="gramStart"/>
      <w:r>
        <w:t>has not been tried</w:t>
      </w:r>
      <w:proofErr w:type="gramEnd"/>
      <w:r>
        <w:t xml:space="preserve"> for novelty's sake. Each missing element represents a real limitation in the existing work, whether that is reproducibility, clinical validity of the outcome definition, or the absence of an interpretive layer that clinicians can actually engage with.</w:t>
      </w:r>
      <w:r w:rsidR="003508E4" w:rsidRPr="004657AD">
        <w:rPr>
          <w:b/>
          <w:sz w:val="28"/>
          <w:szCs w:val="28"/>
        </w:rPr>
        <w:br/>
      </w:r>
      <w:r w:rsidR="007C7BA5">
        <w:rPr>
          <w:b/>
          <w:sz w:val="28"/>
          <w:szCs w:val="28"/>
        </w:rPr>
        <w:br/>
      </w:r>
      <w:r w:rsidR="007C7BA5">
        <w:t xml:space="preserve">This study fills that gap by building a complete machine learning, deep learning, and explainable AI pipeline for early </w:t>
      </w:r>
      <w:proofErr w:type="spellStart"/>
      <w:r w:rsidR="007C7BA5">
        <w:t>pediatric</w:t>
      </w:r>
      <w:proofErr w:type="spellEnd"/>
      <w:r w:rsidR="007C7BA5">
        <w:t xml:space="preserve"> sepsis prediction on the PIC database, with Phoenix Sepsis Criteria as the labelling standard throughout. Six contributions follow from this. First, this is the first published combination of </w:t>
      </w:r>
      <w:proofErr w:type="spellStart"/>
      <w:r w:rsidR="007C7BA5">
        <w:t>CatBoost</w:t>
      </w:r>
      <w:proofErr w:type="spellEnd"/>
      <w:r w:rsidR="007C7BA5">
        <w:t xml:space="preserve">, Phoenix labelling, SHAP </w:t>
      </w:r>
      <w:proofErr w:type="spellStart"/>
      <w:r w:rsidR="007C7BA5">
        <w:t>explainability</w:t>
      </w:r>
      <w:proofErr w:type="spellEnd"/>
      <w:r w:rsidR="007C7BA5">
        <w:t xml:space="preserve">, and the PIC database in a single study. Second, a systematic leakage audit across 306 candidate features </w:t>
      </w:r>
      <w:proofErr w:type="gramStart"/>
      <w:r w:rsidR="007C7BA5">
        <w:t>was conducted</w:t>
      </w:r>
      <w:proofErr w:type="gramEnd"/>
      <w:r w:rsidR="007C7BA5">
        <w:t xml:space="preserve"> before any model was trained, identifying and excluding features that carried label information by construction, </w:t>
      </w:r>
      <w:r w:rsidR="007C7BA5">
        <w:lastRenderedPageBreak/>
        <w:t xml:space="preserve">which is a methodological step that is rarely reported explicitly in clinical ML work. Third, three deep learning architectures — FT-Transformer, </w:t>
      </w:r>
      <w:proofErr w:type="spellStart"/>
      <w:r w:rsidR="007C7BA5">
        <w:t>ResNet</w:t>
      </w:r>
      <w:proofErr w:type="spellEnd"/>
      <w:r w:rsidR="007C7BA5">
        <w:t xml:space="preserve">, and </w:t>
      </w:r>
      <w:proofErr w:type="spellStart"/>
      <w:r w:rsidR="007C7BA5">
        <w:t>TabNet</w:t>
      </w:r>
      <w:proofErr w:type="spellEnd"/>
      <w:r w:rsidR="007C7BA5">
        <w:t xml:space="preserve"> — were evaluated against the primary </w:t>
      </w:r>
      <w:proofErr w:type="spellStart"/>
      <w:r w:rsidR="007C7BA5">
        <w:t>CatBoost</w:t>
      </w:r>
      <w:proofErr w:type="spellEnd"/>
      <w:r w:rsidR="007C7BA5">
        <w:t xml:space="preserve"> model using DeLong testing, providing a principled comparative benchmark rather than a single-model report. Fourth, a federated learning simulation </w:t>
      </w:r>
      <w:proofErr w:type="gramStart"/>
      <w:r w:rsidR="007C7BA5">
        <w:t>was run</w:t>
      </w:r>
      <w:proofErr w:type="gramEnd"/>
      <w:r w:rsidR="007C7BA5">
        <w:t xml:space="preserve"> across five ICU-type nodes using the FT-Transformer, exploring whether competitive predictive performance can be maintained without centralising raw patient data across sites. Fifth, a synthetic data augmentation study </w:t>
      </w:r>
      <w:proofErr w:type="gramStart"/>
      <w:r w:rsidR="007C7BA5">
        <w:t>was conducted</w:t>
      </w:r>
      <w:proofErr w:type="gramEnd"/>
      <w:r w:rsidR="007C7BA5">
        <w:t xml:space="preserve"> using a CTGAN pipeline extended with </w:t>
      </w:r>
      <w:proofErr w:type="spellStart"/>
      <w:r w:rsidR="007C7BA5">
        <w:t>Iman</w:t>
      </w:r>
      <w:proofErr w:type="spellEnd"/>
      <w:r w:rsidR="007C7BA5">
        <w:t xml:space="preserve">-Conover rank correlation injection, directly addressing the known limitation of standard CTGAN in destroying inter-feature correlation structure. Sixth, SHAP interaction analysis </w:t>
      </w:r>
      <w:proofErr w:type="gramStart"/>
      <w:r w:rsidR="007C7BA5">
        <w:t>was applied</w:t>
      </w:r>
      <w:proofErr w:type="gramEnd"/>
      <w:r w:rsidR="007C7BA5">
        <w:t xml:space="preserve"> to the trained </w:t>
      </w:r>
      <w:proofErr w:type="spellStart"/>
      <w:r w:rsidR="007C7BA5">
        <w:t>CatBoost</w:t>
      </w:r>
      <w:proofErr w:type="spellEnd"/>
      <w:r w:rsidR="007C7BA5">
        <w:t xml:space="preserve"> model, revealing a lactate-platelets interaction axis and an INR-D-dimer coagulopathy axis that map directly onto the cardiovascular and coagulation domains of the Phoenix criteria, providing biological grounding for the model's predictions.</w:t>
      </w:r>
      <w:bookmarkStart w:id="0" w:name="_GoBack"/>
      <w:bookmarkEnd w:id="0"/>
      <w:r w:rsidR="003508E4" w:rsidRPr="004657AD">
        <w:rPr>
          <w:b/>
          <w:sz w:val="28"/>
          <w:szCs w:val="28"/>
        </w:rPr>
        <w:br/>
      </w:r>
    </w:p>
    <w:p w:rsidR="00EB6BC6" w:rsidRDefault="00EB6BC6"/>
    <w:p w:rsidR="00D97F0F" w:rsidRDefault="00D97F0F"/>
    <w:p w:rsidR="00D97F0F" w:rsidRDefault="00D97F0F"/>
    <w:p w:rsidR="00D97F0F" w:rsidRDefault="00D97F0F"/>
    <w:p w:rsidR="00D97F0F" w:rsidRDefault="00D97F0F"/>
    <w:p w:rsidR="00D97F0F" w:rsidRDefault="00D97F0F"/>
    <w:p w:rsidR="00D97F0F" w:rsidRDefault="00D97F0F"/>
    <w:p w:rsidR="00EB6BC6" w:rsidRDefault="00EB6BC6"/>
    <w:p w:rsidR="00EB6BC6" w:rsidRDefault="00EB6BC6"/>
    <w:p w:rsidR="00975DD6" w:rsidRPr="00975DD6" w:rsidRDefault="00BD5E2A">
      <w:r>
        <w:br/>
      </w:r>
      <w:r w:rsidR="00D35E04">
        <w:t xml:space="preserve"> </w:t>
      </w:r>
    </w:p>
    <w:p w:rsidR="00D6695E" w:rsidRPr="009B7168" w:rsidRDefault="00CF34E8">
      <w:pPr>
        <w:rPr>
          <w:b/>
          <w:sz w:val="28"/>
          <w:szCs w:val="28"/>
        </w:rPr>
      </w:pPr>
      <w:r w:rsidRPr="009B7168">
        <w:rPr>
          <w:b/>
          <w:sz w:val="28"/>
          <w:szCs w:val="28"/>
        </w:rPr>
        <w:br/>
      </w:r>
    </w:p>
    <w:p w:rsidR="00D6695E" w:rsidRDefault="00D6695E">
      <w:pPr>
        <w:rPr>
          <w:b/>
          <w:sz w:val="28"/>
        </w:rPr>
      </w:pPr>
    </w:p>
    <w:p w:rsidR="00A23FFF" w:rsidRPr="00A23FFF" w:rsidRDefault="00A23FFF">
      <w:r>
        <w:rPr>
          <w:b/>
          <w:sz w:val="28"/>
        </w:rPr>
        <w:br/>
      </w:r>
      <w:r>
        <w:rPr>
          <w:b/>
          <w:sz w:val="28"/>
        </w:rPr>
        <w:br/>
      </w:r>
    </w:p>
    <w:p w:rsidR="00062F96" w:rsidRDefault="00062F96"/>
    <w:p w:rsidR="00057F37" w:rsidRDefault="00057F37"/>
    <w:p w:rsidR="00057F37" w:rsidRDefault="00057F37"/>
    <w:p w:rsidR="00057F37" w:rsidRPr="003C5BAE" w:rsidRDefault="00057F37" w:rsidP="00F37D4C">
      <w:pPr>
        <w:pStyle w:val="font-claude-response-body"/>
      </w:pPr>
    </w:p>
    <w:sectPr w:rsidR="00057F37" w:rsidRPr="003C5BA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2BF1"/>
    <w:rsid w:val="00024027"/>
    <w:rsid w:val="00031DE6"/>
    <w:rsid w:val="0004450B"/>
    <w:rsid w:val="00053B35"/>
    <w:rsid w:val="00057F37"/>
    <w:rsid w:val="00062F96"/>
    <w:rsid w:val="000A7F97"/>
    <w:rsid w:val="00150477"/>
    <w:rsid w:val="00165DCD"/>
    <w:rsid w:val="001820EF"/>
    <w:rsid w:val="001A51B9"/>
    <w:rsid w:val="001C4E38"/>
    <w:rsid w:val="001E6D9D"/>
    <w:rsid w:val="001F621B"/>
    <w:rsid w:val="002063C7"/>
    <w:rsid w:val="00256FCE"/>
    <w:rsid w:val="002C77AD"/>
    <w:rsid w:val="002D6BC1"/>
    <w:rsid w:val="002E37FB"/>
    <w:rsid w:val="002E6116"/>
    <w:rsid w:val="00312BF1"/>
    <w:rsid w:val="00326C8B"/>
    <w:rsid w:val="003508E4"/>
    <w:rsid w:val="003B29A7"/>
    <w:rsid w:val="003C5BAE"/>
    <w:rsid w:val="004112B9"/>
    <w:rsid w:val="004657AD"/>
    <w:rsid w:val="0047302A"/>
    <w:rsid w:val="00481A14"/>
    <w:rsid w:val="004D65E4"/>
    <w:rsid w:val="004F25D1"/>
    <w:rsid w:val="005006B5"/>
    <w:rsid w:val="00532177"/>
    <w:rsid w:val="00550D31"/>
    <w:rsid w:val="00562F44"/>
    <w:rsid w:val="005E4194"/>
    <w:rsid w:val="0060097D"/>
    <w:rsid w:val="00626B59"/>
    <w:rsid w:val="00682233"/>
    <w:rsid w:val="00691B5A"/>
    <w:rsid w:val="006954C1"/>
    <w:rsid w:val="006A3E92"/>
    <w:rsid w:val="00724126"/>
    <w:rsid w:val="007C7BA5"/>
    <w:rsid w:val="007C7BF9"/>
    <w:rsid w:val="007D3D9C"/>
    <w:rsid w:val="007D54A9"/>
    <w:rsid w:val="007F40FA"/>
    <w:rsid w:val="00800282"/>
    <w:rsid w:val="00865E3F"/>
    <w:rsid w:val="008C51C0"/>
    <w:rsid w:val="0091129E"/>
    <w:rsid w:val="00936243"/>
    <w:rsid w:val="009435DE"/>
    <w:rsid w:val="0095169C"/>
    <w:rsid w:val="00956245"/>
    <w:rsid w:val="00975DD6"/>
    <w:rsid w:val="00976FF0"/>
    <w:rsid w:val="009B6189"/>
    <w:rsid w:val="009B7168"/>
    <w:rsid w:val="009C427E"/>
    <w:rsid w:val="009E511D"/>
    <w:rsid w:val="00A23FFF"/>
    <w:rsid w:val="00A26B38"/>
    <w:rsid w:val="00A27132"/>
    <w:rsid w:val="00A44A9C"/>
    <w:rsid w:val="00A56016"/>
    <w:rsid w:val="00A85E78"/>
    <w:rsid w:val="00A95223"/>
    <w:rsid w:val="00AB2681"/>
    <w:rsid w:val="00AD4852"/>
    <w:rsid w:val="00AF175F"/>
    <w:rsid w:val="00AF18B8"/>
    <w:rsid w:val="00B1291F"/>
    <w:rsid w:val="00B45020"/>
    <w:rsid w:val="00B75D0F"/>
    <w:rsid w:val="00B87A95"/>
    <w:rsid w:val="00BA3CE6"/>
    <w:rsid w:val="00BC16C8"/>
    <w:rsid w:val="00BD5E2A"/>
    <w:rsid w:val="00C05D30"/>
    <w:rsid w:val="00C10B70"/>
    <w:rsid w:val="00C3189C"/>
    <w:rsid w:val="00C60C5F"/>
    <w:rsid w:val="00C62DC3"/>
    <w:rsid w:val="00C71BA9"/>
    <w:rsid w:val="00C80C51"/>
    <w:rsid w:val="00C9654F"/>
    <w:rsid w:val="00C9694E"/>
    <w:rsid w:val="00CB246E"/>
    <w:rsid w:val="00CF34E8"/>
    <w:rsid w:val="00D248A6"/>
    <w:rsid w:val="00D35E04"/>
    <w:rsid w:val="00D61F9E"/>
    <w:rsid w:val="00D6695E"/>
    <w:rsid w:val="00D73B08"/>
    <w:rsid w:val="00D76A6F"/>
    <w:rsid w:val="00D807E2"/>
    <w:rsid w:val="00D97F0F"/>
    <w:rsid w:val="00DD3487"/>
    <w:rsid w:val="00DD7396"/>
    <w:rsid w:val="00E93A11"/>
    <w:rsid w:val="00EB6BC6"/>
    <w:rsid w:val="00EC069A"/>
    <w:rsid w:val="00ED6B32"/>
    <w:rsid w:val="00F268ED"/>
    <w:rsid w:val="00F37D4C"/>
    <w:rsid w:val="00F37E24"/>
    <w:rsid w:val="00F51825"/>
    <w:rsid w:val="00F52AE2"/>
    <w:rsid w:val="00F667AB"/>
    <w:rsid w:val="00F9660B"/>
    <w:rsid w:val="00FA453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069D0B"/>
  <w15:chartTrackingRefBased/>
  <w15:docId w15:val="{4ED31CBB-6F30-4393-B52E-BCF0CE7A8D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ont-claude-response-body">
    <w:name w:val="font-claude-response-body"/>
    <w:basedOn w:val="Normal"/>
    <w:rsid w:val="00057F37"/>
    <w:pPr>
      <w:spacing w:before="100" w:beforeAutospacing="1" w:after="100" w:afterAutospacing="1"/>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057F37"/>
    <w:rPr>
      <w:i/>
      <w:iCs/>
    </w:rPr>
  </w:style>
  <w:style w:type="paragraph" w:styleId="NormalWeb">
    <w:name w:val="Normal (Web)"/>
    <w:basedOn w:val="Normal"/>
    <w:uiPriority w:val="99"/>
    <w:semiHidden/>
    <w:unhideWhenUsed/>
    <w:rsid w:val="00D73B0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5102514">
      <w:bodyDiv w:val="1"/>
      <w:marLeft w:val="0"/>
      <w:marRight w:val="0"/>
      <w:marTop w:val="0"/>
      <w:marBottom w:val="0"/>
      <w:divBdr>
        <w:top w:val="none" w:sz="0" w:space="0" w:color="auto"/>
        <w:left w:val="none" w:sz="0" w:space="0" w:color="auto"/>
        <w:bottom w:val="none" w:sz="0" w:space="0" w:color="auto"/>
        <w:right w:val="none" w:sz="0" w:space="0" w:color="auto"/>
      </w:divBdr>
    </w:div>
    <w:div w:id="1032927007">
      <w:bodyDiv w:val="1"/>
      <w:marLeft w:val="0"/>
      <w:marRight w:val="0"/>
      <w:marTop w:val="0"/>
      <w:marBottom w:val="0"/>
      <w:divBdr>
        <w:top w:val="none" w:sz="0" w:space="0" w:color="auto"/>
        <w:left w:val="none" w:sz="0" w:space="0" w:color="auto"/>
        <w:bottom w:val="none" w:sz="0" w:space="0" w:color="auto"/>
        <w:right w:val="none" w:sz="0" w:space="0" w:color="auto"/>
      </w:divBdr>
    </w:div>
    <w:div w:id="1389914537">
      <w:bodyDiv w:val="1"/>
      <w:marLeft w:val="0"/>
      <w:marRight w:val="0"/>
      <w:marTop w:val="0"/>
      <w:marBottom w:val="0"/>
      <w:divBdr>
        <w:top w:val="none" w:sz="0" w:space="0" w:color="auto"/>
        <w:left w:val="none" w:sz="0" w:space="0" w:color="auto"/>
        <w:bottom w:val="none" w:sz="0" w:space="0" w:color="auto"/>
        <w:right w:val="none" w:sz="0" w:space="0" w:color="auto"/>
      </w:divBdr>
    </w:div>
    <w:div w:id="1630353255">
      <w:bodyDiv w:val="1"/>
      <w:marLeft w:val="0"/>
      <w:marRight w:val="0"/>
      <w:marTop w:val="0"/>
      <w:marBottom w:val="0"/>
      <w:divBdr>
        <w:top w:val="none" w:sz="0" w:space="0" w:color="auto"/>
        <w:left w:val="none" w:sz="0" w:space="0" w:color="auto"/>
        <w:bottom w:val="none" w:sz="0" w:space="0" w:color="auto"/>
        <w:right w:val="none" w:sz="0" w:space="0" w:color="auto"/>
      </w:divBdr>
    </w:div>
    <w:div w:id="16330953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883</TotalTime>
  <Pages>7</Pages>
  <Words>3989</Words>
  <Characters>22741</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26677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73</cp:revision>
  <dcterms:created xsi:type="dcterms:W3CDTF">2026-04-02T09:31:00Z</dcterms:created>
  <dcterms:modified xsi:type="dcterms:W3CDTF">2026-04-25T19:52:00Z</dcterms:modified>
</cp:coreProperties>
</file>