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rPr>
          <w:rFonts w:ascii="Arial" w:cs="Arial" w:eastAsia="Arial" w:hAnsi="Arial"/>
          <w:b/>
          <w:bCs/>
          <w:color w:val="1A6B8A"/>
          <w:sz w:val="60"/>
          <w:szCs w:val="60"/>
        </w:rPr>
        <w:t xml:space="preserve">Datasets for Sepsis AI/ML Research</w:t>
      </w:r>
    </w:p>
    <w:p>
      <w:pPr>
        <w:spacing w:before="0" w:after="80"/>
      </w:pPr>
      <w:r>
        <w:rPr>
          <w:rFonts w:ascii="Arial" w:cs="Arial" w:eastAsia="Arial" w:hAnsi="Arial"/>
          <w:color w:val="1E2A35"/>
          <w:sz w:val="34"/>
          <w:szCs w:val="34"/>
        </w:rPr>
        <w:t xml:space="preserve">Problem-by-Problem Guide: Contents, Gaps &amp; Fit</w:t>
      </w:r>
    </w:p>
    <w:p>
      <w:pPr>
        <w:spacing w:before="0" w:after="240"/>
      </w:pPr>
      <w:r>
        <w:rPr>
          <w:rFonts w:ascii="Arial" w:cs="Arial" w:eastAsia="Arial" w:hAnsi="Arial"/>
          <w:i/>
          <w:iCs/>
          <w:color w:val="888888"/>
          <w:sz w:val="20"/>
          <w:szCs w:val="20"/>
        </w:rPr>
        <w:t xml:space="preserve">Covering Reports R1, R2, R3  |  February 2026</w:t>
      </w:r>
    </w:p>
    <w:p>
      <w:pPr>
        <w:pBdr>
          <w:bottom w:val="single" w:color="1A6B8A" w:sz="8" w:space="4"/>
        </w:pBdr>
        <w:spacing w:after="240"/>
      </w:pPr>
      <w:r>
        <w:t xml:space="preserve"/>
      </w:r>
    </w:p>
    <w:p>
      <w:pPr>
        <w:spacing w:before="80" w:after="80"/>
        <w:jc w:val="left"/>
      </w:pPr>
      <w:r>
        <w:rPr>
          <w:rFonts w:ascii="Arial" w:cs="Arial" w:eastAsia="Arial" w:hAnsi="Arial"/>
          <w:b w:val="false"/>
          <w:bCs w:val="false"/>
          <w:i w:val="false"/>
          <w:iCs w:val="false"/>
          <w:color w:val="1E2A35"/>
          <w:sz w:val="22"/>
          <w:szCs w:val="22"/>
        </w:rPr>
        <w:t xml:space="preserve">This document maps each research problem identified across all three sepsis AI/ML reports to the most suitable publicly available datasets. For each dataset we describe what it contains, what critical information is missing, what may be unnecessary or excessive for that specific problem, and a fit rating.</w:t>
      </w:r>
    </w:p>
    <w:p>
      <w:pPr>
        <w:spacing w:before="60" w:after="0"/>
      </w:pPr>
      <w:r>
        <w:t xml:space="preserve"/>
      </w:r>
    </w:p>
    <w:p>
      <w:pPr>
        <w:spacing w:before="40" w:after="120"/>
        <w:jc w:val="left"/>
      </w:pPr>
      <w:r>
        <w:rPr>
          <w:rFonts w:ascii="Arial" w:cs="Arial" w:eastAsia="Arial" w:hAnsi="Arial"/>
          <w:b w:val="false"/>
          <w:bCs w:val="false"/>
          <w:i w:val="false"/>
          <w:iCs w:val="false"/>
          <w:color w:val="1E2A35"/>
          <w:sz w:val="22"/>
          <w:szCs w:val="22"/>
        </w:rPr>
        <w:t xml:space="preserve">Fit rating guide: 'Best option' = use this as primary. 'Very good' = primary or strong secondary. 'Good secondary' = use for external validation. 'Limited use' = narrow specific purpose. 'Not recommended' = avoid for this problem.</w:t>
      </w:r>
    </w:p>
    <w:p>
      <w:pPr>
        <w:spacing w:before="120" w:after="0"/>
      </w:pPr>
      <w:r>
        <w:t xml:space="preserve"/>
      </w:r>
    </w:p>
    <w:p>
      <w:pPr>
        <w:pBdr>
          <w:bottom w:val="single" w:color="1A6B8A" w:sz="6" w:space="6"/>
        </w:pBdr>
        <w:spacing w:before="500" w:after="160"/>
      </w:pPr>
      <w:r>
        <w:rPr>
          <w:rFonts w:ascii="Arial" w:cs="Arial" w:eastAsia="Arial" w:hAnsi="Arial"/>
          <w:b/>
          <w:bCs/>
          <w:color w:val="1A6B8A"/>
          <w:sz w:val="36"/>
          <w:szCs w:val="36"/>
        </w:rPr>
        <w:t xml:space="preserve">Quick Reference — All 10 Research Problems</w:t>
      </w:r>
    </w:p>
    <w:p>
      <w:pPr>
        <w:spacing w:before="60" w:after="120"/>
        <w:jc w:val="left"/>
      </w:pPr>
      <w:r>
        <w:rPr>
          <w:rFonts w:ascii="Arial" w:cs="Arial" w:eastAsia="Arial" w:hAnsi="Arial"/>
          <w:b w:val="false"/>
          <w:bCs w:val="false"/>
          <w:i w:val="false"/>
          <w:iCs w:val="false"/>
          <w:color w:val="1E2A35"/>
          <w:sz w:val="22"/>
          <w:szCs w:val="22"/>
        </w:rPr>
        <w:t xml:space="preserve">The table below maps each research problem to the reports it appears in and the most recommended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500"/>
        <w:gridCol w:w="4560"/>
      </w:tblGrid>
      <w:tr>
        <w:tc>
          <w:tcPr>
            <w:tcW w:type="dxa" w:w="4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t>
            </w:r>
          </w:p>
        </w:tc>
        <w:tc>
          <w:tcPr>
            <w:tcW w:type="dxa" w:w="29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Research Problem</w:t>
            </w:r>
          </w:p>
        </w:tc>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In Reports</w:t>
            </w:r>
          </w:p>
        </w:tc>
        <w:tc>
          <w:tcPr>
            <w:tcW w:type="dxa" w:w="456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Top Dataset(s)</w:t>
            </w:r>
          </w:p>
        </w:tc>
      </w:tr>
      <w:tr>
        <w:tc>
          <w:tcPr>
            <w:tcW w:type="dxa" w:w="4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1</w:t>
            </w:r>
          </w:p>
        </w:tc>
        <w:tc>
          <w:tcPr>
            <w:tcW w:type="dxa" w:w="29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Neonatal &amp; Pediatric Sepsis</w:t>
            </w:r>
          </w:p>
        </w:tc>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 R2, R3</w:t>
            </w:r>
          </w:p>
        </w:tc>
        <w:tc>
          <w:tcPr>
            <w:tcW w:type="dxa" w:w="456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PIC Database, MIMIC-IV neonatal, Local hospital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LMIC / Low-Resource Settings (India)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 R2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(feature-limited), PhysioNet 2019, Local data</w:t>
            </w:r>
          </w:p>
        </w:tc>
      </w:tr>
      <w:tr>
        <w:tc>
          <w:tcPr>
            <w:tcW w:type="dxa" w:w="4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3</w:t>
            </w:r>
          </w:p>
        </w:tc>
        <w:tc>
          <w:tcPr>
            <w:tcW w:type="dxa" w:w="29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Explainable AI (XAI)</w:t>
            </w:r>
          </w:p>
        </w:tc>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 R2, R3</w:t>
            </w:r>
          </w:p>
        </w:tc>
        <w:tc>
          <w:tcPr>
            <w:tcW w:type="dxa" w:w="456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PhysioNet 2019, eICU-CRD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Algorithmic Fairness &amp; Bias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(demographics), eICU-CRD</w:t>
            </w:r>
          </w:p>
        </w:tc>
      </w:tr>
      <w:tr>
        <w:tc>
          <w:tcPr>
            <w:tcW w:type="dxa" w:w="4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5</w:t>
            </w:r>
          </w:p>
        </w:tc>
        <w:tc>
          <w:tcPr>
            <w:tcW w:type="dxa" w:w="29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Federated Learning</w:t>
            </w:r>
          </w:p>
        </w:tc>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 R2</w:t>
            </w:r>
          </w:p>
        </w:tc>
        <w:tc>
          <w:tcPr>
            <w:tcW w:type="dxa" w:w="456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 eICU (simulated), PhysioNet 2019 (2-node)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AMR / Antibiotic Stewardship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 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microbiology module</w:t>
            </w:r>
          </w:p>
        </w:tc>
      </w:tr>
      <w:tr>
        <w:tc>
          <w:tcPr>
            <w:tcW w:type="dxa" w:w="4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7</w:t>
            </w:r>
          </w:p>
        </w:tc>
        <w:tc>
          <w:tcPr>
            <w:tcW w:type="dxa" w:w="29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NLP on Clinical Notes</w:t>
            </w:r>
          </w:p>
        </w:tc>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 R2</w:t>
            </w:r>
          </w:p>
        </w:tc>
        <w:tc>
          <w:tcPr>
            <w:tcW w:type="dxa" w:w="456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MIMIC-IV-Note (structured + 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RL for Treatment Optimization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R1, R2, 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MIMIC-III/IV (treatment trajectories)</w:t>
            </w:r>
          </w:p>
        </w:tc>
      </w:tr>
      <w:tr>
        <w:tc>
          <w:tcPr>
            <w:tcW w:type="dxa" w:w="4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9</w:t>
            </w:r>
          </w:p>
        </w:tc>
        <w:tc>
          <w:tcPr>
            <w:tcW w:type="dxa" w:w="29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Subphenotyping / Endotypes</w:t>
            </w:r>
          </w:p>
        </w:tc>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R2, R3</w:t>
            </w:r>
          </w:p>
        </w:tc>
        <w:tc>
          <w:tcPr>
            <w:tcW w:type="dxa" w:w="456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eICU-CRD, PhysioNet 2019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A6B8A"/>
                <w:sz w:val="19"/>
                <w:szCs w:val="19"/>
              </w:rPr>
              <w:t xml:space="preserve">10</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Special Populations (Burns, Neonates)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(filtered cohort), PIC Database</w:t>
            </w:r>
          </w:p>
        </w:tc>
      </w:tr>
    </w:tbl>
    <w:p>
      <w:pPr>
        <w:spacing w:before="120" w:after="0"/>
      </w:pPr>
      <w:r>
        <w:t xml:space="preserve"/>
      </w:r>
    </w:p>
    <w:p>
      <w:pPr>
        <w:spacing w:before="180" w:after="0"/>
      </w:pPr>
      <w:r>
        <w:t xml:space="preserve"/>
      </w:r>
    </w:p>
    <w:p>
      <w:pPr>
        <w:pBdr>
          <w:bottom w:val="single" w:color="1D7A4E" w:sz="4" w:space="4"/>
        </w:pBdr>
        <w:spacing w:before="400" w:after="80"/>
      </w:pPr>
      <w:r>
        <w:rPr>
          <w:rFonts w:ascii="Arial" w:cs="Arial" w:eastAsia="Arial" w:hAnsi="Arial"/>
          <w:b/>
          <w:bCs/>
          <w:color w:val="1E2A35"/>
          <w:sz w:val="30"/>
          <w:szCs w:val="30"/>
        </w:rPr>
        <w:t xml:space="preserve">1. Neonatal &amp; Pediatric Sepsis Prediction   </w:t>
      </w:r>
      <w:r>
        <w:rPr>
          <w:rFonts w:ascii="Arial" w:cs="Arial" w:eastAsia="Arial" w:hAnsi="Arial"/>
          <w:b/>
          <w:bCs/>
          <w:color w:val="FFFFFF"/>
          <w:sz w:val="18"/>
          <w:szCs w:val="18"/>
          <w:shd w:fill="1D7A4E" w:val="clear"/>
        </w:rPr>
        <w:t xml:space="preserve"> R1 + R2 + R3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Neonatal and pediatric sepsis is one of the biggest blind spots in sepsis AI research. The global burden is immense, yet almost all published models focus on adult ICU patients in high-resource hospitals.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PIC Database (Paediatric Intensive Care)</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~13,000 pediatric ICU admissions from Beijing Children's Hospital. Vitals, labs, medications, diagnoses. Free on PhysioNet.</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Neonatal sub-cohort is small. No long-term follow-up. Single Chinese center. No clinical notes.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Many non-sepsis admissions (trauma, post-op) — must filter carefully.</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Best public pediatric ICU dataset. Primary choice for neonatal/pediatric paper.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 (neonatal subset)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Full adult ICU + some neonatal data in MIMIC-IV. Includes EHR, labs, vitals, clinical notes, demographics.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Neonatal subset is much smaller than adult. Not labeled for neonatal sepsis — needs custom Sepsis-3 adaptation.</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Predominantly adult; heavy preprocessing needed to extract a pediatric cohort.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Usable but requires significant filtering. Good for secondary validation.</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PhysioNet 2019 Challenge</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~40,000 ICU patients (UPenn + Emory), 40 variables, hourly labeled for Sepsis-3.</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Adult ICU only. No pediatric/neonatal. No clinical notes.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Very clean — may be too clean for real-world generalizability work.</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suitable for pediatric focus. Only useful as a performance baseline.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Local Hospital Data (via teacher)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Potentially: NICU/PICU admissions, local pathogen profiles, CBC, CRP, notes in regional languages.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Likely no structured EHR. May need IRB ethics approval. Data quality varies.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May include irrelevant wards without clear sepsis labels.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Best option if accessible — LMIC context + novelty no public dataset can provide.</w:t>
            </w:r>
          </w:p>
        </w:tc>
      </w:tr>
    </w:tbl>
    <w:p>
      <w:pPr>
        <w:spacing w:before="60" w:after="0"/>
      </w:pPr>
      <w:r>
        <w:t xml:space="preserve"/>
      </w:r>
    </w:p>
    <w:p>
      <w:pPr>
        <w:pBdr>
          <w:left w:val="thick" w:color="1D7A4E" w:sz="12" w:space="4"/>
        </w:pBdr>
        <w:shd w:fill="E8F4F8" w:val="clear"/>
        <w:spacing w:before="120" w:after="120"/>
        <w:ind w:left="240" w:right="240"/>
      </w:pPr>
      <w:r>
        <w:rPr>
          <w:rFonts w:ascii="Arial" w:cs="Arial" w:eastAsia="Arial" w:hAnsi="Arial"/>
          <w:b/>
          <w:bCs/>
          <w:color w:val="1D7A4E"/>
          <w:sz w:val="21"/>
          <w:szCs w:val="21"/>
        </w:rPr>
        <w:t xml:space="preserve">Strategy Note:  </w:t>
      </w:r>
      <w:r>
        <w:rPr>
          <w:rFonts w:ascii="Arial" w:cs="Arial" w:eastAsia="Arial" w:hAnsi="Arial"/>
          <w:i/>
          <w:iCs/>
          <w:color w:val="1E2A35"/>
          <w:sz w:val="21"/>
          <w:szCs w:val="21"/>
        </w:rPr>
        <w:t xml:space="preserve">Use PIC Database as primary. Supplement with MIMIC-IV pediatric cases for validation. Even 200-500 local hospital cases adds massive novelty that no other team can replicate.</w:t>
      </w:r>
    </w:p>
    <w:p>
      <w:pPr>
        <w:spacing w:before="180" w:after="0"/>
      </w:pPr>
      <w:r>
        <w:t xml:space="preserve"/>
      </w:r>
    </w:p>
    <w:p>
      <w:pPr>
        <w:pBdr>
          <w:bottom w:val="single" w:color="1A6B8A" w:sz="4" w:space="4"/>
        </w:pBdr>
        <w:spacing w:before="400" w:after="80"/>
      </w:pPr>
      <w:r>
        <w:rPr>
          <w:rFonts w:ascii="Arial" w:cs="Arial" w:eastAsia="Arial" w:hAnsi="Arial"/>
          <w:b/>
          <w:bCs/>
          <w:color w:val="1E2A35"/>
          <w:sz w:val="30"/>
          <w:szCs w:val="30"/>
        </w:rPr>
        <w:t xml:space="preserve">2. Sepsis Prediction in Low-Resource / LMIC Settings (India Focus)   </w:t>
      </w:r>
      <w:r>
        <w:rPr>
          <w:rFonts w:ascii="Arial" w:cs="Arial" w:eastAsia="Arial" w:hAnsi="Arial"/>
          <w:b/>
          <w:bCs/>
          <w:color w:val="FFFFFF"/>
          <w:sz w:val="18"/>
          <w:szCs w:val="18"/>
          <w:shd w:fill="1A6B8A" w:val="clear"/>
        </w:rPr>
        <w:t xml:space="preserve"> R1 + R2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Models trained on US/UK ICU data fail to generalize to India's context — limited labs, low EHR adoption, different microbial spectrum (tropical infections). This is the highest-impact gap.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PhysioNet 2019 Challenge</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40 variables: HR, O2Sat, Temp, SBP, MAP, DBP, Resp, 8 labs, demographics, SOFA/qSOFA. Labeled Sepsis-3.</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 LMIC representation. US hospitals only. No tropical infection flags.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Many advanced labs (BUN, creatinine) unavailable in LMIC — deliberately drop these to simulate low-resource scenario.</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Use only minimal-feature subset (HR, Temp, RR, SBP + basic CBC) to simulate LMIC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~50,000 ICU admissions. Comprehensive vitals, labs, medications, notes.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 tertiary care only. Missing tropical disease burden, malnutrition, dengue co-infection.</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Rich lab panel — intentionally remove advanced labs for LMIC simulation experiments.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Good baseline. Build on all features first, then progressively drop features — this ablation study is itself publishable.</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eICU Collaborative Research Database</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~200,000 admissions from 208 US ICUs. Multi-center, includes smaller community hospitals.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Still US-only. No developing country hospitals.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Massive size — computationally heavy. Some hospitals have sparse records.</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Use as external validation. More variation in hospital type helps generalizability experiments.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Local Hospital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Basic vitals, CBC, CRP, blood culture results from Indian patients.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Likely no structured EHR. Needs curation and sepsis labeling.</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N/A — more data is always better here.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Gold standard for this problem. Even 200 patients with basic vitals + CBC is publishable novelty.</w:t>
            </w:r>
          </w:p>
        </w:tc>
      </w:tr>
    </w:tbl>
    <w:p>
      <w:pPr>
        <w:spacing w:before="60" w:after="0"/>
      </w:pPr>
      <w:r>
        <w:t xml:space="preserve"/>
      </w:r>
    </w:p>
    <w:p>
      <w:pPr>
        <w:pBdr>
          <w:left w:val="thick" w:color="1A6B8A" w:sz="12" w:space="4"/>
        </w:pBdr>
        <w:shd w:fill="E8F4F8" w:val="clear"/>
        <w:spacing w:before="120" w:after="120"/>
        <w:ind w:left="240" w:right="240"/>
      </w:pPr>
      <w:r>
        <w:rPr>
          <w:rFonts w:ascii="Arial" w:cs="Arial" w:eastAsia="Arial" w:hAnsi="Arial"/>
          <w:b/>
          <w:bCs/>
          <w:color w:val="1A6B8A"/>
          <w:sz w:val="21"/>
          <w:szCs w:val="21"/>
        </w:rPr>
        <w:t xml:space="preserve">Strategy Note:  </w:t>
      </w:r>
      <w:r>
        <w:rPr>
          <w:rFonts w:ascii="Arial" w:cs="Arial" w:eastAsia="Arial" w:hAnsi="Arial"/>
          <w:i/>
          <w:iCs/>
          <w:color w:val="1E2A35"/>
          <w:sz w:val="21"/>
          <w:szCs w:val="21"/>
        </w:rPr>
        <w:t xml:space="preserve">Build model on MIMIC-IV/PhysioNet 2019, then subset to only 5-8 features available in LMIC settings (vitals + basic CBC). This 'feature ablation for LMIC' is itself a standalone paper. Local data adds a second validation cohort.</w:t>
      </w:r>
    </w:p>
    <w:p>
      <w:pPr>
        <w:spacing w:before="180" w:after="0"/>
      </w:pPr>
      <w:r>
        <w:t xml:space="preserve"/>
      </w:r>
    </w:p>
    <w:p>
      <w:pPr>
        <w:pBdr>
          <w:bottom w:val="single" w:color="5B2A8A" w:sz="4" w:space="4"/>
        </w:pBdr>
        <w:spacing w:before="400" w:after="80"/>
      </w:pPr>
      <w:r>
        <w:rPr>
          <w:rFonts w:ascii="Arial" w:cs="Arial" w:eastAsia="Arial" w:hAnsi="Arial"/>
          <w:b/>
          <w:bCs/>
          <w:color w:val="1E2A35"/>
          <w:sz w:val="30"/>
          <w:szCs w:val="30"/>
        </w:rPr>
        <w:t xml:space="preserve">3. Explainable AI (XAI) for Sepsis Prediction   </w:t>
      </w:r>
      <w:r>
        <w:rPr>
          <w:rFonts w:ascii="Arial" w:cs="Arial" w:eastAsia="Arial" w:hAnsi="Arial"/>
          <w:b/>
          <w:bCs/>
          <w:color w:val="FFFFFF"/>
          <w:sz w:val="18"/>
          <w:szCs w:val="18"/>
          <w:shd w:fill="5B2A8A" w:val="clear"/>
        </w:rPr>
        <w:t xml:space="preserve"> R1 + R2 + R3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XAI is the most feasible direction for a first paper. The datasets are plentiful, SHAP/LIME methods are well-documented, and clinical explainability is the top cited gap. Almost any prediction dataset works — the novelty is in what you do with the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Gold standard. Full ICU EHR: demographics, vitals, 200+ lab features, medications, procedures, clinical notes. Sepsis-3 labels constructible.</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Complex preprocessing required. PhysioNet credentialing needed (free, ~1 week). No built-in XAI benchmarks.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Clinical notes available but need NLP — skip for a pure XAI paper, use structured data only.</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Best overall dataset. Strongly recommended as primary.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PhysioNet 2019 Challenge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Pre-labeled clean hourly data, 40 features. Excellent for benchmarking XAI approaches.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 clinical notes. Label definition slightly different from Sepsis-3. Adult only.</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Nothing — very well curated. May be too clean to show real-world XAI utility.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Excellent for an XAI benchmark paper. Easiest entry point.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eICU-CRD</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Multi-center US data. Good for testing whether SHAP explanations are consistent across hospitals.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Some hospitals have sparse data. Preprocessing more complex than PhysioNet Challenge.</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May have overlapping patients with MIMIC-IV.</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Use as secondary validation — testing SHAP feature consistency across sites is strong novelty.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UCI ML Repository (clinical datasets)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Various smaller clinical datasets. Easier to process for beginners.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Smaller samples, fewer features, less clinically rich.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sepsis-specific — may need adaptation.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Good only for prototyping XAI pipeline before running on MIMIC.</w:t>
            </w:r>
          </w:p>
        </w:tc>
      </w:tr>
    </w:tbl>
    <w:p>
      <w:pPr>
        <w:spacing w:before="60" w:after="0"/>
      </w:pPr>
      <w:r>
        <w:t xml:space="preserve"/>
      </w:r>
    </w:p>
    <w:p>
      <w:pPr>
        <w:pBdr>
          <w:left w:val="thick" w:color="5B2A8A" w:sz="12" w:space="4"/>
        </w:pBdr>
        <w:shd w:fill="E8F4F8" w:val="clear"/>
        <w:spacing w:before="120" w:after="120"/>
        <w:ind w:left="240" w:right="240"/>
      </w:pPr>
      <w:r>
        <w:rPr>
          <w:rFonts w:ascii="Arial" w:cs="Arial" w:eastAsia="Arial" w:hAnsi="Arial"/>
          <w:b/>
          <w:bCs/>
          <w:color w:val="5B2A8A"/>
          <w:sz w:val="21"/>
          <w:szCs w:val="21"/>
        </w:rPr>
        <w:t xml:space="preserve">Strategy Note:  </w:t>
      </w:r>
      <w:r>
        <w:rPr>
          <w:rFonts w:ascii="Arial" w:cs="Arial" w:eastAsia="Arial" w:hAnsi="Arial"/>
          <w:i/>
          <w:iCs/>
          <w:color w:val="1E2A35"/>
          <w:sz w:val="21"/>
          <w:szCs w:val="21"/>
        </w:rPr>
        <w:t xml:space="preserve">(1) Train XGBoost/RF on MIMIC-IV or PhysioNet 2019. (2) Apply SHAP global + local explanations. (3) Validate top SHAP features match clinical knowledge (lactate, temp, HR, WBC). (4) Optionally compare SHAP rankings across hospitals using eICU. Target: Frontiers in Medicine or BMC Medical Informatics.</w:t>
      </w:r>
    </w:p>
    <w:p>
      <w:pPr>
        <w:spacing w:before="180" w:after="0"/>
      </w:pPr>
      <w:r>
        <w:t xml:space="preserve"/>
      </w:r>
    </w:p>
    <w:p>
      <w:pPr>
        <w:pBdr>
          <w:bottom w:val="single" w:color="A82828" w:sz="4" w:space="4"/>
        </w:pBdr>
        <w:spacing w:before="400" w:after="80"/>
      </w:pPr>
      <w:r>
        <w:rPr>
          <w:rFonts w:ascii="Arial" w:cs="Arial" w:eastAsia="Arial" w:hAnsi="Arial"/>
          <w:b/>
          <w:bCs/>
          <w:color w:val="1E2A35"/>
          <w:sz w:val="30"/>
          <w:szCs w:val="30"/>
        </w:rPr>
        <w:t xml:space="preserve">4. Algorithmic Fairness &amp; Bias Auditing in Sepsis Models   </w:t>
      </w:r>
      <w:r>
        <w:rPr>
          <w:rFonts w:ascii="Arial" w:cs="Arial" w:eastAsia="Arial" w:hAnsi="Arial"/>
          <w:b/>
          <w:bCs/>
          <w:color w:val="FFFFFF"/>
          <w:sz w:val="18"/>
          <w:szCs w:val="18"/>
          <w:shd w:fill="A82828" w:val="clear"/>
        </w:rPr>
        <w:t xml:space="preserve"> R1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A newer high-traction direction. You don't need to build a new model — you can audit models you build. Key requirement: datasets with demographic information (race, ethnicity, age, sex).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Includes race, ethnicity, gender, insurance type, language, zip code. Large enough for subgroup analysis. Sepsis-3 labels.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Race/ethnicity coding is coarse and self-reported inconsistently. Insurance as socioeconomic proxy is imperfect.</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ICU-only — no ED or ward data to study fairness across care settings.</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Best option for fairness study. Use Fairlearn or AIF360 libraries.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eICU-CRD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Multi-site data. Good for testing geographic/hospital-type fairness. Some demographic variables.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Race/ethnicity less complete than MIMIC-IV. Hospital-level metadata limited.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Large size — may need sampling strategy for subgroup analysis.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Good for hospital-level fairness (rural vs urban, academic vs community). Use alongside MIMIC-IV.</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PhysioNet 2019 Challenge</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Basic demographics: age, gender. Clean sepsis labels.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 race/ethnicity. Very limited demographic granularity.</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Too limited for a full fairness study.</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suitable as primary fairness dataset. Performance benchmarking only.</w:t>
            </w:r>
          </w:p>
        </w:tc>
      </w:tr>
    </w:tbl>
    <w:p>
      <w:pPr>
        <w:spacing w:before="60" w:after="0"/>
      </w:pPr>
      <w:r>
        <w:t xml:space="preserve"/>
      </w:r>
    </w:p>
    <w:p>
      <w:pPr>
        <w:pBdr>
          <w:left w:val="thick" w:color="A82828" w:sz="12" w:space="4"/>
        </w:pBdr>
        <w:shd w:fill="E8F4F8" w:val="clear"/>
        <w:spacing w:before="120" w:after="120"/>
        <w:ind w:left="240" w:right="240"/>
      </w:pPr>
      <w:r>
        <w:rPr>
          <w:rFonts w:ascii="Arial" w:cs="Arial" w:eastAsia="Arial" w:hAnsi="Arial"/>
          <w:b/>
          <w:bCs/>
          <w:color w:val="A82828"/>
          <w:sz w:val="21"/>
          <w:szCs w:val="21"/>
        </w:rPr>
        <w:t xml:space="preserve">Strategy Note:  </w:t>
      </w:r>
      <w:r>
        <w:rPr>
          <w:rFonts w:ascii="Arial" w:cs="Arial" w:eastAsia="Arial" w:hAnsi="Arial"/>
          <w:i/>
          <w:iCs/>
          <w:color w:val="1E2A35"/>
          <w:sz w:val="21"/>
          <w:szCs w:val="21"/>
        </w:rPr>
        <w:t xml:space="preserve">What's missing across ALL datasets: India-specific equity markers — BPL status, urban/rural classification, caste, regional language, healthcare access. None exist in Western datasets. This absence itself is publishable as a commentary on fairness gaps in LMIC AI.</w:t>
      </w:r>
    </w:p>
    <w:p>
      <w:pPr>
        <w:spacing w:before="180" w:after="0"/>
      </w:pPr>
      <w:r>
        <w:t xml:space="preserve"/>
      </w:r>
    </w:p>
    <w:p>
      <w:pPr>
        <w:pBdr>
          <w:bottom w:val="single" w:color="5B2A8A" w:sz="4" w:space="4"/>
        </w:pBdr>
        <w:spacing w:before="400" w:after="80"/>
      </w:pPr>
      <w:r>
        <w:rPr>
          <w:rFonts w:ascii="Arial" w:cs="Arial" w:eastAsia="Arial" w:hAnsi="Arial"/>
          <w:b/>
          <w:bCs/>
          <w:color w:val="1E2A35"/>
          <w:sz w:val="30"/>
          <w:szCs w:val="30"/>
        </w:rPr>
        <w:t xml:space="preserve">5. Federated Learning for Privacy-Preserving Sepsis Models   </w:t>
      </w:r>
      <w:r>
        <w:rPr>
          <w:rFonts w:ascii="Arial" w:cs="Arial" w:eastAsia="Arial" w:hAnsi="Arial"/>
          <w:b/>
          <w:bCs/>
          <w:color w:val="FFFFFF"/>
          <w:sz w:val="18"/>
          <w:szCs w:val="18"/>
          <w:shd w:fill="5B2A8A" w:val="clear"/>
        </w:rPr>
        <w:t xml:space="preserve"> R1 + R2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Federated learning (FL) trains models across hospitals without sharing raw patient data. For a student team, you simulate federation by treating public datasets as separate hospital nodes — this is standard and widely published.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 + eICU-CRD (simulated federation)</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MIMIC-IV (one hospital node) + eICU (208 hospital nodes). Combined 250,000+ patient records.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true federation — you simulate by partitioning. No real communication overhead or privacy guarantees tested in hardware.</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eICU is very large; training all nodes is computationally heavy. Consider sampling to 20-30 hospitals.</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Standard approach. MIMIC-IV + eICU as two nodes is widely published and accepted.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PhysioNet 2019 (split by hospital)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Data from UPenn and Emory — two distinct hospital systems. Can simulate 2-node federation.</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Only 2 nodes — very limited heterogeneity.</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Nothing — clean format makes FL simulation easiest.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Good for simple 2-node FL proof-of-concept. Lower complexity to start.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CHoRUS / OMOP-Formatted Datasets</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Multi-site EHR data standardized to OMOP Common Data Model.</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Access process more complex. Requires data use agreement per site.</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More realistic than simulated FL but significant setup overhead.</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Advanced option if your teacher has hospital collaborations.</w:t>
            </w:r>
          </w:p>
        </w:tc>
      </w:tr>
    </w:tbl>
    <w:p>
      <w:pPr>
        <w:spacing w:before="60" w:after="0"/>
      </w:pPr>
      <w:r>
        <w:t xml:space="preserve"/>
      </w:r>
    </w:p>
    <w:p>
      <w:pPr>
        <w:pBdr>
          <w:left w:val="thick" w:color="5B2A8A" w:sz="12" w:space="4"/>
        </w:pBdr>
        <w:shd w:fill="E8F4F8" w:val="clear"/>
        <w:spacing w:before="120" w:after="120"/>
        <w:ind w:left="240" w:right="240"/>
      </w:pPr>
      <w:r>
        <w:rPr>
          <w:rFonts w:ascii="Arial" w:cs="Arial" w:eastAsia="Arial" w:hAnsi="Arial"/>
          <w:b/>
          <w:bCs/>
          <w:color w:val="5B2A8A"/>
          <w:sz w:val="21"/>
          <w:szCs w:val="21"/>
        </w:rPr>
        <w:t xml:space="preserve">Strategy Note:  </w:t>
      </w:r>
      <w:r>
        <w:rPr>
          <w:rFonts w:ascii="Arial" w:cs="Arial" w:eastAsia="Arial" w:hAnsi="Arial"/>
          <w:i/>
          <w:iCs/>
          <w:color w:val="1E2A35"/>
          <w:sz w:val="21"/>
          <w:szCs w:val="21"/>
        </w:rPr>
        <w:t xml:space="preserve">Use PySyft or Flower (open-source FL frameworks) to simulate federation on your local machine. Train a baseline model centrally vs federated and compare AUROC, F1. The FL + XAI combination (FL training + SHAP analysis) is the specific novelty cited in 2026 literature.</w:t>
      </w:r>
    </w:p>
    <w:p>
      <w:pPr>
        <w:spacing w:before="180" w:after="0"/>
      </w:pPr>
      <w:r>
        <w:t xml:space="preserve"/>
      </w:r>
    </w:p>
    <w:p>
      <w:pPr>
        <w:pBdr>
          <w:bottom w:val="single" w:color="B85C1A" w:sz="4" w:space="4"/>
        </w:pBdr>
        <w:spacing w:before="400" w:after="80"/>
      </w:pPr>
      <w:r>
        <w:rPr>
          <w:rFonts w:ascii="Arial" w:cs="Arial" w:eastAsia="Arial" w:hAnsi="Arial"/>
          <w:b/>
          <w:bCs/>
          <w:color w:val="1E2A35"/>
          <w:sz w:val="30"/>
          <w:szCs w:val="30"/>
        </w:rPr>
        <w:t xml:space="preserve">6. Antimicrobial Resistance (AMR) Prediction &amp; Antibiotic Stewardship   </w:t>
      </w:r>
      <w:r>
        <w:rPr>
          <w:rFonts w:ascii="Arial" w:cs="Arial" w:eastAsia="Arial" w:hAnsi="Arial"/>
          <w:b/>
          <w:bCs/>
          <w:color w:val="FFFFFF"/>
          <w:sz w:val="18"/>
          <w:szCs w:val="18"/>
          <w:shd w:fill="B85C1A" w:val="clear"/>
        </w:rPr>
        <w:t xml:space="preserve"> R1 + R3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Sepsis and AMR are deeply intertwined. Overuse of broad-spectrum antibiotics in empirical sepsis treatment is accelerating resistance. ML for predicting resistance is early-stage and high novelty. The challenge is finding datasets with pathogen + resistance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 (microbiology module)</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Blood culture results, organism names, antibiotic susceptibility test (AST) results, antibiotic administration records. Linked to full patient EHR.</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all patients have cultures. Culture-negative sepsis under-represented. US hospital resistance patterns only.</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Many non-sepsis microbiology entries — filter carefully to sepsis cohort.</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Best option. Contains actual AST results needed for resistance prediction.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PATRIC / NCBI (Genomic AMR)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Pathogen genomes + AMR phenotypes. For predicting resistance from genomic features.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linked to clinical outcomes. Not EHR-based.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Enormous genomic data — overkill unless your focus is specifically genomic AMR.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Only useful if your angle is genomic AMR, not clinical sepsis management.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WHO GLASS / ICMR AMR Surveillance (India)</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India-specific antibiotic resistance surveillance data. ICMR annual AMR reports.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Patient-level data not available publicly. Aggregate statistics only.</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N/A — not a modeling dataset.</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Use as reference to justify Indian context in your paper's introduction/discussion. Not for modeling.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eICU-CRD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Antibiotic administration data. Limited culture/sensitivity data.</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Less complete microbiology than MIMIC-IV. Resistance labels sparse.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Large patient volume but sparse relevant labels.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Secondary only. MIMIC-IV microbiology module is far more complete.</w:t>
            </w:r>
          </w:p>
        </w:tc>
      </w:tr>
    </w:tbl>
    <w:p>
      <w:pPr>
        <w:spacing w:before="60" w:after="0"/>
      </w:pPr>
      <w:r>
        <w:t xml:space="preserve"/>
      </w:r>
    </w:p>
    <w:p>
      <w:pPr>
        <w:pBdr>
          <w:left w:val="thick" w:color="B85C1A" w:sz="12" w:space="4"/>
        </w:pBdr>
        <w:shd w:fill="E8F4F8" w:val="clear"/>
        <w:spacing w:before="120" w:after="120"/>
        <w:ind w:left="240" w:right="240"/>
      </w:pPr>
      <w:r>
        <w:rPr>
          <w:rFonts w:ascii="Arial" w:cs="Arial" w:eastAsia="Arial" w:hAnsi="Arial"/>
          <w:b/>
          <w:bCs/>
          <w:color w:val="B85C1A"/>
          <w:sz w:val="21"/>
          <w:szCs w:val="21"/>
        </w:rPr>
        <w:t xml:space="preserve">Strategy Note:  </w:t>
      </w:r>
      <w:r>
        <w:rPr>
          <w:rFonts w:ascii="Arial" w:cs="Arial" w:eastAsia="Arial" w:hAnsi="Arial"/>
          <w:i/>
          <w:iCs/>
          <w:color w:val="1E2A35"/>
          <w:sz w:val="21"/>
          <w:szCs w:val="21"/>
        </w:rPr>
        <w:t xml:space="preserve">Focus on MIMIC-IV microbiology. Predict likelihood of gram-negative resistance (ESBL, CRE) based on patient admission features — tractable and highly relevant given India's AMR burden. ICMR and WHO GLASS data provide Indian epidemiology context to motivate the paper.</w:t>
      </w:r>
    </w:p>
    <w:p>
      <w:pPr>
        <w:spacing w:before="180" w:after="0"/>
      </w:pPr>
      <w:r>
        <w:t xml:space="preserve"/>
      </w:r>
    </w:p>
    <w:p>
      <w:pPr>
        <w:pBdr>
          <w:bottom w:val="single" w:color="1A6B8A" w:sz="4" w:space="4"/>
        </w:pBdr>
        <w:spacing w:before="400" w:after="80"/>
      </w:pPr>
      <w:r>
        <w:rPr>
          <w:rFonts w:ascii="Arial" w:cs="Arial" w:eastAsia="Arial" w:hAnsi="Arial"/>
          <w:b/>
          <w:bCs/>
          <w:color w:val="1E2A35"/>
          <w:sz w:val="30"/>
          <w:szCs w:val="30"/>
        </w:rPr>
        <w:t xml:space="preserve">7. NLP on Clinical Notes for Early Sepsis Detection   </w:t>
      </w:r>
      <w:r>
        <w:rPr>
          <w:rFonts w:ascii="Arial" w:cs="Arial" w:eastAsia="Arial" w:hAnsi="Arial"/>
          <w:b/>
          <w:bCs/>
          <w:color w:val="FFFFFF"/>
          <w:sz w:val="18"/>
          <w:szCs w:val="18"/>
          <w:shd w:fill="1A6B8A" w:val="clear"/>
        </w:rPr>
        <w:t xml:space="preserve"> R1 + R2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Most sepsis models use only structured data. Clinical notes written by nurses and physicians contain early warning signals not captured in structured fields. NLP/LLM integration for sepsis is almost entirely unexplored.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 with MIMIC-IV-Note</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Full deidentified clinical notes: physician notes, nurse notes, discharge summaries, radiology reports. Linked to structured EHR and Sepsis-3 labels.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Notes are deidentified — names/dates removed. Temporal alignment with vitals needs careful joining. NLP preprocessing is substantial.</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Radiology and echo notes may be irrelevant — focus on nursing notes and ED triage notes for early prediction.</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Only major public dataset with both structured EHR and clinical notes. Essential for this problem.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MTSamples (Medical Transcription Samples)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Publicly available medical transcription examples across specialties.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ICU-specific. Not labeled for sepsis. Not longitudinal.</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Wide specialty range, most irrelevant to sepsis.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Only useful for pre-training NLP models. Not a research dataset.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BioCreative / i2b2 NLP Challenges</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Annotated clinical NLP datasets for entity recognition, relation extraction.</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sepsis-specific. Not linked to outcomes.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Annotation schemas may not align with your specific sepsis NLP task.</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Useful for pre-training a clinical NLP model before applying to MIMIC-IV.</w:t>
            </w:r>
          </w:p>
        </w:tc>
      </w:tr>
    </w:tbl>
    <w:p>
      <w:pPr>
        <w:spacing w:before="60" w:after="0"/>
      </w:pPr>
      <w:r>
        <w:t xml:space="preserve"/>
      </w:r>
    </w:p>
    <w:p>
      <w:pPr>
        <w:pBdr>
          <w:left w:val="thick" w:color="1A6B8A" w:sz="12" w:space="4"/>
        </w:pBdr>
        <w:shd w:fill="E8F4F8" w:val="clear"/>
        <w:spacing w:before="120" w:after="120"/>
        <w:ind w:left="240" w:right="240"/>
      </w:pPr>
      <w:r>
        <w:rPr>
          <w:rFonts w:ascii="Arial" w:cs="Arial" w:eastAsia="Arial" w:hAnsi="Arial"/>
          <w:b/>
          <w:bCs/>
          <w:color w:val="1A6B8A"/>
          <w:sz w:val="21"/>
          <w:szCs w:val="21"/>
        </w:rPr>
        <w:t xml:space="preserve">Strategy Note:  </w:t>
      </w:r>
      <w:r>
        <w:rPr>
          <w:rFonts w:ascii="Arial" w:cs="Arial" w:eastAsia="Arial" w:hAnsi="Arial"/>
          <w:i/>
          <w:iCs/>
          <w:color w:val="1E2A35"/>
          <w:sz w:val="21"/>
          <w:szCs w:val="21"/>
        </w:rPr>
        <w:t xml:space="preserve">(1) Extract key clinical concepts from notes using BioBERT or ClinicalBERT (infection mentions, organ dysfunction signs, antibiotic orders). (2) Combine NLP features with structured vitals/labs. (3) Compare hybrid model vs structured-only baseline. The combination is the novelty.</w:t>
      </w:r>
    </w:p>
    <w:p>
      <w:pPr>
        <w:spacing w:before="180" w:after="0"/>
      </w:pPr>
      <w:r>
        <w:t xml:space="preserve"/>
      </w:r>
    </w:p>
    <w:p>
      <w:pPr>
        <w:pBdr>
          <w:bottom w:val="single" w:color="B85C1A" w:sz="4" w:space="4"/>
        </w:pBdr>
        <w:spacing w:before="400" w:after="80"/>
      </w:pPr>
      <w:r>
        <w:rPr>
          <w:rFonts w:ascii="Arial" w:cs="Arial" w:eastAsia="Arial" w:hAnsi="Arial"/>
          <w:b/>
          <w:bCs/>
          <w:color w:val="1E2A35"/>
          <w:sz w:val="30"/>
          <w:szCs w:val="30"/>
        </w:rPr>
        <w:t xml:space="preserve">8. Reinforcement Learning (RL) for Personalized Sepsis Treatment   </w:t>
      </w:r>
      <w:r>
        <w:rPr>
          <w:rFonts w:ascii="Arial" w:cs="Arial" w:eastAsia="Arial" w:hAnsi="Arial"/>
          <w:b/>
          <w:bCs/>
          <w:color w:val="FFFFFF"/>
          <w:sz w:val="18"/>
          <w:szCs w:val="18"/>
          <w:shd w:fill="B85C1A" w:val="clear"/>
        </w:rPr>
        <w:t xml:space="preserve"> R1 + R2 + R3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RL for sepsis treatment — fluid management, vasopressors, antibiotics — is exciting but technically demanding. The Komorowski et al. 2018 Nature Medicine paper is the benchmark. The key challenge is safe offline RL without real clinical testing.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MIMIC-III / MIMIC-IV</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Full treatment trajectories: IV fluids, vasopressor doses, antibiotic timing, hourly vitals and labs. Sequential patient data for RL. Mortality as reward signal.</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Confounding by indication (clinician decisions based on context not fully recorded). No counterfactual outcomes — you never know what would have happened with a different treatment.</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Non-sepsis patients add noise — extract sepsis cohort carefully. Some treatments are standard of care with no counterfactuals.</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Only real option for RL. Standard in the literature.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eICU-CRD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Similar treatment trajectory data across 208 hospitals. Multi-center adds policy generalizability.</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Treatment protocols vary by hospital — RL may learn hospital-specific rather than patient-specific behavior.</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Heterogeneity may require hospital stratification.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Use for external validation of RL policy after training on MIMIC.</w:t>
            </w:r>
          </w:p>
        </w:tc>
      </w:tr>
    </w:tbl>
    <w:p>
      <w:pPr>
        <w:spacing w:before="60" w:after="0"/>
      </w:pPr>
      <w:r>
        <w:t xml:space="preserve"/>
      </w:r>
    </w:p>
    <w:p>
      <w:pPr>
        <w:pBdr>
          <w:left w:val="thick" w:color="B85C1A" w:sz="12" w:space="4"/>
        </w:pBdr>
        <w:shd w:fill="E8F4F8" w:val="clear"/>
        <w:spacing w:before="120" w:after="120"/>
        <w:ind w:left="240" w:right="240"/>
      </w:pPr>
      <w:r>
        <w:rPr>
          <w:rFonts w:ascii="Arial" w:cs="Arial" w:eastAsia="Arial" w:hAnsi="Arial"/>
          <w:b/>
          <w:bCs/>
          <w:color w:val="B85C1A"/>
          <w:sz w:val="21"/>
          <w:szCs w:val="21"/>
        </w:rPr>
        <w:t xml:space="preserve">Strategy Note:  </w:t>
      </w:r>
      <w:r>
        <w:rPr>
          <w:rFonts w:ascii="Arial" w:cs="Arial" w:eastAsia="Arial" w:hAnsi="Arial"/>
          <w:i/>
          <w:iCs/>
          <w:color w:val="1E2A35"/>
          <w:sz w:val="21"/>
          <w:szCs w:val="21"/>
        </w:rPr>
        <w:t xml:space="preserve">For a student paper, consider pairing RL with a simpler prediction baseline. The dual-channel RL model (current state + treatment history) suggested in Report 3 is feasible but complex — start with a simpler Q-learning baseline on MIMIC-III then iterate.</w:t>
      </w:r>
    </w:p>
    <w:p>
      <w:pPr>
        <w:spacing w:before="180" w:after="0"/>
      </w:pPr>
      <w:r>
        <w:t xml:space="preserve"/>
      </w:r>
    </w:p>
    <w:p>
      <w:pPr>
        <w:pBdr>
          <w:bottom w:val="single" w:color="1D7A4E" w:sz="4" w:space="4"/>
        </w:pBdr>
        <w:spacing w:before="400" w:after="80"/>
      </w:pPr>
      <w:r>
        <w:rPr>
          <w:rFonts w:ascii="Arial" w:cs="Arial" w:eastAsia="Arial" w:hAnsi="Arial"/>
          <w:b/>
          <w:bCs/>
          <w:color w:val="1E2A35"/>
          <w:sz w:val="30"/>
          <w:szCs w:val="30"/>
        </w:rPr>
        <w:t xml:space="preserve">9. Sepsis Subphenotyping / Endotype Discovery (Unsupervised ML)   </w:t>
      </w:r>
      <w:r>
        <w:rPr>
          <w:rFonts w:ascii="Arial" w:cs="Arial" w:eastAsia="Arial" w:hAnsi="Arial"/>
          <w:b/>
          <w:bCs/>
          <w:color w:val="FFFFFF"/>
          <w:sz w:val="18"/>
          <w:szCs w:val="18"/>
          <w:shd w:fill="1D7A4E" w:val="clear"/>
        </w:rPr>
        <w:t xml:space="preserve"> R2 + R3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Sepsis is heterogeneous — not all patients respond to the same treatment. Unsupervised clustering can find hidden patient subtypes. This is publishable even without novel ML methods if the clinical validation of clusters is strong.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Rich multivariate ICU data. Inflammatory labs (CRP, procalcitonin in some entries), immune markers, vitals, demographics. Sufficient for clinical clustering.</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 multi-omics (genomics, proteomics, metabolomics). ICU-only — misses early sepsis in ED or wards.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Large feature space — use dimensionality reduction (PCA, UMAP) before clustering.</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Best for clinical subphenotyping using routine labs + vitals.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PhysioNet 2019 Challenge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Clean labeled hourly data. Good for temporal trajectory-based clustering.</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Fewer features than MIMIC-IV. No notes or medications.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Nothing — well curated.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Good secondary. Useful for validating clusters found in MIMIC.</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GEO (Gene Expression Omnibus)</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Genomic and transcriptomic expression data from sepsis patients. Used for immune endotype discovery (SRS1/SRS2).</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Not linked to clinical outcomes or EHR. Requires bioinformatics expertise.</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Massive genomic data — far beyond routine ML scope.</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Advanced option — mention as future work (multi-omics extension) in your discussion.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eICU-CRD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Large multi-center dataset. Cross-validating clusters across hospital types adds strength.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Some variables sparse across sites.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Very large — consider sampling if computationally constrained.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Use to validate that clusters found in MIMIC also appear across different hospital contexts.</w:t>
            </w:r>
          </w:p>
        </w:tc>
      </w:tr>
    </w:tbl>
    <w:p>
      <w:pPr>
        <w:spacing w:before="60" w:after="0"/>
      </w:pPr>
      <w:r>
        <w:t xml:space="preserve"/>
      </w:r>
    </w:p>
    <w:p>
      <w:pPr>
        <w:pBdr>
          <w:left w:val="thick" w:color="1D7A4E" w:sz="12" w:space="4"/>
        </w:pBdr>
        <w:shd w:fill="E8F4F8" w:val="clear"/>
        <w:spacing w:before="120" w:after="120"/>
        <w:ind w:left="240" w:right="240"/>
      </w:pPr>
      <w:r>
        <w:rPr>
          <w:rFonts w:ascii="Arial" w:cs="Arial" w:eastAsia="Arial" w:hAnsi="Arial"/>
          <w:b/>
          <w:bCs/>
          <w:color w:val="1D7A4E"/>
          <w:sz w:val="21"/>
          <w:szCs w:val="21"/>
        </w:rPr>
        <w:t xml:space="preserve">Strategy Note:  </w:t>
      </w:r>
      <w:r>
        <w:rPr>
          <w:rFonts w:ascii="Arial" w:cs="Arial" w:eastAsia="Arial" w:hAnsi="Arial"/>
          <w:i/>
          <w:iCs/>
          <w:color w:val="1E2A35"/>
          <w:sz w:val="21"/>
          <w:szCs w:val="21"/>
        </w:rPr>
        <w:t xml:space="preserve">Cluster MIMIC-IV sepsis patients using K-means or hierarchical clustering on labs + vitals. Validate clusters by showing significantly different mortality, ICU LOS, or treatment responses (Kaplan-Meier survival curves). This clinical validation is what makes a subphenotyping paper publishable.</w:t>
      </w:r>
    </w:p>
    <w:p>
      <w:pPr>
        <w:spacing w:before="180" w:after="0"/>
      </w:pPr>
      <w:r>
        <w:t xml:space="preserve"/>
      </w:r>
    </w:p>
    <w:p>
      <w:pPr>
        <w:pBdr>
          <w:bottom w:val="single" w:color="A82828" w:sz="4" w:space="4"/>
        </w:pBdr>
        <w:spacing w:before="400" w:after="80"/>
      </w:pPr>
      <w:r>
        <w:rPr>
          <w:rFonts w:ascii="Arial" w:cs="Arial" w:eastAsia="Arial" w:hAnsi="Arial"/>
          <w:b/>
          <w:bCs/>
          <w:color w:val="1E2A35"/>
          <w:sz w:val="30"/>
          <w:szCs w:val="30"/>
        </w:rPr>
        <w:t xml:space="preserve">10. Sepsis in Special Populations (Burns, Neonates, Oncology)   </w:t>
      </w:r>
      <w:r>
        <w:rPr>
          <w:rFonts w:ascii="Arial" w:cs="Arial" w:eastAsia="Arial" w:hAnsi="Arial"/>
          <w:b/>
          <w:bCs/>
          <w:color w:val="FFFFFF"/>
          <w:sz w:val="18"/>
          <w:szCs w:val="18"/>
          <w:shd w:fill="A82828" w:val="clear"/>
        </w:rPr>
        <w:t xml:space="preserve"> R3 </w:t>
      </w:r>
    </w:p>
    <w:p>
      <w:pPr>
        <w:spacing w:before="60" w:after="0"/>
      </w:pPr>
      <w:r>
        <w:t xml:space="preserve"/>
      </w:r>
    </w:p>
    <w:p>
      <w:pPr>
        <w:spacing w:before="60" w:after="80"/>
        <w:jc w:val="left"/>
      </w:pPr>
      <w:r>
        <w:rPr>
          <w:rFonts w:ascii="Arial" w:cs="Arial" w:eastAsia="Arial" w:hAnsi="Arial"/>
          <w:b w:val="false"/>
          <w:bCs w:val="false"/>
          <w:i w:val="false"/>
          <w:iCs w:val="false"/>
          <w:color w:val="1E2A35"/>
          <w:sz w:val="22"/>
          <w:szCs w:val="22"/>
        </w:rPr>
        <w:t xml:space="preserve">Most AI models are trained on general adult ICU populations. Building models for specific high-risk groups is smaller-scope but highly targeted and publishable — smaller sample sizes are expected and accepted in the literature.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80"/>
        <w:gridCol w:w="1980"/>
        <w:gridCol w:w="1700"/>
      </w:tblGrid>
      <w:tr>
        <w:tc>
          <w:tcPr>
            <w:tcW w:type="dxa" w:w="15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Dataset</w:t>
            </w:r>
          </w:p>
        </w:tc>
        <w:tc>
          <w:tcPr>
            <w:tcW w:type="dxa" w:w="22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Contains</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What's Missing</w:t>
            </w:r>
          </w:p>
        </w:tc>
        <w:tc>
          <w:tcPr>
            <w:tcW w:type="dxa" w:w="198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What May Be Extra</w:t>
            </w:r>
          </w:p>
        </w:tc>
        <w:tc>
          <w:tcPr>
            <w:tcW w:type="dxa" w:w="17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spacing w:before="0" w:after="0"/>
              <w:jc w:val="left"/>
            </w:pPr>
            <w:r>
              <w:rPr>
                <w:rFonts w:ascii="Arial" w:cs="Arial" w:eastAsia="Arial" w:hAnsi="Arial"/>
                <w:b/>
                <w:bCs/>
                <w:i w:val="false"/>
                <w:iCs w:val="false"/>
                <w:color w:val="FFFFFF"/>
                <w:sz w:val="19"/>
                <w:szCs w:val="19"/>
              </w:rPr>
              <w:t xml:space="preserve">Fit</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MIMIC-IV (filtered cohort)</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Can extract burn patients (ICD codes), oncology patients, immunocompromised patients by diagnosis filtering. All standard ICU data available.</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Burn-specific data (TBSA — total body surface area burned) is not explicitly coded. Requires extraction from notes or procedure codes.</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Non-special-population patients must be excluded — reduces effective sample size significantly.</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Feasible with careful cohort definition. TBSA extraction from notes is doable with simple regex.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National Burn Repository (ABA)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 burn-specific data. Contains TBSA, inhalation injury, sepsis complications.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Access requires American Burn Association membership application. Not openly accessible.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US burn unit data only — limited generalizability.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Worth applying for if burn sepsis is your specific focus.</w:t>
            </w:r>
          </w:p>
        </w:tc>
      </w:tr>
      <w:tr>
        <w:tc>
          <w:tcPr>
            <w:tcW w:type="dxa" w:w="15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bCs/>
                <w:i w:val="false"/>
                <w:iCs w:val="false"/>
                <w:color w:val="1A6B8A"/>
                <w:sz w:val="19"/>
                <w:szCs w:val="19"/>
              </w:rPr>
              <w:t xml:space="preserve">PIC Database (Pediatric/Neonatal)</w:t>
            </w:r>
          </w:p>
        </w:tc>
        <w:tc>
          <w:tcPr>
            <w:tcW w:type="dxa" w:w="22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As in Section 1 — pediatric ICU from China. Best public pediatric dataset.</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Small neonatal sub-cohort. Single center.</w:t>
            </w:r>
          </w:p>
        </w:tc>
        <w:tc>
          <w:tcPr>
            <w:tcW w:type="dxa" w:w="198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N/A</w:t>
            </w:r>
          </w:p>
        </w:tc>
        <w:tc>
          <w:tcPr>
            <w:tcW w:type="dxa" w:w="1700"/>
            <w:tcBorders>
              <w:top w:val="single" w:color="CCCCCC" w:sz="1"/>
              <w:left w:val="single" w:color="CCCCCC" w:sz="1"/>
              <w:bottom w:val="single" w:color="CCCCCC" w:sz="1"/>
              <w:right w:val="single" w:color="CCCCCC" w:sz="1"/>
            </w:tcBorders>
            <w:shd w:fill="F5FBFD" w:val="clear"/>
            <w:tcMar>
              <w:top w:type="dxa" w:w="80"/>
              <w:left w:type="dxa" w:w="100"/>
              <w:bottom w:type="dxa" w:w="80"/>
              <w:right w:type="dxa" w:w="100"/>
            </w:tcMar>
          </w:tcPr>
          <w:p>
            <w:pPr>
              <w:spacing w:before="0" w:after="0"/>
              <w:jc w:val="left"/>
            </w:pPr>
            <w:r>
              <w:rPr>
                <w:rFonts w:ascii="Arial" w:cs="Arial" w:eastAsia="Arial" w:hAnsi="Arial"/>
                <w:b w:val="false"/>
                <w:bCs w:val="false"/>
                <w:i w:val="false"/>
                <w:iCs w:val="false"/>
                <w:color w:val="1E2A35"/>
                <w:sz w:val="19"/>
                <w:szCs w:val="19"/>
              </w:rPr>
              <w:t xml:space="preserve">See Section 1 for full breakdown. Primary for pediatric special population work.</w:t>
            </w:r>
          </w:p>
        </w:tc>
      </w:tr>
    </w:tbl>
    <w:p>
      <w:pPr>
        <w:spacing w:before="60" w:after="0"/>
      </w:pPr>
      <w:r>
        <w:t xml:space="preserve"/>
      </w:r>
    </w:p>
    <w:p>
      <w:pPr>
        <w:pBdr>
          <w:left w:val="thick" w:color="A82828" w:sz="12" w:space="4"/>
        </w:pBdr>
        <w:shd w:fill="E8F4F8" w:val="clear"/>
        <w:spacing w:before="120" w:after="120"/>
        <w:ind w:left="240" w:right="240"/>
      </w:pPr>
      <w:r>
        <w:rPr>
          <w:rFonts w:ascii="Arial" w:cs="Arial" w:eastAsia="Arial" w:hAnsi="Arial"/>
          <w:b/>
          <w:bCs/>
          <w:color w:val="A82828"/>
          <w:sz w:val="21"/>
          <w:szCs w:val="21"/>
        </w:rPr>
        <w:t xml:space="preserve">Strategy Note:  </w:t>
      </w:r>
      <w:r>
        <w:rPr>
          <w:rFonts w:ascii="Arial" w:cs="Arial" w:eastAsia="Arial" w:hAnsi="Arial"/>
          <w:i/>
          <w:iCs/>
          <w:color w:val="1E2A35"/>
          <w:sz w:val="21"/>
          <w:szCs w:val="21"/>
        </w:rPr>
        <w:t xml:space="preserve">Use MIMIC-IV with strict ICD-code cohort filtering. Sample sizes of 200-500 patients are normal and acceptable for special populations — reviewers expect this. Simpler ML models (logistic regression, XGBoost) are appropriate and expected at this scale.</w:t>
      </w:r>
    </w:p>
    <w:p>
      <w:pPr>
        <w:spacing w:before="120" w:after="0"/>
      </w:pPr>
      <w:r>
        <w:t xml:space="preserve"/>
      </w:r>
    </w:p>
    <w:p>
      <w:pPr>
        <w:pBdr>
          <w:bottom w:val="single" w:color="1A6B8A" w:sz="6" w:space="6"/>
        </w:pBdr>
        <w:spacing w:before="500" w:after="160"/>
      </w:pPr>
      <w:r>
        <w:rPr>
          <w:rFonts w:ascii="Arial" w:cs="Arial" w:eastAsia="Arial" w:hAnsi="Arial"/>
          <w:b/>
          <w:bCs/>
          <w:color w:val="1A6B8A"/>
          <w:sz w:val="36"/>
          <w:szCs w:val="36"/>
        </w:rPr>
        <w:t xml:space="preserve">What's Consistently MISSING Across All Datasets</w:t>
      </w:r>
    </w:p>
    <w:p>
      <w:pPr>
        <w:spacing w:before="60" w:after="80"/>
        <w:jc w:val="left"/>
      </w:pPr>
      <w:r>
        <w:rPr>
          <w:rFonts w:ascii="Arial" w:cs="Arial" w:eastAsia="Arial" w:hAnsi="Arial"/>
          <w:b w:val="false"/>
          <w:bCs w:val="false"/>
          <w:i w:val="false"/>
          <w:iCs w:val="false"/>
          <w:color w:val="1E2A35"/>
          <w:sz w:val="22"/>
          <w:szCs w:val="22"/>
        </w:rPr>
        <w:t xml:space="preserve">Regardless of the specific problem, all major public datasets share these structural gaps:</w:t>
      </w:r>
    </w:p>
    <w:p>
      <w:pPr>
        <w:spacing w:before="6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India/LMIC representation — MIMIC, eICU, and PhysioNet 2019 are all US-based. None contain Indian hospital data, patients with tropical infections (dengue, malaria co-infection), malnutrition-related sepsis, or Indian antibiotic resistance profiles.</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Socioeconomic &amp; structural determinants — No dataset contains BPL status, urban/rural healthcare access in India, sanitation-related infection exposures, or caste-based health disparities.</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Long-term follow-up — All datasets end at hospital discharge. 30-day, 90-day, and 1-year outcomes (rehospitalization, cognitive decline, long-term mortality) are missing in almost all cases.</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Non-ICU sepsis presentations — Most data is ICU-specific. Sepsis in EDs, general wards, or outpatient settings is nearly absent, despite being where early intervention matters most.</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Wearable / IoT continuous streams — No public dataset contains continuous wearable biosensor data (SpO2, skin temp, continuous ECG) linked to sepsis outcomes.</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Pediatric + neonatal data at scale — PIC Database is the only public option. Neonatal ICU data from LMICs essentially does not exist in the public domain.</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Multi-omic data (genomics, proteomics, metabolomics) — Exist in GEO/NCBI but are not linked to EHR or clinical outcomes, and require bioinformatics expertise beyond typical ML work.</w:t>
      </w:r>
    </w:p>
    <w:p>
      <w:pPr>
        <w:spacing w:before="120" w:after="0"/>
      </w:pPr>
      <w:r>
        <w:t xml:space="preserve"/>
      </w:r>
    </w:p>
    <w:p>
      <w:pPr>
        <w:pBdr>
          <w:bottom w:val="single" w:color="1A6B8A" w:sz="6" w:space="6"/>
        </w:pBdr>
        <w:spacing w:before="500" w:after="160"/>
      </w:pPr>
      <w:r>
        <w:rPr>
          <w:rFonts w:ascii="Arial" w:cs="Arial" w:eastAsia="Arial" w:hAnsi="Arial"/>
          <w:b/>
          <w:bCs/>
          <w:color w:val="1A6B8A"/>
          <w:sz w:val="36"/>
          <w:szCs w:val="36"/>
        </w:rPr>
        <w:t xml:space="preserve">What's Consistently EXTRA in Datasets (and How to Handle It)</w:t>
      </w:r>
    </w:p>
    <w:p>
      <w:pPr>
        <w:spacing w:before="60" w:after="80"/>
        <w:jc w:val="left"/>
      </w:pPr>
      <w:r>
        <w:rPr>
          <w:rFonts w:ascii="Arial" w:cs="Arial" w:eastAsia="Arial" w:hAnsi="Arial"/>
          <w:b w:val="false"/>
          <w:bCs w:val="false"/>
          <w:i w:val="false"/>
          <w:iCs w:val="false"/>
          <w:color w:val="1E2A35"/>
          <w:sz w:val="22"/>
          <w:szCs w:val="22"/>
        </w:rPr>
        <w:t xml:space="preserve">These are features or data elements often present in public datasets but may be irrelevant or harmful for specific problems:</w:t>
      </w:r>
    </w:p>
    <w:p>
      <w:pPr>
        <w:spacing w:before="6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Hundreds of rarely-populated lab features — MIMIC-IV has 200+ lab variables but many have over 80% missingness. Select only 15-25 key features. Apply a missingness threshold filter as a first preprocessing step.</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Non-sepsis admissions — MIMIC-IV and eICU contain all ICU admissions. Always define your sepsis cohort using Sepsis-3 criteria (ICD codes + organ dysfunction score). Never train on all ICU patients without filtering.</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Elective surgical / post-operative patients — Many ICU admissions are post-surgical, behaving very differently from infection-driven sepsis. Exclude or stratify explicitly.</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Redundant temporal data — Hourly data means thousands of rows per patient. For most ML models, aggregating to 6-hour windows or using only admission-hour features reduces noise significantly.</w:t>
      </w:r>
    </w:p>
    <w:p>
      <w:pPr>
        <w:pStyle w:val="ListParagraph"/>
        <w:numPr>
          <w:ilvl w:val="0"/>
          <w:numId w:val="2"/>
        </w:numPr>
        <w:spacing w:before="40" w:after="40"/>
      </w:pPr>
      <w:r>
        <w:rPr>
          <w:rFonts w:ascii="Arial" w:cs="Arial" w:eastAsia="Arial" w:hAnsi="Arial"/>
          <w:b w:val="false"/>
          <w:bCs w:val="false"/>
          <w:i w:val="false"/>
          <w:iCs w:val="false"/>
          <w:color w:val="1E2A35"/>
          <w:sz w:val="22"/>
          <w:szCs w:val="22"/>
        </w:rPr>
        <w:t xml:space="preserve">Hospital administrative data — Cost codes, billing data, insurance flags are present but usually irrelevant to clinical prediction. Only relevant for fairness and socioeconomic analysis.</w:t>
      </w:r>
    </w:p>
    <w:p>
      <w:pPr>
        <w:spacing w:before="120" w:after="0"/>
      </w:pPr>
      <w:r>
        <w:t xml:space="preserve"/>
      </w:r>
    </w:p>
    <w:p>
      <w:pPr>
        <w:spacing w:before="200"/>
        <w:jc w:val="center"/>
      </w:pPr>
      <w:r>
        <w:rPr>
          <w:rFonts w:ascii="Arial" w:cs="Arial" w:eastAsia="Arial" w:hAnsi="Arial"/>
          <w:i/>
          <w:iCs/>
          <w:color w:val="888888"/>
          <w:sz w:val="20"/>
          <w:szCs w:val="20"/>
        </w:rPr>
        <w:t xml:space="preserve">— End of Dataset Guide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8A" w:sz="4" w:space="4"/>
      </w:pBdr>
    </w:pPr>
    <w:r>
      <w:rPr>
        <w:rFonts w:ascii="Arial" w:cs="Arial" w:eastAsia="Arial" w:hAnsi="Arial"/>
        <w:color w:val="888888"/>
        <w:sz w:val="16"/>
        <w:szCs w:val="16"/>
      </w:rPr>
      <w:t xml:space="preserve">Key Datasets: MIMIC-IV, eICU-CRD, PhysioNet 2019, PIC Database, MIMIC-IV-Note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4" w:space="4"/>
      </w:pBdr>
    </w:pPr>
    <w:r>
      <w:rPr>
        <w:rFonts w:ascii="Arial" w:cs="Arial" w:eastAsia="Arial" w:hAnsi="Arial"/>
        <w:color w:val="1A6B8A"/>
        <w:sz w:val="18"/>
        <w:szCs w:val="18"/>
      </w:rPr>
      <w:t xml:space="preserve">Sepsis AI/ML — Dataset Guide by Research Problem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160"/>
      <w:outlineLvl w:val="0"/>
    </w:pPr>
    <w:rPr>
      <w:rFonts w:ascii="Arial" w:cs="Arial" w:eastAsia="Arial" w:hAnsi="Arial"/>
      <w:b/>
      <w:bCs/>
      <w:color w:val="1A6B8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2026-02-28T05:22:40.655Z</dcterms:created>
  <dcterms:modified xsi:type="dcterms:W3CDTF">2026-02-28T05:22:40.656Z</dcterms:modified>
</cp:coreProperties>
</file>

<file path=docProps/custom.xml><?xml version="1.0" encoding="utf-8"?>
<Properties xmlns="http://schemas.openxmlformats.org/officeDocument/2006/custom-properties" xmlns:vt="http://schemas.openxmlformats.org/officeDocument/2006/docPropsVTypes"/>
</file>