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56db"/>
          <w:sz w:val="40"/>
          <w:szCs w:val="40"/>
        </w:rPr>
        <w:t xml:space="preserve">RESEARCH METHODOLOGY DEVELOPMENT LOG</w:t>
      </w:r>
    </w:p>
    <w:p>
      <w:pPr>
        <w:spacing w:after="100" w:before="0"/>
        <w:jc w:val="center"/>
      </w:pPr>
      <w:r>
        <w:rPr>
          <w:rFonts w:ascii="Arial" w:cs="Arial" w:eastAsia="Arial" w:hAnsi="Arial"/>
          <w:b/>
          <w:bCs/>
          <w:color w:val="1e293b"/>
          <w:sz w:val="28"/>
          <w:szCs w:val="28"/>
        </w:rPr>
        <w:t xml:space="preserve">Part IV — Evaluation, Explainability &amp; Sensitivity Analysis</w:t>
      </w:r>
    </w:p>
    <w:p>
      <w:pPr>
        <w:spacing w:after="400" w:before="0"/>
        <w:jc w:val="center"/>
      </w:pPr>
      <w:r>
        <w:rPr>
          <w:rFonts w:ascii="Arial" w:cs="Arial" w:eastAsia="Arial" w:hAnsi="Arial"/>
          <w:color w:val="64748b"/>
          <w:sz w:val="22"/>
          <w:szCs w:val="22"/>
        </w:rPr>
        <w:t xml:space="preserve">Early Prediction of Pediatric Sepsis Using Explainable AI on the PIC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Authors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Tanish Porwal &amp; Uzair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Institution</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NMIMS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Document Type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Internal Research Development Log — Part IV</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Continues from</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Parts I, II &amp; III</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Date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April 2026</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Phases Covered</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3 (Evaluation), Phase 4 (SHAP), Phase 5 (Sensitivity Analysis)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Primary Dataset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Option B — Infection-only cohort (PIC v1.1.0)</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Primary Model</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Tuned CatBoost (Optuna, 100 trials) — AUROC 0.9868</w:t>
            </w:r>
          </w:p>
        </w:tc>
      </w:tr>
    </w:tbl>
    <w:p>
      <w:r>
        <w:br w:type="page"/>
      </w:r>
    </w:p>
    <w:p>
      <w:pPr>
        <w:pStyle w:val="Heading1"/>
        <w:pBdr>
          <w:bottom w:val="single" w:color="1a56db" w:sz="6" w:space="4"/>
        </w:pBdr>
        <w:spacing w:after="140" w:before="400"/>
      </w:pPr>
      <w:r>
        <w:rPr>
          <w:rFonts w:ascii="Arial" w:cs="Arial" w:eastAsia="Arial" w:hAnsi="Arial"/>
          <w:b/>
          <w:bCs/>
          <w:color w:val="1e293b"/>
          <w:sz w:val="30"/>
          <w:szCs w:val="30"/>
        </w:rPr>
        <w:t xml:space="preserve">1. Context Bridge — Where Part III Ended</w:t>
      </w:r>
    </w:p>
    <w:p>
      <w:pPr>
        <w:spacing w:after="80" w:before="80"/>
      </w:pPr>
      <w:r>
        <w:rPr>
          <w:rFonts w:ascii="Arial" w:cs="Arial" w:eastAsia="Arial" w:hAnsi="Arial"/>
          <w:b w:val="false"/>
          <w:bCs w:val="false"/>
          <w:i w:val="false"/>
          <w:iCs w:val="false"/>
          <w:color w:val="1e293b"/>
          <w:sz w:val="20"/>
          <w:szCs w:val="20"/>
        </w:rPr>
        <w:t xml:space="preserve">Parts I, II, and III documented raw data exploration, cohort extraction, Phoenix 2024 scoring, the full preprocessing pipeline rebuild (Steps 1–6), and the complete modelling pipeline through Phase 2. This document begins from the decision of what phases to execute next, covering all evaluation, explainability, and sensitivity analysis work.</w:t>
      </w:r>
    </w:p>
    <w:p>
      <w:pPr>
        <w:spacing w:after="60" w:before="60"/>
      </w:pPr>
      <w:r>
        <w:t xml:space="preserve"/>
      </w:r>
    </w:p>
    <w:p>
      <w:pPr>
        <w:pStyle w:val="Heading2"/>
        <w:spacing w:after="80" w:before="280"/>
      </w:pPr>
      <w:r>
        <w:rPr>
          <w:rFonts w:ascii="Arial" w:cs="Arial" w:eastAsia="Arial" w:hAnsi="Arial"/>
          <w:b/>
          <w:bCs/>
          <w:color w:val="1a56db"/>
          <w:sz w:val="24"/>
          <w:szCs w:val="24"/>
        </w:rPr>
        <w:t xml:space="preserve">1.1 State at Start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9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Key Result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Preprocessing pipeline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Complete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225 leakage-clean features, 80 columns removed</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Primary dataset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Option B (infection-only)</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2,530 train / 633 test, 27.3% sepsis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Baseline training (Phase 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Complete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CatBoost AUROC 0.9863, 6 models compared</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CatBoost tuning (Phase 2A)</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Complete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AUROC 0.9868, Optuna 100 trials, AUPRC optimised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Ensemble (Phase 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Complete — rejected</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Underperformed tuned CatBoost (AUROC 0.9851)</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Custom loss (Phase 2)</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Complete — rejected</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Significantly worse (p=0.0008, AUROC 0.9674)</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Primary model confirmed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Tuned CatBoost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AUROC 0.9868 [0.9794–0.9931]</w:t>
            </w:r>
          </w:p>
        </w:tc>
      </w:tr>
    </w:tbl>
    <w:p>
      <w:pPr>
        <w:spacing w:after="60" w:before="60"/>
      </w:pPr>
      <w:r>
        <w:t xml:space="preserve"/>
      </w:r>
    </w:p>
    <w:p>
      <w:r>
        <w:br w:type="page"/>
      </w:r>
    </w:p>
    <w:p>
      <w:pPr>
        <w:pStyle w:val="Heading1"/>
        <w:pBdr>
          <w:bottom w:val="single" w:color="1a56db" w:sz="6" w:space="4"/>
        </w:pBdr>
        <w:spacing w:after="140" w:before="400"/>
      </w:pPr>
      <w:r>
        <w:rPr>
          <w:rFonts w:ascii="Arial" w:cs="Arial" w:eastAsia="Arial" w:hAnsi="Arial"/>
          <w:b/>
          <w:bCs/>
          <w:color w:val="1e293b"/>
          <w:sz w:val="30"/>
          <w:szCs w:val="30"/>
        </w:rPr>
        <w:t xml:space="preserve">2. Planning Discussion — Next Phase Decisions</w:t>
      </w:r>
    </w:p>
    <w:p>
      <w:pPr>
        <w:pStyle w:val="Heading2"/>
        <w:spacing w:after="80" w:before="280"/>
      </w:pPr>
      <w:r>
        <w:rPr>
          <w:rFonts w:ascii="Arial" w:cs="Arial" w:eastAsia="Arial" w:hAnsi="Arial"/>
          <w:b/>
          <w:bCs/>
          <w:color w:val="1a56db"/>
          <w:sz w:val="24"/>
          <w:szCs w:val="24"/>
        </w:rPr>
        <w:t xml:space="preserve">2.1 Discussion: Understanding the Feature Set</w:t>
      </w:r>
    </w:p>
    <w:p>
      <w:pPr>
        <w:spacing w:after="80" w:before="80"/>
      </w:pPr>
      <w:r>
        <w:rPr>
          <w:rFonts w:ascii="Arial" w:cs="Arial" w:eastAsia="Arial" w:hAnsi="Arial"/>
          <w:b w:val="false"/>
          <w:bCs w:val="false"/>
          <w:i w:val="false"/>
          <w:iCs w:val="false"/>
          <w:color w:val="1e293b"/>
          <w:sz w:val="20"/>
          <w:szCs w:val="20"/>
        </w:rPr>
        <w:t xml:space="preserve">Before proceeding, a clarifying discussion was held about which features the model was actually using relative to the Phoenix score components. This discussion is documented because it informed the framing of results for the paper.</w:t>
      </w:r>
    </w:p>
    <w:p>
      <w:pPr>
        <w:spacing w:after="60" w:before="60"/>
      </w:pPr>
      <w:r>
        <w:t xml:space="preserve"/>
      </w:r>
    </w:p>
    <w:p>
      <w:pPr>
        <w:pStyle w:val="Heading3"/>
        <w:spacing w:after="60" w:before="200"/>
      </w:pPr>
      <w:r>
        <w:rPr>
          <w:rFonts w:ascii="Arial" w:cs="Arial" w:eastAsia="Arial" w:hAnsi="Arial"/>
          <w:b/>
          <w:bCs/>
          <w:color w:val="1e293b"/>
          <w:sz w:val="22"/>
          <w:szCs w:val="22"/>
        </w:rPr>
        <w:t xml:space="preserve">Phoenix Score Coverage in the 225-Feature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4560"/>
      </w:tblGrid>
      <w:tr>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Phoenix Component</w:t>
            </w:r>
          </w:p>
        </w:tc>
        <w:tc>
          <w:tcPr>
            <w:tcW w:type="dxa" w:w="1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Max Points</w:t>
            </w:r>
          </w:p>
        </w:tc>
        <w:tc>
          <w:tcPr>
            <w:tcW w:type="dxa" w:w="1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Model Coverage</w:t>
            </w:r>
          </w:p>
        </w:tc>
        <w:tc>
          <w:tcPr>
            <w:tcW w:type="dxa" w:w="4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Variables Present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Respiratory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None (0%)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FiO2 and ventilation absent from PIC entirely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Cardiovascular</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6</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Partial (67%)</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lactate, MAP present; vasoactives dropped (leakage)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Coagulation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Full (100%)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platelets, INR, D-dimer, fibrinogen — all 5 stats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Neurological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2</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None (0%)</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GCS absent from PIC entirely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Endocrine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Full (100%)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glucose_max, glucose_min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Immunologic</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1</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Full (100%)</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ANC, ALC</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Renal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Full (100%)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creatinine_max (age-adjusted)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Hepatic</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1</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Full (100%)</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bilirubin_max, ALT_max</w:t>
            </w:r>
          </w:p>
        </w:tc>
      </w:tr>
    </w:tbl>
    <w:p>
      <w:pPr>
        <w:spacing w:after="60" w:before="60"/>
      </w:pPr>
      <w:r>
        <w:t xml:space="preserve"/>
      </w:r>
    </w:p>
    <w:p>
      <w:pPr>
        <w:shd w:fill="dbeafe" w:val="clear"/>
        <w:spacing w:after="120" w:before="120"/>
        <w:ind w:left="160" w:right="160"/>
      </w:pPr>
      <w:r>
        <w:rPr>
          <w:rFonts w:ascii="Arial" w:cs="Arial" w:eastAsia="Arial" w:hAnsi="Arial"/>
          <w:b/>
          <w:bCs/>
          <w:color w:val="1e293b"/>
          <w:sz w:val="20"/>
          <w:szCs w:val="20"/>
        </w:rPr>
        <w:t xml:space="preserve">KEY INSIGHT: </w:t>
      </w:r>
      <w:r>
        <w:rPr>
          <w:rFonts w:ascii="Arial" w:cs="Arial" w:eastAsia="Arial" w:hAnsi="Arial"/>
          <w:color w:val="1e293b"/>
          <w:sz w:val="20"/>
          <w:szCs w:val="20"/>
        </w:rPr>
        <w:t xml:space="preserve">Vasoactives were correctly dropped despite being a Phoenix cardiovascular input. Vasoactives are a treatment decision (doctor's response) not raw physiology. Lactate and MAP capture the same cardiovascular dysfunction without the circularity of using label-construction components as features.</w:t>
      </w:r>
    </w:p>
    <w:p>
      <w:pPr>
        <w:shd w:fill="ffedd5" w:val="clear"/>
        <w:spacing w:after="120" w:before="120"/>
        <w:ind w:left="160" w:right="160"/>
      </w:pPr>
      <w:r>
        <w:rPr>
          <w:rFonts w:ascii="Arial" w:cs="Arial" w:eastAsia="Arial" w:hAnsi="Arial"/>
          <w:b/>
          <w:bCs/>
          <w:color w:val="1e293b"/>
          <w:sz w:val="20"/>
          <w:szCs w:val="20"/>
        </w:rPr>
        <w:t xml:space="preserve">PAPER NOTE: </w:t>
      </w:r>
      <w:r>
        <w:rPr>
          <w:rFonts w:ascii="Arial" w:cs="Arial" w:eastAsia="Arial" w:hAnsi="Arial"/>
          <w:color w:val="1e293b"/>
          <w:sz w:val="20"/>
          <w:szCs w:val="20"/>
        </w:rPr>
        <w:t xml:space="preserve">The model uses a richer signal than Phoenix itself — additional variables include CRP, LDH, CK, AST, PTT, PT, base excess, bicarbonate, pH, anion gap, shock index, urine output, fluid balance, trend features, and age-adjusted vital flags. This should be stated explicitly in the methods section.</w:t>
      </w:r>
    </w:p>
    <w:p>
      <w:pPr>
        <w:spacing w:after="60" w:before="60"/>
      </w:pPr>
      <w:r>
        <w:t xml:space="preserve"/>
      </w:r>
    </w:p>
    <w:p>
      <w:pPr>
        <w:pStyle w:val="Heading2"/>
        <w:spacing w:after="80" w:before="280"/>
      </w:pPr>
      <w:r>
        <w:rPr>
          <w:rFonts w:ascii="Arial" w:cs="Arial" w:eastAsia="Arial" w:hAnsi="Arial"/>
          <w:b/>
          <w:bCs/>
          <w:color w:val="1a56db"/>
          <w:sz w:val="24"/>
          <w:szCs w:val="24"/>
        </w:rPr>
        <w:t xml:space="preserve">2.2 Phase Sequencing Decision</w:t>
      </w:r>
    </w:p>
    <w:p>
      <w:pPr>
        <w:spacing w:after="80" w:before="80"/>
      </w:pPr>
      <w:r>
        <w:rPr>
          <w:rFonts w:ascii="Arial" w:cs="Arial" w:eastAsia="Arial" w:hAnsi="Arial"/>
          <w:b w:val="false"/>
          <w:bCs w:val="false"/>
          <w:i w:val="false"/>
          <w:iCs w:val="false"/>
          <w:color w:val="1e293b"/>
          <w:sz w:val="20"/>
          <w:szCs w:val="20"/>
        </w:rPr>
        <w:t xml:space="preserve">The following phase sequence was agreed before implementation: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00"/>
        <w:gridCol w:w="1260"/>
      </w:tblGrid>
      <w:tr>
        <w:tc>
          <w:tcPr>
            <w:tcW w:type="dxa" w:w="9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12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Full Evaluation Suite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DeLong tests, calibration, DCA, subgroup analysis</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Immediate</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4</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SHAP Explainability</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Core XAI contribution — beeswarm, dependence, waterfall, interactions</w:t>
            </w:r>
          </w:p>
        </w:tc>
        <w:tc>
          <w:tcPr>
            <w:tcW w:type="dxa" w:w="1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Immediate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Sensitivity Analysis (Option A)</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Validate generalisation to full cohort</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After Phases 3–4</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6</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TabNet + ANN</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Teacher requirement — deep learning comparison</w:t>
            </w:r>
          </w:p>
        </w:tc>
        <w:tc>
          <w:tcPr>
            <w:tcW w:type="dxa" w:w="1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Future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7</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Federated Learning (10 nodes)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Teacher requirement — novel contribution</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Future</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8</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Hybrid Model (if justified)</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Named model (TP+U) only if DL outperforms</w:t>
            </w:r>
          </w:p>
        </w:tc>
        <w:tc>
          <w:tcPr>
            <w:tcW w:type="dxa" w:w="1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Conditional</w:t>
            </w:r>
          </w:p>
        </w:tc>
      </w:tr>
    </w:tbl>
    <w:p>
      <w:pPr>
        <w:shd w:fill="d1fae5" w:val="clear"/>
        <w:spacing w:after="120" w:before="120"/>
        <w:ind w:left="160" w:right="160"/>
      </w:pPr>
      <w:r>
        <w:rPr>
          <w:rFonts w:ascii="Arial" w:cs="Arial" w:eastAsia="Arial" w:hAnsi="Arial"/>
          <w:b/>
          <w:bCs/>
          <w:color w:val="1e293b"/>
          <w:sz w:val="20"/>
          <w:szCs w:val="20"/>
        </w:rPr>
        <w:t xml:space="preserve">PRINCIPLE: </w:t>
      </w:r>
      <w:r>
        <w:rPr>
          <w:rFonts w:ascii="Arial" w:cs="Arial" w:eastAsia="Arial" w:hAnsi="Arial"/>
          <w:color w:val="1e293b"/>
          <w:sz w:val="20"/>
          <w:szCs w:val="20"/>
        </w:rPr>
        <w:t xml:space="preserve">One script at a time, results reviewed before next script. Same discipline that caught the glucose and haemoglobin preprocessing bugs. Methodological decisions made collaboratively before implementation.</w:t>
      </w:r>
    </w:p>
    <w:p>
      <w:pPr>
        <w:spacing w:after="60" w:before="60"/>
      </w:pPr>
      <w:r>
        <w:t xml:space="preserve"/>
      </w:r>
    </w:p>
    <w:p>
      <w:r>
        <w:br w:type="page"/>
      </w:r>
    </w:p>
    <w:p>
      <w:pPr>
        <w:pStyle w:val="Heading1"/>
        <w:pBdr>
          <w:bottom w:val="single" w:color="1a56db" w:sz="6" w:space="4"/>
        </w:pBdr>
        <w:spacing w:after="140" w:before="400"/>
      </w:pPr>
      <w:r>
        <w:rPr>
          <w:rFonts w:ascii="Arial" w:cs="Arial" w:eastAsia="Arial" w:hAnsi="Arial"/>
          <w:b/>
          <w:bCs/>
          <w:color w:val="1e293b"/>
          <w:sz w:val="30"/>
          <w:szCs w:val="30"/>
        </w:rPr>
        <w:t xml:space="preserve">3. Phase 3 — Full Evaluation Suite</w:t>
      </w:r>
    </w:p>
    <w:p>
      <w:pPr>
        <w:pStyle w:val="Heading2"/>
        <w:spacing w:after="80" w:before="280"/>
      </w:pPr>
      <w:r>
        <w:rPr>
          <w:rFonts w:ascii="Arial" w:cs="Arial" w:eastAsia="Arial" w:hAnsi="Arial"/>
          <w:b/>
          <w:bCs/>
          <w:color w:val="1a56db"/>
          <w:sz w:val="24"/>
          <w:szCs w:val="24"/>
        </w:rPr>
        <w:t xml:space="preserve">3.1 Script: phase3_evaluation.py</w:t>
      </w:r>
    </w:p>
    <w:p>
      <w:pPr>
        <w:spacing w:after="80" w:before="80"/>
      </w:pPr>
      <w:r>
        <w:rPr>
          <w:rFonts w:ascii="Arial" w:cs="Arial" w:eastAsia="Arial" w:hAnsi="Arial"/>
          <w:b w:val="false"/>
          <w:bCs w:val="false"/>
          <w:i w:val="false"/>
          <w:iCs w:val="false"/>
          <w:color w:val="1e293b"/>
          <w:sz w:val="20"/>
          <w:szCs w:val="20"/>
        </w:rPr>
        <w:t xml:space="preserve">A full evaluation script was built covering five sections: DeLong tests, calibration with Platt scaling, Decision Curve Analysis (DCA), subgroup analysis by age band, and a threshold sensitivity table. All outputs stored to sepsis_ml/figures/phase3_evaluation/ and sepsis_ml/results/.</w:t>
      </w:r>
    </w:p>
    <w:p>
      <w:pPr>
        <w:spacing w:after="60" w:before="60"/>
      </w:pPr>
      <w:r>
        <w:t xml:space="preserve"/>
      </w:r>
    </w:p>
    <w:p>
      <w:pPr>
        <w:pStyle w:val="Heading3"/>
        <w:spacing w:after="60" w:before="200"/>
      </w:pPr>
      <w:r>
        <w:rPr>
          <w:rFonts w:ascii="Arial" w:cs="Arial" w:eastAsia="Arial" w:hAnsi="Arial"/>
          <w:b/>
          <w:bCs/>
          <w:color w:val="1e293b"/>
          <w:sz w:val="22"/>
          <w:szCs w:val="22"/>
        </w:rPr>
        <w:t xml:space="preserve">Errors Encountered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Error</w:t>
            </w:r>
          </w:p>
        </w:tc>
        <w:tc>
          <w:tcPr>
            <w:tcW w:type="dxa" w:w="3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Root Cause</w:t>
            </w:r>
          </w:p>
        </w:tc>
        <w:tc>
          <w:tcPr>
            <w:tcW w:type="dxa" w:w="39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Feature matrix aligned to 0 features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feature_list.json is a dict with metadata keys (n_features, feature_cols, etc.), not a plain list. Code iterated dict keys instead of feature_cols list.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Added isinstance check: extract raw['feature_cols'] if dict, raw if list.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TypeError: int64 not JSON serializable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Confusion matrix returns numpy int64 values. Python's json.dump cannot serialise numpy types natively.</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Added default= lambda to json.dump: int() for np.integer, float() for np.floating.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JSONDecodeError on experiment_log.json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Previous crash mid-write left corrupted JSON file (partial write at char 46460).</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Added try/except around json.load; corrupted file backed up as .corrupted_backup, fresh list started.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RandomForest/LogisticReg not found</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Actual filenames use underscores: random_forest.pkl, logistic_regression.pkl. Script had no underscores.</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Updated model file path strings in baseline_model_files dict.</w:t>
            </w:r>
          </w:p>
        </w:tc>
      </w:tr>
    </w:tbl>
    <w:p>
      <w:pPr>
        <w:spacing w:after="60" w:before="60"/>
      </w:pPr>
      <w:r>
        <w:t xml:space="preserve"/>
      </w:r>
    </w:p>
    <w:p>
      <w:pPr>
        <w:pStyle w:val="Heading2"/>
        <w:spacing w:after="80" w:before="280"/>
      </w:pPr>
      <w:r>
        <w:rPr>
          <w:rFonts w:ascii="Arial" w:cs="Arial" w:eastAsia="Arial" w:hAnsi="Arial"/>
          <w:b/>
          <w:bCs/>
          <w:color w:val="1a56db"/>
          <w:sz w:val="24"/>
          <w:szCs w:val="24"/>
        </w:rPr>
        <w:t xml:space="preserve">3.2 Phase 3 Results</w:t>
      </w:r>
    </w:p>
    <w:p>
      <w:pPr>
        <w:pStyle w:val="Heading3"/>
        <w:spacing w:after="60" w:before="200"/>
      </w:pPr>
      <w:r>
        <w:rPr>
          <w:rFonts w:ascii="Arial" w:cs="Arial" w:eastAsia="Arial" w:hAnsi="Arial"/>
          <w:b/>
          <w:bCs/>
          <w:color w:val="1e293b"/>
          <w:sz w:val="22"/>
          <w:szCs w:val="22"/>
        </w:rPr>
        <w:t xml:space="preserve">Section A — DeLong Tests</w:t>
      </w:r>
    </w:p>
    <w:p>
      <w:pPr>
        <w:spacing w:after="80" w:before="80"/>
      </w:pPr>
      <w:r>
        <w:rPr>
          <w:rFonts w:ascii="Arial" w:cs="Arial" w:eastAsia="Arial" w:hAnsi="Arial"/>
          <w:b w:val="false"/>
          <w:bCs w:val="false"/>
          <w:i w:val="false"/>
          <w:iCs w:val="false"/>
          <w:color w:val="1e293b"/>
          <w:sz w:val="20"/>
          <w:szCs w:val="20"/>
        </w:rPr>
        <w:t xml:space="preserve">Tuned CatBoost AUROC: 0.9868 [0.9794–0.9931]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800"/>
        <w:gridCol w:w="1300"/>
        <w:gridCol w:w="1000"/>
        <w:gridCol w:w="1660"/>
      </w:tblGrid>
      <w:tr>
        <w:tc>
          <w:tcPr>
            <w:tcW w:type="dxa" w:w="21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Comparison</w:t>
            </w:r>
          </w:p>
        </w:tc>
        <w:tc>
          <w:tcPr>
            <w:tcW w:type="dxa" w:w="15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Baseline AUROC</w:t>
            </w:r>
          </w:p>
        </w:tc>
        <w:tc>
          <w:tcPr>
            <w:tcW w:type="dxa" w:w="1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95% CI</w:t>
            </w:r>
          </w:p>
        </w:tc>
        <w:tc>
          <w:tcPr>
            <w:tcW w:type="dxa" w:w="13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Z-statistic</w:t>
            </w:r>
          </w:p>
        </w:tc>
        <w:tc>
          <w:tcPr>
            <w:tcW w:type="dxa" w:w="1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P-value</w:t>
            </w:r>
          </w:p>
        </w:tc>
        <w:tc>
          <w:tcPr>
            <w:tcW w:type="dxa" w:w="16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Significant</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vs CatBoost baseline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0.9863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[0.9795–0.9922]</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+0.4975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0.6189</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w:t>
            </w:r>
          </w:p>
        </w:tc>
      </w:tr>
      <w:tr>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vs LightGBM</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0.9806</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[0.9715–0.9885]</w:t>
            </w:r>
          </w:p>
        </w:tc>
        <w:tc>
          <w:tcPr>
            <w:tcW w:type="dxa" w:w="1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+2.3774</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0.0174</w:t>
            </w:r>
          </w:p>
        </w:tc>
        <w:tc>
          <w:tcPr>
            <w:tcW w:type="dxa" w:w="1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YES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vs XGBoost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0.9780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[0.9674–0.9875]</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+2.8155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0.0049</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YES</w:t>
            </w:r>
          </w:p>
        </w:tc>
      </w:tr>
      <w:tr>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vs MLP</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0.9212</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[0.8935–0.9453]</w:t>
            </w:r>
          </w:p>
        </w:tc>
        <w:tc>
          <w:tcPr>
            <w:tcW w:type="dxa" w:w="1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+5.1589</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0.0000</w:t>
            </w:r>
          </w:p>
        </w:tc>
        <w:tc>
          <w:tcPr>
            <w:tcW w:type="dxa" w:w="1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YES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vs Random Forest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0.9656</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[0.9510–0.9770]</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Expected YES</w:t>
            </w:r>
          </w:p>
        </w:tc>
      </w:tr>
      <w:tr>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vs Logistic Regression</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0.9152</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[0.8850–0.9400]</w:t>
            </w:r>
          </w:p>
        </w:tc>
        <w:tc>
          <w:tcPr>
            <w:tcW w:type="dxa" w:w="1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w:t>
            </w:r>
          </w:p>
        </w:tc>
        <w:tc>
          <w:tcPr>
            <w:tcW w:type="dxa" w:w="1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Expected YES</w:t>
            </w:r>
          </w:p>
        </w:tc>
      </w:tr>
    </w:tbl>
    <w:p>
      <w:pPr>
        <w:spacing w:after="60" w:before="60"/>
      </w:pPr>
      <w:r>
        <w:t xml:space="preserve"/>
      </w:r>
    </w:p>
    <w:p>
      <w:pPr>
        <w:shd w:fill="dbeafe" w:val="clear"/>
        <w:spacing w:after="120" w:before="120"/>
        <w:ind w:left="160" w:right="160"/>
      </w:pPr>
      <w:r>
        <w:rPr>
          <w:rFonts w:ascii="Arial" w:cs="Arial" w:eastAsia="Arial" w:hAnsi="Arial"/>
          <w:b/>
          <w:bCs/>
          <w:color w:val="1e293b"/>
          <w:sz w:val="20"/>
          <w:szCs w:val="20"/>
        </w:rPr>
        <w:t xml:space="preserve">PAPER NOTE: </w:t>
      </w:r>
      <w:r>
        <w:rPr>
          <w:rFonts w:ascii="Arial" w:cs="Arial" w:eastAsia="Arial" w:hAnsi="Arial"/>
          <w:color w:val="1e293b"/>
          <w:sz w:val="20"/>
          <w:szCs w:val="20"/>
        </w:rPr>
        <w:t xml:space="preserve">The non-significant result vs CatBoost baseline (p=0.619) is an honest and expected finding. The tuning confirmed baseline was near-optimal. Report both — it validates that the baseline model itself was strong, not that tuning failed. DeLong test citation: DeLong et al., Biometrics 1988.</w:t>
      </w:r>
    </w:p>
    <w:p>
      <w:pPr>
        <w:spacing w:after="60" w:before="60"/>
      </w:pPr>
      <w:r>
        <w:t xml:space="preserve"/>
      </w:r>
    </w:p>
    <w:p>
      <w:pPr>
        <w:pStyle w:val="Heading3"/>
        <w:spacing w:after="60" w:before="200"/>
      </w:pPr>
      <w:r>
        <w:rPr>
          <w:rFonts w:ascii="Arial" w:cs="Arial" w:eastAsia="Arial" w:hAnsi="Arial"/>
          <w:b/>
          <w:bCs/>
          <w:color w:val="1e293b"/>
          <w:sz w:val="22"/>
          <w:szCs w:val="22"/>
        </w:rPr>
        <w:t xml:space="preserve">Section B — Calibration + Platt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Brier score BEFORE Platt scaling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0.0385</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Low — model is already well-calibrated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Brier score AFTER Platt scaling</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0.0422</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Slightly worse — Platt scaling not beneficial here</w:t>
            </w:r>
          </w:p>
        </w:tc>
      </w:tr>
    </w:tbl>
    <w:p>
      <w:pPr>
        <w:spacing w:after="60" w:before="60"/>
      </w:pPr>
      <w:r>
        <w:t xml:space="preserve"/>
      </w:r>
    </w:p>
    <w:p>
      <w:pPr>
        <w:shd w:fill="d1fae5" w:val="clear"/>
        <w:spacing w:after="120" w:before="120"/>
        <w:ind w:left="160" w:right="160"/>
      </w:pPr>
      <w:r>
        <w:rPr>
          <w:rFonts w:ascii="Arial" w:cs="Arial" w:eastAsia="Arial" w:hAnsi="Arial"/>
          <w:b/>
          <w:bCs/>
          <w:color w:val="1e293b"/>
          <w:sz w:val="20"/>
          <w:szCs w:val="20"/>
        </w:rPr>
        <w:t xml:space="preserve">FINDING: </w:t>
      </w:r>
      <w:r>
        <w:rPr>
          <w:rFonts w:ascii="Arial" w:cs="Arial" w:eastAsia="Arial" w:hAnsi="Arial"/>
          <w:color w:val="1e293b"/>
          <w:sz w:val="20"/>
          <w:szCs w:val="20"/>
        </w:rPr>
        <w:t xml:space="preserve">Brier score got worse after Platt scaling. This is unusual but positive — it means the raw CatBoost probabilities are better calibrated than after post-hoc scaling. This can occur when a tree model is already well-calibrated on the training distribution. For the paper: report raw model is well-calibrated (Brier 0.0385) and Platt scaling was attempted but not beneficial.</w:t>
      </w:r>
    </w:p>
    <w:p>
      <w:pPr>
        <w:shd w:fill="dbeafe" w:val="clear"/>
        <w:spacing w:after="120" w:before="120"/>
        <w:ind w:left="160" w:right="160"/>
      </w:pPr>
      <w:r>
        <w:rPr>
          <w:rFonts w:ascii="Arial" w:cs="Arial" w:eastAsia="Arial" w:hAnsi="Arial"/>
          <w:b/>
          <w:bCs/>
          <w:color w:val="1e293b"/>
          <w:sz w:val="20"/>
          <w:szCs w:val="20"/>
        </w:rPr>
        <w:t xml:space="preserve">PAPER NOTE: </w:t>
      </w:r>
      <w:r>
        <w:rPr>
          <w:rFonts w:ascii="Arial" w:cs="Arial" w:eastAsia="Arial" w:hAnsi="Arial"/>
          <w:color w:val="1e293b"/>
          <w:sz w:val="20"/>
          <w:szCs w:val="20"/>
        </w:rPr>
        <w:t xml:space="preserve">Brier score of 0.0385 for a 27.3% prevalence dataset corresponds to near-perfect calibration. Compare against the no-skill baseline Brier score = prevalence × (1 - prevalence) = 0.198. The model's 0.0385 represents an 80.5% reduction from the no-skill baseline.</w:t>
      </w:r>
    </w:p>
    <w:p>
      <w:pPr>
        <w:spacing w:after="60" w:before="60"/>
      </w:pPr>
      <w:r>
        <w:t xml:space="preserve"/>
      </w:r>
    </w:p>
    <w:p>
      <w:pPr>
        <w:pStyle w:val="Heading3"/>
        <w:spacing w:after="60" w:before="200"/>
      </w:pPr>
      <w:r>
        <w:rPr>
          <w:rFonts w:ascii="Arial" w:cs="Arial" w:eastAsia="Arial" w:hAnsi="Arial"/>
          <w:b/>
          <w:bCs/>
          <w:color w:val="1e293b"/>
          <w:sz w:val="22"/>
          <w:szCs w:val="22"/>
        </w:rPr>
        <w:t xml:space="preserve">Section C — Decision Curve Analysis (DCA)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W w:type="dxa" w:w="1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NB Model</w:t>
            </w:r>
          </w:p>
        </w:tc>
        <w:tc>
          <w:tcPr>
            <w:tcW w:type="dxa" w:w="1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NB Treat-All</w:t>
            </w:r>
          </w:p>
        </w:tc>
        <w:tc>
          <w:tcPr>
            <w:tcW w:type="dxa" w:w="4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Clinical Meaning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0.577 (80% Sens)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0.2146</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−0.7302</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Model far superior to treating all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0.447 (85% Sens)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0.2222</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−0.3213</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Model superior to treating all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0.365 (90% Sens — recommended)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0.2291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−0.1535</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Model provides substantial net benefit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0.276 (92% Sens)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0.2352</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−0.0093</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Model still beneficial, treat-all nearly neutral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0.213 (95% Sens)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0.2448</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+0.0683</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Treat-all begins to compete at very low thresholds</w:t>
            </w:r>
          </w:p>
        </w:tc>
      </w:tr>
    </w:tbl>
    <w:p>
      <w:pPr>
        <w:spacing w:after="60" w:before="60"/>
      </w:pPr>
      <w:r>
        <w:t xml:space="preserve"/>
      </w:r>
    </w:p>
    <w:p>
      <w:pPr>
        <w:shd w:fill="ffedd5" w:val="clear"/>
        <w:spacing w:after="120" w:before="120"/>
        <w:ind w:left="160" w:right="160"/>
      </w:pPr>
      <w:r>
        <w:rPr>
          <w:rFonts w:ascii="Arial" w:cs="Arial" w:eastAsia="Arial" w:hAnsi="Arial"/>
          <w:b/>
          <w:bCs/>
          <w:color w:val="1e293b"/>
          <w:sz w:val="20"/>
          <w:szCs w:val="20"/>
        </w:rPr>
        <w:t xml:space="preserve">PAPER NOTE: </w:t>
      </w:r>
      <w:r>
        <w:rPr>
          <w:rFonts w:ascii="Arial" w:cs="Arial" w:eastAsia="Arial" w:hAnsi="Arial"/>
          <w:color w:val="1e293b"/>
          <w:sz w:val="20"/>
          <w:szCs w:val="20"/>
        </w:rPr>
        <w:t xml:space="preserve">DCA demonstrates the model provides positive net benefit across all clinically relevant thresholds (0.2–0.6). Net benefit of 0.229 at the recommended threshold means the model is equivalent to a strategy that correctly identifies 22.9% more sepsis cases per 100 patients without any false positives. This should appear in the Results section.</w:t>
      </w:r>
    </w:p>
    <w:p>
      <w:pPr>
        <w:spacing w:after="60" w:before="60"/>
      </w:pPr>
      <w:r>
        <w:t xml:space="preserve"/>
      </w:r>
    </w:p>
    <w:p>
      <w:pPr>
        <w:pStyle w:val="Heading3"/>
        <w:spacing w:after="60" w:before="200"/>
      </w:pPr>
      <w:r>
        <w:rPr>
          <w:rFonts w:ascii="Arial" w:cs="Arial" w:eastAsia="Arial" w:hAnsi="Arial"/>
          <w:b/>
          <w:bCs/>
          <w:color w:val="1e293b"/>
          <w:sz w:val="22"/>
          <w:szCs w:val="22"/>
        </w:rPr>
        <w:t xml:space="preserve">Section D — Subgroup Analysis by Age Band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500"/>
        <w:gridCol w:w="700"/>
        <w:gridCol w:w="900"/>
        <w:gridCol w:w="900"/>
        <w:gridCol w:w="1600"/>
        <w:gridCol w:w="900"/>
        <w:gridCol w:w="1000"/>
        <w:gridCol w:w="1000"/>
      </w:tblGrid>
      <w:tr>
        <w:tc>
          <w:tcPr>
            <w:tcW w:type="dxa" w:w="1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Age Band</w:t>
            </w:r>
          </w:p>
        </w:tc>
        <w:tc>
          <w:tcPr>
            <w:tcW w:type="dxa" w:w="5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7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Sepsis N</w:t>
            </w:r>
          </w:p>
        </w:tc>
        <w:tc>
          <w:tcPr>
            <w:tcW w:type="dxa" w:w="9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Prevalence</w:t>
            </w:r>
          </w:p>
        </w:tc>
        <w:tc>
          <w:tcPr>
            <w:tcW w:type="dxa" w:w="9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AUROC</w:t>
            </w:r>
          </w:p>
        </w:tc>
        <w:tc>
          <w:tcPr>
            <w:tcW w:type="dxa" w:w="1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95% CI</w:t>
            </w:r>
          </w:p>
        </w:tc>
        <w:tc>
          <w:tcPr>
            <w:tcW w:type="dxa" w:w="9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AUPRC</w:t>
            </w:r>
          </w:p>
        </w:tc>
        <w:tc>
          <w:tcPr>
            <w:tcW w:type="dxa" w:w="1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Sens (0.365)</w:t>
            </w:r>
          </w:p>
        </w:tc>
        <w:tc>
          <w:tcPr>
            <w:tcW w:type="dxa" w:w="1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Spec (0.365)</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Neonate (0–28d)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102</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17</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16.7%</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0.9702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[0.9218–0.9990]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0.9147</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0.824</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0.965</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Infant (29d–1y)</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223</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64</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28.7%</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0.9892</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[0.9785–0.9969]</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0.9768</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0.859</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0.969</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Child (1–12y)</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289</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87</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30.1%</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0.9876</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[0.9762–0.9957]</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0.9718</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0.931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0.955</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Adolescent (12–18y)</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19</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5</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26.3%</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1.0000</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[1.000–1.000]</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1.0000</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1.000</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1.000</w:t>
            </w:r>
          </w:p>
        </w:tc>
      </w:tr>
    </w:tbl>
    <w:p>
      <w:pPr>
        <w:spacing w:after="60" w:before="60"/>
      </w:pPr>
      <w:r>
        <w:t xml:space="preserve"/>
      </w:r>
    </w:p>
    <w:p>
      <w:pPr>
        <w:shd w:fill="fee2e2" w:val="clear"/>
        <w:spacing w:after="120" w:before="120"/>
        <w:ind w:left="160" w:right="160"/>
      </w:pPr>
      <w:r>
        <w:rPr>
          <w:rFonts w:ascii="Arial" w:cs="Arial" w:eastAsia="Arial" w:hAnsi="Arial"/>
          <w:b/>
          <w:bCs/>
          <w:color w:val="1e293b"/>
          <w:sz w:val="20"/>
          <w:szCs w:val="20"/>
        </w:rPr>
        <w:t xml:space="preserve">WARNING: </w:t>
      </w:r>
      <w:r>
        <w:rPr>
          <w:rFonts w:ascii="Arial" w:cs="Arial" w:eastAsia="Arial" w:hAnsi="Arial"/>
          <w:color w:val="1e293b"/>
          <w:sz w:val="20"/>
          <w:szCs w:val="20"/>
        </w:rPr>
        <w:t xml:space="preserve">Adolescent band (n=19, AUROC=1.000) is underpowered. A perfect score on 19 patients with 5 sepsis cases is almost certainly a small-sample artifact. Must be reported with explicit caveat in the paper.</w:t>
      </w:r>
    </w:p>
    <w:p>
      <w:pPr>
        <w:shd w:fill="d1fae5" w:val="clear"/>
        <w:spacing w:after="120" w:before="120"/>
        <w:ind w:left="160" w:right="160"/>
      </w:pPr>
      <w:r>
        <w:rPr>
          <w:rFonts w:ascii="Arial" w:cs="Arial" w:eastAsia="Arial" w:hAnsi="Arial"/>
          <w:b/>
          <w:bCs/>
          <w:color w:val="1e293b"/>
          <w:sz w:val="20"/>
          <w:szCs w:val="20"/>
        </w:rPr>
        <w:t xml:space="preserve">FINDING: </w:t>
      </w:r>
      <w:r>
        <w:rPr>
          <w:rFonts w:ascii="Arial" w:cs="Arial" w:eastAsia="Arial" w:hAnsi="Arial"/>
          <w:color w:val="1e293b"/>
          <w:sz w:val="20"/>
          <w:szCs w:val="20"/>
        </w:rPr>
        <w:t xml:space="preserve">AUROC 0.970–0.989 across neonates, infants, and children is consistent and clinically meaningful. The neonate band shows slightly lower performance (0.9702) consistent with the documented finding that neonates have a 2.3% sepsis rate vs 14% for General ICU — different clinical profile.</w:t>
      </w:r>
    </w:p>
    <w:p>
      <w:pPr>
        <w:shd w:fill="dbeafe" w:val="clear"/>
        <w:spacing w:after="120" w:before="120"/>
        <w:ind w:left="160" w:right="160"/>
      </w:pPr>
      <w:r>
        <w:rPr>
          <w:rFonts w:ascii="Arial" w:cs="Arial" w:eastAsia="Arial" w:hAnsi="Arial"/>
          <w:b/>
          <w:bCs/>
          <w:color w:val="1e293b"/>
          <w:sz w:val="20"/>
          <w:szCs w:val="20"/>
        </w:rPr>
        <w:t xml:space="preserve">PAPER NOTE: </w:t>
      </w:r>
      <w:r>
        <w:rPr>
          <w:rFonts w:ascii="Arial" w:cs="Arial" w:eastAsia="Arial" w:hAnsi="Arial"/>
          <w:color w:val="1e293b"/>
          <w:sz w:val="20"/>
          <w:szCs w:val="20"/>
        </w:rPr>
        <w:t xml:space="preserve">Report all four bands in a supplementary table. Main text: 'The model demonstrated consistent performance across age bands (AUROC 0.970–0.989 for neonates, infants, and children). Results for adolescents (n=19) should be interpreted with caution due to small sample size.'</w:t>
      </w:r>
    </w:p>
    <w:p>
      <w:pPr>
        <w:spacing w:after="60" w:before="60"/>
      </w:pPr>
      <w:r>
        <w:t xml:space="preserve"/>
      </w:r>
    </w:p>
    <w:p>
      <w:pPr>
        <w:pStyle w:val="Heading3"/>
        <w:spacing w:after="60" w:before="200"/>
      </w:pPr>
      <w:r>
        <w:rPr>
          <w:rFonts w:ascii="Arial" w:cs="Arial" w:eastAsia="Arial" w:hAnsi="Arial"/>
          <w:b/>
          <w:bCs/>
          <w:color w:val="1e293b"/>
          <w:sz w:val="22"/>
          <w:szCs w:val="22"/>
        </w:rPr>
        <w:t xml:space="preserve">Section E — Threshold Sensitivity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100"/>
        <w:gridCol w:w="1000"/>
        <w:gridCol w:w="900"/>
        <w:gridCol w:w="900"/>
        <w:gridCol w:w="700"/>
        <w:gridCol w:w="600"/>
        <w:gridCol w:w="600"/>
        <w:gridCol w:w="600"/>
      </w:tblGrid>
      <w:tr>
        <w:tc>
          <w:tcPr>
            <w:tcW w:type="dxa" w:w="15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Target Sensitivity</w:t>
            </w:r>
          </w:p>
        </w:tc>
        <w:tc>
          <w:tcPr>
            <w:tcW w:type="dxa" w:w="9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W w:type="dxa" w:w="11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Achieved Sens</w:t>
            </w:r>
          </w:p>
        </w:tc>
        <w:tc>
          <w:tcPr>
            <w:tcW w:type="dxa" w:w="1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Specificity</w:t>
            </w:r>
          </w:p>
        </w:tc>
        <w:tc>
          <w:tcPr>
            <w:tcW w:type="dxa" w:w="9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PPV</w:t>
            </w:r>
          </w:p>
        </w:tc>
        <w:tc>
          <w:tcPr>
            <w:tcW w:type="dxa" w:w="9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NPV</w:t>
            </w:r>
          </w:p>
        </w:tc>
        <w:tc>
          <w:tcPr>
            <w:tcW w:type="dxa" w:w="7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F1</w:t>
            </w:r>
          </w:p>
        </w:tc>
        <w:tc>
          <w:tcPr>
            <w:tcW w:type="dxa" w:w="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TP</w:t>
            </w:r>
          </w:p>
        </w:tc>
        <w:tc>
          <w:tcPr>
            <w:tcW w:type="dxa" w:w="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FP</w:t>
            </w:r>
          </w:p>
        </w:tc>
        <w:tc>
          <w:tcPr>
            <w:tcW w:type="dxa" w:w="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FN</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80%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0.577</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0.815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0.993</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0.979</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0.935</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0.890</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141</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3</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32</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85%</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0.447</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0.861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0.980</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0.943</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0.949</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0.900</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149</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9</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24</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90% (recommended)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0.365</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0.896</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0.963</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0.901</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0.961</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0.899</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155</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17</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18</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92%</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0.276</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0.919</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0.943</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0.859</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0.969</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0.888</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159</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26</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14</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95%</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0.213</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0.954</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0.930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0.838</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0.982</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0.892</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165</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32</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8</w:t>
            </w:r>
          </w:p>
        </w:tc>
      </w:tr>
    </w:tbl>
    <w:p>
      <w:pPr>
        <w:spacing w:after="60" w:before="60"/>
      </w:pPr>
      <w:r>
        <w:t xml:space="preserve"/>
      </w:r>
    </w:p>
    <w:p>
      <w:pPr>
        <w:shd w:fill="ffedd5" w:val="clear"/>
        <w:spacing w:after="120" w:before="120"/>
        <w:ind w:left="160" w:right="160"/>
      </w:pPr>
      <w:r>
        <w:rPr>
          <w:rFonts w:ascii="Arial" w:cs="Arial" w:eastAsia="Arial" w:hAnsi="Arial"/>
          <w:b/>
          <w:bCs/>
          <w:color w:val="1e293b"/>
          <w:sz w:val="20"/>
          <w:szCs w:val="20"/>
        </w:rPr>
        <w:t xml:space="preserve">PAPER NOTE: </w:t>
      </w:r>
      <w:r>
        <w:rPr>
          <w:rFonts w:ascii="Arial" w:cs="Arial" w:eastAsia="Arial" w:hAnsi="Arial"/>
          <w:color w:val="1e293b"/>
          <w:sz w:val="20"/>
          <w:szCs w:val="20"/>
        </w:rPr>
        <w:t xml:space="preserve">Recommended clinical threshold is 0.365 (90% sensitivity target). Rationale: this is a screening tool — missing sepsis (FN) costs more than a false alarm (FP). At threshold 0.365: 155/173 sepsis cases caught, only 17 false alarms, specificity 96.3%. The F1 mathematical optimum is at 0.44–0.45 but the clinical optimum is 0.365.</w:t>
      </w:r>
    </w:p>
    <w:p>
      <w:pPr>
        <w:spacing w:after="60" w:before="60"/>
      </w:pPr>
      <w:r>
        <w:t xml:space="preserve"/>
      </w:r>
    </w:p>
    <w:p>
      <w:r>
        <w:br w:type="page"/>
      </w:r>
    </w:p>
    <w:p>
      <w:pPr>
        <w:pStyle w:val="Heading1"/>
        <w:pBdr>
          <w:bottom w:val="single" w:color="1a56db" w:sz="6" w:space="4"/>
        </w:pBdr>
        <w:spacing w:after="140" w:before="400"/>
      </w:pPr>
      <w:r>
        <w:rPr>
          <w:rFonts w:ascii="Arial" w:cs="Arial" w:eastAsia="Arial" w:hAnsi="Arial"/>
          <w:b/>
          <w:bCs/>
          <w:color w:val="1e293b"/>
          <w:sz w:val="30"/>
          <w:szCs w:val="30"/>
        </w:rPr>
        <w:t xml:space="preserve">4. Phase 4 — SHAP Explainability</w:t>
      </w:r>
    </w:p>
    <w:p>
      <w:pPr>
        <w:pStyle w:val="Heading2"/>
        <w:spacing w:after="80" w:before="280"/>
      </w:pPr>
      <w:r>
        <w:rPr>
          <w:rFonts w:ascii="Arial" w:cs="Arial" w:eastAsia="Arial" w:hAnsi="Arial"/>
          <w:b/>
          <w:bCs/>
          <w:color w:val="1a56db"/>
          <w:sz w:val="24"/>
          <w:szCs w:val="24"/>
        </w:rPr>
        <w:t xml:space="preserve">4.1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Choice Made</w:t>
            </w:r>
          </w:p>
        </w:tc>
        <w:tc>
          <w:tcPr>
            <w:tcW w:type="dxa" w:w="51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Standard SHAP values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Full test set (633 rows), exact computation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TreeExplainer does not use background dataset for standard SHAP — uses tree structure directly. Fast regardless of n.</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Interaction matrix</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Top 10 features only — exact computation on full test set</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All 225×225 interactions = 128M values, 2–4 hours. Top 10×10 covers all clinically meaningful pairs in 5–15 min. Focused &gt; exhaustive.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Dependence plots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5 features: lactate_max, platelets_min, base_excess_min, ddimer_max, inr_max</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Priority features (lactate, platelets always included) + SHAP-ranked top 5.</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Waterfall plots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3 patients: TP, FN, FP — selected by highest confidence in each category</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Illustrates model reasoning for correct and incorrect predictions. Clinical interpretability for paper.</w:t>
            </w:r>
          </w:p>
        </w:tc>
      </w:tr>
    </w:tbl>
    <w:p>
      <w:pPr>
        <w:spacing w:after="60" w:before="60"/>
      </w:pPr>
      <w:r>
        <w:t xml:space="preserve"/>
      </w:r>
    </w:p>
    <w:p>
      <w:pPr>
        <w:pStyle w:val="Heading2"/>
        <w:spacing w:after="80" w:before="280"/>
      </w:pPr>
      <w:r>
        <w:rPr>
          <w:rFonts w:ascii="Arial" w:cs="Arial" w:eastAsia="Arial" w:hAnsi="Arial"/>
          <w:b/>
          <w:bCs/>
          <w:color w:val="1a56db"/>
          <w:sz w:val="24"/>
          <w:szCs w:val="24"/>
        </w:rPr>
        <w:t xml:space="preserve">4.2 Error Encountered — SHAP Interaction Feature Ordering</w:t>
      </w:r>
    </w:p>
    <w:p>
      <w:pPr>
        <w:shd w:fill="fee2e2" w:val="clear"/>
        <w:spacing w:after="120" w:before="120"/>
        <w:ind w:left="160" w:right="160"/>
      </w:pPr>
      <w:r>
        <w:rPr>
          <w:rFonts w:ascii="Arial" w:cs="Arial" w:eastAsia="Arial" w:hAnsi="Arial"/>
          <w:b/>
          <w:bCs/>
          <w:color w:val="1e293b"/>
          <w:sz w:val="20"/>
          <w:szCs w:val="20"/>
        </w:rPr>
        <w:t xml:space="preserve">ERROR: </w:t>
      </w:r>
      <w:r>
        <w:rPr>
          <w:rFonts w:ascii="Arial" w:cs="Arial" w:eastAsia="Arial" w:hAnsi="Arial"/>
          <w:color w:val="1e293b"/>
          <w:sz w:val="20"/>
          <w:szCs w:val="20"/>
        </w:rPr>
        <w:t xml:space="preserve">CatBoostError: At position 0 should be feature with name age_years (found lactate_max). The interaction API requires features in exact training column order. Passing only top 10 columns reordered them, breaking CatBoost's internal feature index lookup.</w:t>
      </w:r>
    </w:p>
    <w:p>
      <w:pPr>
        <w:spacing w:after="80" w:before="80"/>
      </w:pPr>
      <w:r>
        <w:rPr>
          <w:rFonts w:ascii="Arial" w:cs="Arial" w:eastAsia="Arial" w:hAnsi="Arial"/>
          <w:b w:val="false"/>
          <w:bCs w:val="false"/>
          <w:i w:val="false"/>
          <w:iCs w:val="false"/>
          <w:color w:val="1e293b"/>
          <w:sz w:val="20"/>
          <w:szCs w:val="20"/>
        </w:rPr>
        <w:t xml:space="preserve">Resolution: Pass full 225-feature X_test to shap_interaction_values() (preserving original column order), then slice the resulting (633, 225, 225) interaction matrix to (633, 10, 10) for the top 10 features after computation. This added runtime (~3 minutes) but preserved correctness.</w:t>
      </w:r>
    </w:p>
    <w:p>
      <w:pPr>
        <w:spacing w:after="60" w:before="60"/>
      </w:pPr>
      <w:r>
        <w:t xml:space="preserve"/>
      </w:r>
    </w:p>
    <w:p>
      <w:pPr>
        <w:pStyle w:val="Heading2"/>
        <w:spacing w:after="80" w:before="280"/>
      </w:pPr>
      <w:r>
        <w:rPr>
          <w:rFonts w:ascii="Arial" w:cs="Arial" w:eastAsia="Arial" w:hAnsi="Arial"/>
          <w:b/>
          <w:bCs/>
          <w:color w:val="1a56db"/>
          <w:sz w:val="24"/>
          <w:szCs w:val="24"/>
        </w:rPr>
        <w:t xml:space="preserve">4.3 SHAP Results — Top 20 Feature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000"/>
        <w:gridCol w:w="6060"/>
      </w:tblGrid>
      <w:tr>
        <w:tc>
          <w:tcPr>
            <w:tcW w:type="dxa" w:w="5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Rank</w:t>
            </w:r>
          </w:p>
        </w:tc>
        <w:tc>
          <w:tcPr>
            <w:tcW w:type="dxa" w:w="1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Mean |SHAP|</w:t>
            </w:r>
          </w:p>
        </w:tc>
        <w:tc>
          <w:tcPr>
            <w:tcW w:type="dxa" w:w="60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Clinical Interpretation</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Lactate (max)</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0.99198</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Peak lactate — strongest Phoenix cardiovascular marker. Confirms cardiovascular failure as dominant driver.</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2</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D-dimer (max)</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0.95739</w:t>
            </w:r>
          </w:p>
        </w:tc>
        <w:tc>
          <w:tcPr>
            <w:tcW w:type="dxa" w:w="6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Coagulation cascade activation — DIC indicator. Near-equal weight to lactate.</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Platelets (min)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0.77623</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Thrombocytopenia — coagulation failure marker. Consistent with Phoenix coagulation component.</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4</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INR (max)</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0.53897</w:t>
            </w:r>
          </w:p>
        </w:tc>
        <w:tc>
          <w:tcPr>
            <w:tcW w:type="dxa" w:w="6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Prothrombin time ratio — coagulopathy severity.</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Calcium (max)</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0.51920</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Not a Phoenix component. Hypercalcaemia/hypocalcaemia as sepsis complication — real clinical signal.</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6</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PT (max)</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0.25903</w:t>
            </w:r>
          </w:p>
        </w:tc>
        <w:tc>
          <w:tcPr>
            <w:tcW w:type="dxa" w:w="6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Prothrombin time — coagulation pathway.</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7</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Calcium (mean)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0.22155</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Sustained calcium dysregulation.</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8</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Glucose (max)</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0.21425</w:t>
            </w:r>
          </w:p>
        </w:tc>
        <w:tc>
          <w:tcPr>
            <w:tcW w:type="dxa" w:w="6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Stress hyperglycaemia — Phoenix endocrine component.</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9</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PaO2 (max)</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0.17612</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Partial respiratory signal despite respiratory Phoenix component being zero (FiO2 absent).</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10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 (min)</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0.16052</w:t>
            </w:r>
          </w:p>
        </w:tc>
        <w:tc>
          <w:tcPr>
            <w:tcW w:type="dxa" w:w="6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Metabolic acidosis — acid-base disturbance.</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Haematocrit (min)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0.14609</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Anaemia in sepsis context.</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12</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Platelets (first)</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0.14574</w:t>
            </w:r>
          </w:p>
        </w:tc>
        <w:tc>
          <w:tcPr>
            <w:tcW w:type="dxa" w:w="6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Admission platelet state — baseline coagulation.</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Care Unit: SICU</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0.12439</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Surgical ICU — encodes baseline severity of admitted population.</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14</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Fibrinogen (min)</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0.11478</w:t>
            </w:r>
          </w:p>
        </w:tc>
        <w:tc>
          <w:tcPr>
            <w:tcW w:type="dxa" w:w="6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Consumption coagulopathy — fibrinogen depleted in DIC.</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Care Unit: CICU</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0.11362</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Cardiac ICU — same population-level signal.</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16</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D-dimer (mean)</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0.10831</w:t>
            </w:r>
          </w:p>
        </w:tc>
        <w:tc>
          <w:tcPr>
            <w:tcW w:type="dxa" w:w="6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Sustained D-dimer elevation.</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17</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Platelets (mean)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0.09083</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Mean platelet burden over 24h.</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18</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Potassium (min)</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0.08438</w:t>
            </w:r>
          </w:p>
        </w:tc>
        <w:tc>
          <w:tcPr>
            <w:tcW w:type="dxa" w:w="6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Electrolyte disturbance in sepsis.</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19</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Lactate (first)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0.07491</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Admission lactate — state before intervention.</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20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Bicarbonate (min)</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0.07258</w:t>
            </w:r>
          </w:p>
        </w:tc>
        <w:tc>
          <w:tcPr>
            <w:tcW w:type="dxa" w:w="6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Acid-base buffer — metabolic acidosis correlate.</w:t>
            </w:r>
          </w:p>
        </w:tc>
      </w:tr>
    </w:tbl>
    <w:p>
      <w:pPr>
        <w:spacing w:after="60" w:before="60"/>
      </w:pPr>
      <w:r>
        <w:t xml:space="preserve"/>
      </w:r>
    </w:p>
    <w:p>
      <w:pPr>
        <w:shd w:fill="d1fae5" w:val="clear"/>
        <w:spacing w:after="120" w:before="120"/>
        <w:ind w:left="160" w:right="160"/>
      </w:pPr>
      <w:r>
        <w:rPr>
          <w:rFonts w:ascii="Arial" w:cs="Arial" w:eastAsia="Arial" w:hAnsi="Arial"/>
          <w:b/>
          <w:bCs/>
          <w:color w:val="1e293b"/>
          <w:sz w:val="20"/>
          <w:szCs w:val="20"/>
        </w:rPr>
        <w:t xml:space="preserve">PAPER NOTE: </w:t>
      </w:r>
      <w:r>
        <w:rPr>
          <w:rFonts w:ascii="Arial" w:cs="Arial" w:eastAsia="Arial" w:hAnsi="Arial"/>
          <w:color w:val="1e293b"/>
          <w:sz w:val="20"/>
          <w:szCs w:val="20"/>
        </w:rPr>
        <w:t xml:space="preserve">The top 4 features (lactate, D-dimer, platelets, INR) are exactly what Phoenix 2024 literature predicts. This is the primary XAI validation finding: the model independently learned the same clinical hierarchy that experts codified into Phoenix criteria. This should be the lead finding of the explainability section.</w:t>
      </w:r>
    </w:p>
    <w:p>
      <w:pPr>
        <w:shd w:fill="ffedd5" w:val="clear"/>
        <w:spacing w:after="120" w:before="120"/>
        <w:ind w:left="160" w:right="160"/>
      </w:pPr>
      <w:r>
        <w:rPr>
          <w:rFonts w:ascii="Arial" w:cs="Arial" w:eastAsia="Arial" w:hAnsi="Arial"/>
          <w:b/>
          <w:bCs/>
          <w:color w:val="1e293b"/>
          <w:sz w:val="20"/>
          <w:szCs w:val="20"/>
        </w:rPr>
        <w:t xml:space="preserve">PAPER NOTE: </w:t>
      </w:r>
      <w:r>
        <w:rPr>
          <w:rFonts w:ascii="Arial" w:cs="Arial" w:eastAsia="Arial" w:hAnsi="Arial"/>
          <w:color w:val="1e293b"/>
          <w:sz w:val="20"/>
          <w:szCs w:val="20"/>
        </w:rPr>
        <w:t xml:space="preserve">Calcium at rank 5 (mean |SHAP| 0.519) is a noteworthy finding. It is not a Phoenix component but hypocalcaemia is a well-documented sepsis complication. PaO2 at rank 9 provides partial respiratory signal despite the respiratory Phoenix component being entirely zero — the model found an alternative proxy. Both deserve discussion.</w:t>
      </w:r>
    </w:p>
    <w:p>
      <w:pPr>
        <w:spacing w:after="60" w:before="60"/>
      </w:pPr>
      <w:r>
        <w:t xml:space="preserve"/>
      </w:r>
    </w:p>
    <w:p>
      <w:pPr>
        <w:pStyle w:val="Heading2"/>
        <w:spacing w:after="80" w:before="280"/>
      </w:pPr>
      <w:r>
        <w:rPr>
          <w:rFonts w:ascii="Arial" w:cs="Arial" w:eastAsia="Arial" w:hAnsi="Arial"/>
          <w:b/>
          <w:bCs/>
          <w:color w:val="1a56db"/>
          <w:sz w:val="24"/>
          <w:szCs w:val="24"/>
        </w:rPr>
        <w:t xml:space="preserve">4.4 Waterfall Plot Findings — Individual Patient Explanations</w:t>
      </w:r>
    </w:p>
    <w:p>
      <w:pPr>
        <w:pStyle w:val="Heading3"/>
        <w:spacing w:after="60" w:before="200"/>
      </w:pPr>
      <w:r>
        <w:rPr>
          <w:rFonts w:ascii="Arial" w:cs="Arial" w:eastAsia="Arial" w:hAnsi="Arial"/>
          <w:b/>
          <w:bCs/>
          <w:color w:val="1e293b"/>
          <w:sz w:val="22"/>
          <w:szCs w:val="22"/>
        </w:rPr>
        <w:t xml:space="preserve">True Positive Patient (idx=448, prob=0.9997)</w:t>
      </w:r>
    </w:p>
    <w:p>
      <w:pPr>
        <w:spacing w:after="80" w:before="80"/>
      </w:pPr>
      <w:r>
        <w:rPr>
          <w:rFonts w:ascii="Arial" w:cs="Arial" w:eastAsia="Arial" w:hAnsi="Arial"/>
          <w:b w:val="false"/>
          <w:bCs w:val="false"/>
          <w:i w:val="false"/>
          <w:iCs w:val="false"/>
          <w:color w:val="1e293b"/>
          <w:sz w:val="20"/>
          <w:szCs w:val="20"/>
        </w:rPr>
        <w:t xml:space="preserve">Top 3 driving features: lactate_max (+2.13), platelets_min (+1.44), inr_max (+1.11). Classic multi-organ failure pattern — cardiovascular and coagulation signals both strongly pushing toward sepsis prediction. Model correctly and confidently identified this patient.</w:t>
      </w:r>
    </w:p>
    <w:p>
      <w:pPr>
        <w:shd w:fill="dbeafe" w:val="clear"/>
        <w:spacing w:after="120" w:before="120"/>
        <w:ind w:left="160" w:right="160"/>
      </w:pPr>
      <w:r>
        <w:rPr>
          <w:rFonts w:ascii="Arial" w:cs="Arial" w:eastAsia="Arial" w:hAnsi="Arial"/>
          <w:b/>
          <w:bCs/>
          <w:color w:val="1e293b"/>
          <w:sz w:val="20"/>
          <w:szCs w:val="20"/>
        </w:rPr>
        <w:t xml:space="preserve">PAPER NOTE: </w:t>
      </w:r>
      <w:r>
        <w:rPr>
          <w:rFonts w:ascii="Arial" w:cs="Arial" w:eastAsia="Arial" w:hAnsi="Arial"/>
          <w:color w:val="1e293b"/>
          <w:sz w:val="20"/>
          <w:szCs w:val="20"/>
        </w:rPr>
        <w:t xml:space="preserve">True positive waterfall illustrates the multi-organ failure signature. Three independent organ systems (cardiovascular via lactate, coagulation via platelets and INR) all contributing strongly. This is the canonical Phoenix sepsis presentation.</w:t>
      </w:r>
    </w:p>
    <w:p>
      <w:pPr>
        <w:spacing w:after="60" w:before="60"/>
      </w:pPr>
      <w:r>
        <w:t xml:space="preserve"/>
      </w:r>
    </w:p>
    <w:p>
      <w:pPr>
        <w:pStyle w:val="Heading3"/>
        <w:spacing w:after="60" w:before="200"/>
      </w:pPr>
      <w:r>
        <w:rPr>
          <w:rFonts w:ascii="Arial" w:cs="Arial" w:eastAsia="Arial" w:hAnsi="Arial"/>
          <w:b/>
          <w:bCs/>
          <w:color w:val="1e293b"/>
          <w:sz w:val="22"/>
          <w:szCs w:val="22"/>
        </w:rPr>
        <w:t xml:space="preserve">False Negative Patient (idx=442, prob=0.3650 — exactly at threshold)</w:t>
      </w:r>
    </w:p>
    <w:p>
      <w:pPr>
        <w:spacing w:after="80" w:before="80"/>
      </w:pPr>
      <w:r>
        <w:rPr>
          <w:rFonts w:ascii="Arial" w:cs="Arial" w:eastAsia="Arial" w:hAnsi="Arial"/>
          <w:b w:val="false"/>
          <w:bCs w:val="false"/>
          <w:i w:val="false"/>
          <w:iCs w:val="false"/>
          <w:color w:val="1e293b"/>
          <w:sz w:val="20"/>
          <w:szCs w:val="20"/>
        </w:rPr>
        <w:t xml:space="preserve">Top 3 features: calcium_max (+0.749), ddimer_max (−0.586), lactate_max (−0.462). This patient had elevated calcium pushing toward sepsis but normal coagulation and lactate pushing away. An atypical presentation without the canonical cardiovascular-coagulation markers.</w:t>
      </w:r>
    </w:p>
    <w:p>
      <w:pPr>
        <w:shd w:fill="fef9c3" w:val="clear"/>
        <w:spacing w:after="120" w:before="120"/>
        <w:ind w:left="160" w:right="160"/>
      </w:pPr>
      <w:r>
        <w:rPr>
          <w:rFonts w:ascii="Arial" w:cs="Arial" w:eastAsia="Arial" w:hAnsi="Arial"/>
          <w:b/>
          <w:bCs/>
          <w:color w:val="1e293b"/>
          <w:sz w:val="20"/>
          <w:szCs w:val="20"/>
        </w:rPr>
        <w:t xml:space="preserve">PAPER NOTE: </w:t>
      </w:r>
      <w:r>
        <w:rPr>
          <w:rFonts w:ascii="Arial" w:cs="Arial" w:eastAsia="Arial" w:hAnsi="Arial"/>
          <w:color w:val="1e293b"/>
          <w:sz w:val="20"/>
          <w:szCs w:val="20"/>
        </w:rPr>
        <w:t xml:space="preserve">The false negative is clinically instructive. The patient was missed because they lacked the canonical lactate and coagulation signature — an atypical sepsis presentation. The fact that the model's probability was 0.365 (exactly at threshold) indicates this was a genuinely borderline case, not a clear error. Report as a known limitation: atypical sepsis presentations with preserved lactate and coagulation are at higher risk of being missed.</w:t>
      </w:r>
    </w:p>
    <w:p>
      <w:pPr>
        <w:spacing w:after="60" w:before="60"/>
      </w:pPr>
      <w:r>
        <w:t xml:space="preserve"/>
      </w:r>
    </w:p>
    <w:p>
      <w:pPr>
        <w:pStyle w:val="Heading3"/>
        <w:spacing w:after="60" w:before="200"/>
      </w:pPr>
      <w:r>
        <w:rPr>
          <w:rFonts w:ascii="Arial" w:cs="Arial" w:eastAsia="Arial" w:hAnsi="Arial"/>
          <w:b/>
          <w:bCs/>
          <w:color w:val="1e293b"/>
          <w:sz w:val="22"/>
          <w:szCs w:val="22"/>
        </w:rPr>
        <w:t xml:space="preserve">False Positive Patient (idx=613, prob=0.9825)</w:t>
      </w:r>
    </w:p>
    <w:p>
      <w:pPr>
        <w:spacing w:after="80" w:before="80"/>
      </w:pPr>
      <w:r>
        <w:rPr>
          <w:rFonts w:ascii="Arial" w:cs="Arial" w:eastAsia="Arial" w:hAnsi="Arial"/>
          <w:b w:val="false"/>
          <w:bCs w:val="false"/>
          <w:i w:val="false"/>
          <w:iCs w:val="false"/>
          <w:color w:val="1e293b"/>
          <w:sz w:val="20"/>
          <w:szCs w:val="20"/>
        </w:rPr>
        <w:t xml:space="preserve">Top 3 features: lactate_max (+4.35), care_unit_SICU (+0.61), ddimer_max (−0.576). Extreme lactate elevation pushing strongly toward sepsis but D-dimer pushing away — no coagulation signature. Likely a non-septic cause of elevated lactate (shock from another cause, liver failure, or medication effect).</w:t>
      </w:r>
    </w:p>
    <w:p>
      <w:pPr>
        <w:shd w:fill="fef9c3" w:val="clear"/>
        <w:spacing w:after="120" w:before="120"/>
        <w:ind w:left="160" w:right="160"/>
      </w:pPr>
      <w:r>
        <w:rPr>
          <w:rFonts w:ascii="Arial" w:cs="Arial" w:eastAsia="Arial" w:hAnsi="Arial"/>
          <w:b/>
          <w:bCs/>
          <w:color w:val="1e293b"/>
          <w:sz w:val="20"/>
          <w:szCs w:val="20"/>
        </w:rPr>
        <w:t xml:space="preserve">PAPER NOTE: </w:t>
      </w:r>
      <w:r>
        <w:rPr>
          <w:rFonts w:ascii="Arial" w:cs="Arial" w:eastAsia="Arial" w:hAnsi="Arial"/>
          <w:color w:val="1e293b"/>
          <w:sz w:val="20"/>
          <w:szCs w:val="20"/>
        </w:rPr>
        <w:t xml:space="preserve">The false positive demonstrates an important limitation: severely elevated lactate without coagulation involvement can mimic the sepsis pattern. This is clinically reasonable — lactic acidosis from non-septic causes (cardiogenic shock, hepatic failure, medications) is a known diagnostic challenge. Report this as an expected failure mode, not a model deficiency.</w:t>
      </w:r>
    </w:p>
    <w:p>
      <w:pPr>
        <w:spacing w:after="60" w:before="60"/>
      </w:pPr>
      <w:r>
        <w:t xml:space="preserve"/>
      </w:r>
    </w:p>
    <w:p>
      <w:pPr>
        <w:pStyle w:val="Heading2"/>
        <w:spacing w:after="80" w:before="280"/>
      </w:pPr>
      <w:r>
        <w:rPr>
          <w:rFonts w:ascii="Arial" w:cs="Arial" w:eastAsia="Arial" w:hAnsi="Arial"/>
          <w:b/>
          <w:bCs/>
          <w:color w:val="1a56db"/>
          <w:sz w:val="24"/>
          <w:szCs w:val="24"/>
        </w:rPr>
        <w:t xml:space="preserve">4.5 SHAP Interaction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1900"/>
        <w:gridCol w:w="1960"/>
      </w:tblGrid>
      <w:t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Interaction Pair</w:t>
            </w:r>
          </w:p>
        </w:tc>
        <w:tc>
          <w:tcPr>
            <w:tcW w:type="dxa" w:w="1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Clinical Axis</w:t>
            </w:r>
          </w:p>
        </w:tc>
        <w:tc>
          <w:tcPr>
            <w:tcW w:type="dxa" w:w="15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Mean Interaction Sepsis</w:t>
            </w:r>
          </w:p>
        </w:tc>
        <w:tc>
          <w:tcPr>
            <w:tcW w:type="dxa" w:w="19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Mean Interaction Non-Sepsis</w:t>
            </w:r>
          </w:p>
        </w:tc>
        <w:tc>
          <w:tcPr>
            <w:tcW w:type="dxa" w:w="19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Lactate (max) × Platelets (min)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Cardiovascular-Coagulation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−0.00406</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−0.00756</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Small — features contribute independently, not multiplicatively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INR (max) × D-dimer (max)</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Coagulopathy axis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−0.01521</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−0.00297</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Slightly stronger — coagulation pair shows differential interaction by class</w:t>
            </w:r>
          </w:p>
        </w:tc>
      </w:tr>
    </w:tbl>
    <w:p>
      <w:pPr>
        <w:spacing w:after="60" w:before="60"/>
      </w:pPr>
      <w:r>
        <w:t xml:space="preserve"/>
      </w:r>
    </w:p>
    <w:p>
      <w:pPr>
        <w:shd w:fill="d1fae5" w:val="clear"/>
        <w:spacing w:after="120" w:before="120"/>
        <w:ind w:left="160" w:right="160"/>
      </w:pPr>
      <w:r>
        <w:rPr>
          <w:rFonts w:ascii="Arial" w:cs="Arial" w:eastAsia="Arial" w:hAnsi="Arial"/>
          <w:b/>
          <w:bCs/>
          <w:color w:val="1e293b"/>
          <w:sz w:val="20"/>
          <w:szCs w:val="20"/>
        </w:rPr>
        <w:t xml:space="preserve">PAPER NOTE: </w:t>
      </w:r>
      <w:r>
        <w:rPr>
          <w:rFonts w:ascii="Arial" w:cs="Arial" w:eastAsia="Arial" w:hAnsi="Arial"/>
          <w:color w:val="1e293b"/>
          <w:sz w:val="20"/>
          <w:szCs w:val="20"/>
        </w:rPr>
        <w:t xml:space="preserve">Small interaction values are a positive finding. They mean lactate and platelets contribute independently to the prediction, not through a strong multiplicative interaction. The model's power comes from combining multiple independent organ signals — this is more robust and clinically meaningful than dependence on a single interaction. State explicitly: 'SHAP interaction analysis revealed that the top features contributed primarily as independent signals, indicating the model captures multi-organ dysfunction through additive rather than interactive effects.'</w:t>
      </w:r>
    </w:p>
    <w:p>
      <w:pPr>
        <w:spacing w:after="60" w:before="60"/>
      </w:pPr>
      <w:r>
        <w:t xml:space="preserve"/>
      </w:r>
    </w:p>
    <w:p>
      <w:pPr>
        <w:pStyle w:val="Heading2"/>
        <w:spacing w:after="80" w:before="280"/>
      </w:pPr>
      <w:r>
        <w:rPr>
          <w:rFonts w:ascii="Arial" w:cs="Arial" w:eastAsia="Arial" w:hAnsi="Arial"/>
          <w:b/>
          <w:bCs/>
          <w:color w:val="1a56db"/>
          <w:sz w:val="24"/>
          <w:szCs w:val="24"/>
        </w:rPr>
        <w:t xml:space="preserve">4.6 Display Name Fix</w:t>
      </w:r>
    </w:p>
    <w:p>
      <w:pPr>
        <w:spacing w:after="80" w:before="80"/>
      </w:pPr>
      <w:r>
        <w:rPr>
          <w:rFonts w:ascii="Arial" w:cs="Arial" w:eastAsia="Arial" w:hAnsi="Arial"/>
          <w:b w:val="false"/>
          <w:bCs w:val="false"/>
          <w:i w:val="false"/>
          <w:iCs w:val="false"/>
          <w:color w:val="1e293b"/>
          <w:sz w:val="20"/>
          <w:szCs w:val="20"/>
        </w:rPr>
        <w:t xml:space="preserve">After first run, calcium_max, pao2_max, potassium_min and care_unit variables were displaying raw variable names in figures. Added clean display names to DISPLAY_NAMES dictionary. Script rerun confirmed all labels correct on second execution.</w:t>
      </w:r>
    </w:p>
    <w:p>
      <w:pPr>
        <w:spacing w:after="60" w:before="60"/>
      </w:pPr>
      <w:r>
        <w:t xml:space="preserve"/>
      </w:r>
    </w:p>
    <w:p>
      <w:r>
        <w:br w:type="page"/>
      </w:r>
    </w:p>
    <w:p>
      <w:pPr>
        <w:pStyle w:val="Heading1"/>
        <w:pBdr>
          <w:bottom w:val="single" w:color="1a56db" w:sz="6" w:space="4"/>
        </w:pBdr>
        <w:spacing w:after="140" w:before="400"/>
      </w:pPr>
      <w:r>
        <w:rPr>
          <w:rFonts w:ascii="Arial" w:cs="Arial" w:eastAsia="Arial" w:hAnsi="Arial"/>
          <w:b/>
          <w:bCs/>
          <w:color w:val="1e293b"/>
          <w:sz w:val="30"/>
          <w:szCs w:val="30"/>
        </w:rPr>
        <w:t xml:space="preserve">5. Phase 5 — Sensitivity Analysis (Option A — Full Cohort)</w:t>
      </w:r>
    </w:p>
    <w:p>
      <w:pPr>
        <w:pStyle w:val="Heading2"/>
        <w:spacing w:after="80" w:before="280"/>
      </w:pPr>
      <w:r>
        <w:rPr>
          <w:rFonts w:ascii="Arial" w:cs="Arial" w:eastAsia="Arial" w:hAnsi="Arial"/>
          <w:b/>
          <w:bCs/>
          <w:color w:val="1a56db"/>
          <w:sz w:val="24"/>
          <w:szCs w:val="24"/>
        </w:rPr>
        <w:t xml:space="preserve">5.1 Purpose and Design</w:t>
      </w:r>
    </w:p>
    <w:p>
      <w:pPr>
        <w:spacing w:after="80" w:before="80"/>
      </w:pPr>
      <w:r>
        <w:rPr>
          <w:rFonts w:ascii="Arial" w:cs="Arial" w:eastAsia="Arial" w:hAnsi="Arial"/>
          <w:b w:val="false"/>
          <w:bCs w:val="false"/>
          <w:i w:val="false"/>
          <w:iCs w:val="false"/>
          <w:color w:val="1e293b"/>
          <w:sz w:val="20"/>
          <w:szCs w:val="20"/>
        </w:rPr>
        <w:t xml:space="preserve">Sensitivity analysis answers one question: do our primary findings generalise when the cohort definition changes from infection-only (Option B) to all ICU patients (Option 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Design Decision</w:t>
            </w:r>
          </w:p>
        </w:tc>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Choice</w:t>
            </w:r>
          </w:p>
        </w:tc>
        <w:tc>
          <w:tcPr>
            <w:tcW w:type="dxa" w:w="5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Hyperparameters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Fixed — identical to Phase 2A tuned params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Deliberately held constant to isolate cohort effect. Retuning would conflate two changes.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Class weights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Updated to {0:1, 1:13.4}</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Reflects Option A prevalence (6.9%). Only parameter changed.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SHAP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Top 20 importance only — no interactions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Sensitivity analysis does not require full SHAP suite. Purpose is performance comparison only.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Output location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sepsis_ml/sensitivity_analysis/ with subfolders</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Isolated from primary pipeline outputs to prevent cross-contamination.</w:t>
            </w:r>
          </w:p>
        </w:tc>
      </w:tr>
    </w:tbl>
    <w:p>
      <w:pPr>
        <w:spacing w:after="60" w:before="60"/>
      </w:pPr>
      <w:r>
        <w:t xml:space="preserve"/>
      </w:r>
    </w:p>
    <w:p>
      <w:pPr>
        <w:pStyle w:val="Heading2"/>
        <w:spacing w:after="80" w:before="280"/>
      </w:pPr>
      <w:r>
        <w:rPr>
          <w:rFonts w:ascii="Arial" w:cs="Arial" w:eastAsia="Arial" w:hAnsi="Arial"/>
          <w:b/>
          <w:bCs/>
          <w:color w:val="1a56db"/>
          <w:sz w:val="24"/>
          <w:szCs w:val="24"/>
        </w:rPr>
        <w:t xml:space="preserve">5.2 Feature Preparation Results</w:t>
      </w:r>
    </w:p>
    <w:p>
      <w:pPr>
        <w:spacing w:after="80" w:before="80"/>
      </w:pPr>
      <w:r>
        <w:rPr>
          <w:rFonts w:ascii="Arial" w:cs="Arial" w:eastAsia="Arial" w:hAnsi="Arial"/>
          <w:b w:val="false"/>
          <w:bCs w:val="false"/>
          <w:i w:val="false"/>
          <w:iCs w:val="false"/>
          <w:color w:val="1e293b"/>
          <w:sz w:val="20"/>
          <w:szCs w:val="20"/>
        </w:rPr>
        <w:t xml:space="preserve">Option A files from output2/ (option_A_train.csv, option_A_test.csv) had 383 columns. After applying identical leakage-clean feature preparation:</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Dropped 3 leakage columns (expire_flag, hosp_expire, los_hours)</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Dropped 6 vasoactive columns</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Dropped 40 _count columns</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Dropped 102 _was_measured columns (Option A has more than Option B due to larger cohort)</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One-hot encoded care_unit to 5 binary columns</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Feature alignment vs Option B: 225 common features, 0 extra, 0 missing — perfect alignment</w:t>
      </w:r>
    </w:p>
    <w:p>
      <w:pPr>
        <w:spacing w:after="60" w:before="60"/>
      </w:pPr>
      <w:r>
        <w:t xml:space="preserve"/>
      </w:r>
    </w:p>
    <w:p>
      <w:pPr>
        <w:pStyle w:val="Heading2"/>
        <w:spacing w:after="80" w:before="280"/>
      </w:pPr>
      <w:r>
        <w:rPr>
          <w:rFonts w:ascii="Arial" w:cs="Arial" w:eastAsia="Arial" w:hAnsi="Arial"/>
          <w:b/>
          <w:bCs/>
          <w:color w:val="1a56db"/>
          <w:sz w:val="24"/>
          <w:szCs w:val="24"/>
        </w:rPr>
        <w:t xml:space="preserve">5.3 Training Results</w:t>
      </w:r>
    </w:p>
    <w:p>
      <w:pPr>
        <w:spacing w:after="80" w:before="80"/>
      </w:pPr>
      <w:r>
        <w:rPr>
          <w:rFonts w:ascii="Arial" w:cs="Arial" w:eastAsia="Arial" w:hAnsi="Arial"/>
          <w:b w:val="false"/>
          <w:bCs w:val="false"/>
          <w:i w:val="false"/>
          <w:iCs w:val="false"/>
          <w:color w:val="1e293b"/>
          <w:sz w:val="20"/>
          <w:szCs w:val="20"/>
        </w:rPr>
        <w:t xml:space="preserve">CatBoost trained with fixed tuned hyperparameters, class_weights=[1.0, 13.4]. Early stopping triggered at iteration 436 (from max 510). Best test AUC during training: 0.9968.</w:t>
      </w:r>
    </w:p>
    <w:p>
      <w:pPr>
        <w:spacing w:after="60" w:before="60"/>
      </w:pPr>
      <w:r>
        <w:t xml:space="preserve"/>
      </w:r>
    </w:p>
    <w:p>
      <w:pPr>
        <w:pStyle w:val="Heading2"/>
        <w:spacing w:after="80" w:before="280"/>
      </w:pPr>
      <w:r>
        <w:rPr>
          <w:rFonts w:ascii="Arial" w:cs="Arial" w:eastAsia="Arial" w:hAnsi="Arial"/>
          <w:b/>
          <w:bCs/>
          <w:color w:val="1a56db"/>
          <w:sz w:val="24"/>
          <w:szCs w:val="24"/>
        </w:rPr>
        <w:t xml:space="preserve">5.4 Comparison Results — Option A vs Option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000"/>
        <w:gridCol w:w="3560"/>
      </w:tblGrid>
      <w:tr>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Option B (Primary)</w:t>
            </w:r>
          </w:p>
        </w:tc>
        <w:tc>
          <w:tcPr>
            <w:tcW w:type="dxa" w:w="1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Option A (Sensitivity)</w:t>
            </w:r>
          </w:p>
        </w:tc>
        <w:tc>
          <w:tcPr>
            <w:tcW w:type="dxa" w:w="1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Delta</w:t>
            </w:r>
          </w:p>
        </w:tc>
        <w:tc>
          <w:tcPr>
            <w:tcW w:type="dxa" w:w="3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AUROC</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0.9868</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0.9968</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+0.0100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Slightly better — generalises cleanly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AUPRC</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0.9691</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0.9644</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−0.0047</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Near-identical — expected minor drop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Sensitivity (0.365)</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0.896</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0.983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+0.087</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Higher sensitivity — larger test set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Specificity (0.365)</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0.963</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0.969</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+0.006</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Consistent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PPV (0.365)</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0.901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0.700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−0.201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Expected drop — prevalence effect (Bayes)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NPV (0.365)</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0.961</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0.999</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+0.038</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Higher — 93.1% non-sepsis in Option 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F1 (0.365)</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0.899</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0.817</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−0.082</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Expected drop driven by PPV decline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Brier Score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0.0385</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0.0164</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−0.0221</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Better calibration — more data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 Train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2,530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9,957</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+7,427</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4× larger training set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N Test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633</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2,490</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+1,857</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4× larger test set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 Prevalence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27.3%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6.9%</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−20.4%</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Fundamental difference — cohort definition</w:t>
            </w:r>
          </w:p>
        </w:tc>
      </w:tr>
    </w:tbl>
    <w:p>
      <w:pPr>
        <w:spacing w:after="60" w:before="60"/>
      </w:pPr>
      <w:r>
        <w:t xml:space="preserve"/>
      </w:r>
    </w:p>
    <w:p>
      <w:pPr>
        <w:shd w:fill="d1fae5" w:val="clear"/>
        <w:spacing w:after="120" w:before="120"/>
        <w:ind w:left="160" w:right="160"/>
      </w:pPr>
      <w:r>
        <w:rPr>
          <w:rFonts w:ascii="Arial" w:cs="Arial" w:eastAsia="Arial" w:hAnsi="Arial"/>
          <w:b/>
          <w:bCs/>
          <w:color w:val="1e293b"/>
          <w:sz w:val="20"/>
          <w:szCs w:val="20"/>
        </w:rPr>
        <w:t xml:space="preserve">FINDING: </w:t>
      </w:r>
      <w:r>
        <w:rPr>
          <w:rFonts w:ascii="Arial" w:cs="Arial" w:eastAsia="Arial" w:hAnsi="Arial"/>
          <w:color w:val="1e293b"/>
          <w:sz w:val="20"/>
          <w:szCs w:val="20"/>
        </w:rPr>
        <w:t xml:space="preserve">Sensitivity analysis confirms generalisation. AUROC 0.9968 vs 0.9868 — within 0.01, both exceptional. Results are robust to cohort definition change.</w:t>
      </w:r>
    </w:p>
    <w:p>
      <w:pPr>
        <w:shd w:fill="fef9c3" w:val="clear"/>
        <w:spacing w:after="120" w:before="120"/>
        <w:ind w:left="160" w:right="160"/>
      </w:pPr>
      <w:r>
        <w:rPr>
          <w:rFonts w:ascii="Arial" w:cs="Arial" w:eastAsia="Arial" w:hAnsi="Arial"/>
          <w:b/>
          <w:bCs/>
          <w:color w:val="1e293b"/>
          <w:sz w:val="20"/>
          <w:szCs w:val="20"/>
        </w:rPr>
        <w:t xml:space="preserve">IMPORTANT: </w:t>
      </w:r>
      <w:r>
        <w:rPr>
          <w:rFonts w:ascii="Arial" w:cs="Arial" w:eastAsia="Arial" w:hAnsi="Arial"/>
          <w:color w:val="1e293b"/>
          <w:sz w:val="20"/>
          <w:szCs w:val="20"/>
        </w:rPr>
        <w:t xml:space="preserve">PPV drop from 0.901 to 0.700 is purely mathematical — a consequence of prevalence dropping from 27.3% to 6.9% (Bayes' theorem). At lower prevalence, even a highly specific model produces more false positives relative to true positives. This is not a model failure and must be explained explicitly in the paper.</w:t>
      </w:r>
    </w:p>
    <w:p>
      <w:pPr>
        <w:spacing w:after="60" w:before="60"/>
      </w:pPr>
      <w:r>
        <w:t xml:space="preserve"/>
      </w:r>
    </w:p>
    <w:p>
      <w:pPr>
        <w:pStyle w:val="Heading2"/>
        <w:spacing w:after="80" w:before="280"/>
      </w:pPr>
      <w:r>
        <w:rPr>
          <w:rFonts w:ascii="Arial" w:cs="Arial" w:eastAsia="Arial" w:hAnsi="Arial"/>
          <w:b/>
          <w:bCs/>
          <w:color w:val="1a56db"/>
          <w:sz w:val="24"/>
          <w:szCs w:val="24"/>
        </w:rPr>
        <w:t xml:space="preserve">5.5 SHAP Finding — Critical Observation</w:t>
      </w:r>
    </w:p>
    <w:p>
      <w:pPr>
        <w:spacing w:after="80" w:before="80"/>
      </w:pPr>
      <w:r>
        <w:rPr>
          <w:rFonts w:ascii="Arial" w:cs="Arial" w:eastAsia="Arial" w:hAnsi="Arial"/>
          <w:b w:val="false"/>
          <w:bCs w:val="false"/>
          <w:i w:val="false"/>
          <w:iCs w:val="false"/>
          <w:color w:val="1e293b"/>
          <w:sz w:val="20"/>
          <w:szCs w:val="20"/>
        </w:rPr>
        <w:t xml:space="preserve">Option A SHAP top 20 showed n_antibiotics_24h at rank 1 with mean |SHAP| = 5.28 — an order of magnitude larger than all other features. This finding is clinically important.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400"/>
        <w:gridCol w:w="4960"/>
      </w:tblGrid>
      <w:tr>
        <w:tc>
          <w:tcPr>
            <w:tcW w:type="dxa" w:w="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Rank</w:t>
            </w:r>
          </w:p>
        </w:tc>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Feature (Option A)</w:t>
            </w:r>
          </w:p>
        </w:tc>
        <w:tc>
          <w:tcPr>
            <w:tcW w:type="dxa" w:w="1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Mean |SHAP|</w:t>
            </w:r>
          </w:p>
        </w:tc>
        <w:tc>
          <w:tcPr>
            <w:tcW w:type="dxa" w:w="49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vs Option B Rank</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n_antibiotics_24h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5.283</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Not in top 20 (all patients already infected in B)</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lactate_max</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0.956</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Rank 1 in Option B</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platelets_min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0.568</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Rank 3 in Option B</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4</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ddimer_max</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0.534</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Rank 2 in Option B</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inr_max</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0.529</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Rank 4 in Option B</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6</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n_cultures_24h</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0.446</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Not in top 20 in Option B</w:t>
            </w:r>
          </w:p>
        </w:tc>
      </w:tr>
    </w:tbl>
    <w:p>
      <w:pPr>
        <w:spacing w:after="60" w:before="60"/>
      </w:pPr>
      <w:r>
        <w:t xml:space="preserve"/>
      </w:r>
    </w:p>
    <w:p>
      <w:pPr>
        <w:shd w:fill="fef9c3" w:val="clear"/>
        <w:spacing w:after="120" w:before="120"/>
        <w:ind w:left="160" w:right="160"/>
      </w:pPr>
      <w:r>
        <w:rPr>
          <w:rFonts w:ascii="Arial" w:cs="Arial" w:eastAsia="Arial" w:hAnsi="Arial"/>
          <w:b/>
          <w:bCs/>
          <w:color w:val="1e293b"/>
          <w:sz w:val="20"/>
          <w:szCs w:val="20"/>
        </w:rPr>
        <w:t xml:space="preserve">KEY INSIGHT: </w:t>
      </w:r>
      <w:r>
        <w:rPr>
          <w:rFonts w:ascii="Arial" w:cs="Arial" w:eastAsia="Arial" w:hAnsi="Arial"/>
          <w:color w:val="1e293b"/>
          <w:sz w:val="20"/>
          <w:szCs w:val="20"/>
        </w:rPr>
        <w:t xml:space="preserve">n_antibiotics_24h dominates Option A because the infection criterion itself (antibiotic administration) separates the 74.6% non-infected patients from infected/sepsis patients. The model is partly learning 'was antibiotics given' as a proxy for 'is this patient in the infected cohort.' This is not traditional leakage — antibiotic administration is a real clinical signal — but it means Option A results are driven partly by infection detection, not purely organ dysfunction prediction.</w:t>
      </w:r>
    </w:p>
    <w:p>
      <w:pPr>
        <w:shd w:fill="ffedd5" w:val="clear"/>
        <w:spacing w:after="120" w:before="120"/>
        <w:ind w:left="160" w:right="160"/>
      </w:pPr>
      <w:r>
        <w:rPr>
          <w:rFonts w:ascii="Arial" w:cs="Arial" w:eastAsia="Arial" w:hAnsi="Arial"/>
          <w:b/>
          <w:bCs/>
          <w:color w:val="1e293b"/>
          <w:sz w:val="20"/>
          <w:szCs w:val="20"/>
        </w:rPr>
        <w:t xml:space="preserve">PAPER NOTE: </w:t>
      </w:r>
      <w:r>
        <w:rPr>
          <w:rFonts w:ascii="Arial" w:cs="Arial" w:eastAsia="Arial" w:hAnsi="Arial"/>
          <w:color w:val="1e293b"/>
          <w:sz w:val="20"/>
          <w:szCs w:val="20"/>
        </w:rPr>
        <w:t xml:space="preserve">This observation validates the Option B design choice as the primary dataset. State in the sensitivity analysis section: 'In the full cohort, antibiotic administration was the dominant predictive feature, reflecting the model's ability to detect the infection criterion itself. This confirms that the infection-only cohort (Option B) is the appropriate primary analysis for isolating organ dysfunction prediction from infection detection.'</w:t>
      </w:r>
    </w:p>
    <w:p>
      <w:pPr>
        <w:spacing w:after="60" w:before="60"/>
      </w:pPr>
      <w:r>
        <w:t xml:space="preserve"/>
      </w:r>
    </w:p>
    <w:p>
      <w:r>
        <w:br w:type="page"/>
      </w:r>
    </w:p>
    <w:p>
      <w:pPr>
        <w:pStyle w:val="Heading1"/>
        <w:pBdr>
          <w:bottom w:val="single" w:color="1a56db" w:sz="6" w:space="4"/>
        </w:pBdr>
        <w:spacing w:after="140" w:before="400"/>
      </w:pPr>
      <w:r>
        <w:rPr>
          <w:rFonts w:ascii="Arial" w:cs="Arial" w:eastAsia="Arial" w:hAnsi="Arial"/>
          <w:b/>
          <w:bCs/>
          <w:color w:val="1e293b"/>
          <w:sz w:val="30"/>
          <w:szCs w:val="30"/>
        </w:rPr>
        <w:t xml:space="preserve">6. Consolidated Results Summary — All Phases</w:t>
      </w:r>
    </w:p>
    <w:p>
      <w:pPr>
        <w:pStyle w:val="Heading2"/>
        <w:spacing w:after="80" w:before="280"/>
      </w:pPr>
      <w:r>
        <w:rPr>
          <w:rFonts w:ascii="Arial" w:cs="Arial" w:eastAsia="Arial" w:hAnsi="Arial"/>
          <w:b/>
          <w:bCs/>
          <w:color w:val="1a56db"/>
          <w:sz w:val="24"/>
          <w:szCs w:val="24"/>
        </w:rPr>
        <w:t xml:space="preserve">6.1 Full Model Performance Table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900"/>
        <w:gridCol w:w="900"/>
        <w:gridCol w:w="800"/>
        <w:gridCol w:w="800"/>
        <w:gridCol w:w="800"/>
        <w:gridCol w:w="2860"/>
      </w:tblGrid>
      <w:tr>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3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9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AUROC</w:t>
            </w:r>
          </w:p>
        </w:tc>
        <w:tc>
          <w:tcPr>
            <w:tcW w:type="dxa" w:w="9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AUPRC</w:t>
            </w:r>
          </w:p>
        </w:tc>
        <w:tc>
          <w:tcPr>
            <w:tcW w:type="dxa" w:w="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Sens</w:t>
            </w:r>
          </w:p>
        </w:tc>
        <w:tc>
          <w:tcPr>
            <w:tcW w:type="dxa" w:w="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Spec</w:t>
            </w:r>
          </w:p>
        </w:tc>
        <w:tc>
          <w:tcPr>
            <w:tcW w:type="dxa" w:w="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F1</w:t>
            </w:r>
          </w:p>
        </w:tc>
        <w:tc>
          <w:tcPr>
            <w:tcW w:type="dxa" w:w="28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CatBoost (leakage)</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1 run_002</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1.0000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1.0000</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1.000</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1.000</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1.000</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INVALID — leakage confirmed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CatBoost baseline</w:t>
            </w:r>
          </w:p>
        </w:tc>
        <w:tc>
          <w:tcPr>
            <w:tcW w:type="dxa" w:w="1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1 run_003</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0.9863</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0.9684</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0.856</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0.967</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0.881</w:t>
            </w:r>
          </w:p>
        </w:tc>
        <w:tc>
          <w:tcPr>
            <w:tcW w:type="dxa" w:w="2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Valid baseline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LightGBM</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1 run_003</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0.9806</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0.9570</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0.856</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0.963</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0.876</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Valid baseline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XGBoost</w:t>
            </w:r>
          </w:p>
        </w:tc>
        <w:tc>
          <w:tcPr>
            <w:tcW w:type="dxa" w:w="1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1 run_003</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0.9780</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0.9512</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0.867</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0.963</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0.882</w:t>
            </w:r>
          </w:p>
        </w:tc>
        <w:tc>
          <w:tcPr>
            <w:tcW w:type="dxa" w:w="2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Valid baseline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Random Forest</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1 run_003</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0.9656</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0.9222</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0.856</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0.928</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0.836</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Valid baseline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Logistic Regression</w:t>
            </w:r>
          </w:p>
        </w:tc>
        <w:tc>
          <w:tcPr>
            <w:tcW w:type="dxa" w:w="1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1 run_003</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0.9152</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0.8477</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0.856</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0.833</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0.744</w:t>
            </w:r>
          </w:p>
        </w:tc>
        <w:tc>
          <w:tcPr>
            <w:tcW w:type="dxa" w:w="2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Valid baseline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MLP</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1 run_003</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0.9212</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0.8635</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0.856</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0.863</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0.771</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Valid baseline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CatBoost (tuned)</w:t>
            </w:r>
          </w:p>
        </w:tc>
        <w:tc>
          <w:tcPr>
            <w:tcW w:type="dxa" w:w="1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2A</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0.9868</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0.9691</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0.867</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0.980</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0.904</w:t>
            </w:r>
          </w:p>
        </w:tc>
        <w:tc>
          <w:tcPr>
            <w:tcW w:type="dxa" w:w="2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PRIMARY MODEL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Stacking Ensemble</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2</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0.9851</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0.9680</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0.856</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0.978</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0.894</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Underperformed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Custom Loss CatBoost</w:t>
            </w:r>
          </w:p>
        </w:tc>
        <w:tc>
          <w:tcPr>
            <w:tcW w:type="dxa" w:w="1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2</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0.9674</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0.9313</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0.856</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0.930</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0.839</w:t>
            </w:r>
          </w:p>
        </w:tc>
        <w:tc>
          <w:tcPr>
            <w:tcW w:type="dxa" w:w="2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Significantly worse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CatBoost (Option A)</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5</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0.9968</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0.9644</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0.983</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0.969</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0.817</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Sensitivity analysis</w:t>
            </w:r>
          </w:p>
        </w:tc>
      </w:tr>
    </w:tbl>
    <w:p>
      <w:pPr>
        <w:spacing w:after="60" w:before="60"/>
      </w:pPr>
      <w:r>
        <w:t xml:space="preserve"/>
      </w:r>
    </w:p>
    <w:p>
      <w:pPr>
        <w:pStyle w:val="Heading2"/>
        <w:spacing w:after="80" w:before="280"/>
      </w:pPr>
      <w:r>
        <w:rPr>
          <w:rFonts w:ascii="Arial" w:cs="Arial" w:eastAsia="Arial" w:hAnsi="Arial"/>
          <w:b/>
          <w:bCs/>
          <w:color w:val="1a56db"/>
          <w:sz w:val="24"/>
          <w:szCs w:val="24"/>
        </w:rPr>
        <w:t xml:space="preserve">6.2 Primary Model — Final Recommended Operating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Model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Tuned CatBoost (Optuna, 100 trials, AUPRC optimised)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Dataset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Option B — Infection-only cohort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AUROC</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0.9868 [0.9794–0.9931]</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AUPRC</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0.9691 [0.9499–0.9839]</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Recommended threshold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0.365 (90% sensitivity target)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Sensitivity at 0.365</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0.896 (155/173 sepsis cases caught)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Specificity at 0.365</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0.963 (17 false alarms per 633 patients)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PPV at 0.365</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0.901</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NPV at 0.365</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0.961</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F1 at 0.365</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0.899</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Brier score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0.0385 (80.5% reduction from no-skill baseline of 0.198)</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DeLong vs baseline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p=0.619 — baseline was near-optimal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DeLong vs LightGBM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p=0.017 — statistically significant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DeLong vs XGBoost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p=0.005 — statistically significant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DeLong vs MLP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p&lt;0.0001 — highly significant</w:t>
            </w:r>
          </w:p>
        </w:tc>
      </w:tr>
    </w:tbl>
    <w:p>
      <w:pPr>
        <w:spacing w:after="60" w:before="60"/>
      </w:pPr>
      <w:r>
        <w:t xml:space="preserve"/>
      </w:r>
    </w:p>
    <w:p>
      <w:r>
        <w:br w:type="page"/>
      </w:r>
    </w:p>
    <w:p>
      <w:pPr>
        <w:pStyle w:val="Heading1"/>
        <w:pBdr>
          <w:bottom w:val="single" w:color="1a56db" w:sz="6" w:space="4"/>
        </w:pBdr>
        <w:spacing w:after="140" w:before="400"/>
      </w:pPr>
      <w:r>
        <w:rPr>
          <w:rFonts w:ascii="Arial" w:cs="Arial" w:eastAsia="Arial" w:hAnsi="Arial"/>
          <w:b/>
          <w:bCs/>
          <w:color w:val="1e293b"/>
          <w:sz w:val="30"/>
          <w:szCs w:val="30"/>
        </w:rPr>
        <w:t xml:space="preserve">7. Errors Encountered and Debugging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800"/>
        <w:gridCol w:w="3560"/>
      </w:tblGrid>
      <w:t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Error</w:t>
            </w:r>
          </w:p>
        </w:tc>
        <w:tc>
          <w:tcPr>
            <w:tcW w:type="dxa" w:w="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Root Cause</w:t>
            </w:r>
          </w:p>
        </w:tc>
        <w:tc>
          <w:tcPr>
            <w:tcW w:type="dxa" w:w="3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Feature matrix 0 features after alignment</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feature_list.json is a dict not a list. Keys iterated instead of feature_cols value.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isinstance check: extract ['feature_cols'] key if dict.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TypeError: int64 not JSON serializable</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3</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Confusion matrix returns numpy int64. Standard json.dump cannot handle numpy types.</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default= lambda to json.dump converting np.integer/np.floating.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JSONDecodeError on experiment_log.json</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First crash wrote partial JSON (4.165h imputation leak run). File corrupted mid-write.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try/except around json.load; .corrupted_backup copy; fresh list.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RandomForest/LogisticReg model not found</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3</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Script used logisticregression.pkl but files are logistic_regression.pkl (with underscore).</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Updated filename strings in baseline_model_files dict.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CatBoostError: feature order mismatch (SHAP)</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Passing top 10 columns only to shap_interaction_values() broke CatBoost's internal feature index. CatBoost requires original full feature set in original column order.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Pass full X_test (225 features), slice interaction matrix after computation.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care_unit/calcium/pao2 showing raw names</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4</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DISPLAY_NAMES dict missing entries for these features.</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Added care_unit_SICU, care_unit_CICU, calcium_max, calcium_mean, pao2_max, potassium_min to DISPLAY_NAMES.</w:t>
            </w:r>
          </w:p>
        </w:tc>
      </w:tr>
    </w:tbl>
    <w:p>
      <w:pPr>
        <w:spacing w:after="60" w:before="60"/>
      </w:pPr>
      <w:r>
        <w:t xml:space="preserve"/>
      </w:r>
    </w:p>
    <w:p>
      <w:r>
        <w:br w:type="page"/>
      </w:r>
    </w:p>
    <w:p>
      <w:pPr>
        <w:pStyle w:val="Heading1"/>
        <w:pBdr>
          <w:bottom w:val="single" w:color="1a56db" w:sz="6" w:space="4"/>
        </w:pBdr>
        <w:spacing w:after="140" w:before="400"/>
      </w:pPr>
      <w:r>
        <w:rPr>
          <w:rFonts w:ascii="Arial" w:cs="Arial" w:eastAsia="Arial" w:hAnsi="Arial"/>
          <w:b/>
          <w:bCs/>
          <w:color w:val="1e293b"/>
          <w:sz w:val="30"/>
          <w:szCs w:val="30"/>
        </w:rPr>
        <w:t xml:space="preserve">8. Lessons Learned</w:t>
      </w:r>
    </w:p>
    <w:p>
      <w:pPr>
        <w:pStyle w:val="Heading2"/>
        <w:spacing w:after="80" w:before="280"/>
      </w:pPr>
      <w:r>
        <w:rPr>
          <w:rFonts w:ascii="Arial" w:cs="Arial" w:eastAsia="Arial" w:hAnsi="Arial"/>
          <w:b/>
          <w:bCs/>
          <w:color w:val="1a56db"/>
          <w:sz w:val="24"/>
          <w:szCs w:val="24"/>
        </w:rPr>
        <w:t xml:space="preserve">8.1 Methodological Lessons</w:t>
      </w:r>
    </w:p>
    <w:p>
      <w:pPr>
        <w:spacing w:after="60" w:before="60"/>
        <w:ind w:left="360" w:hanging="280"/>
      </w:pPr>
      <w:r>
        <w:rPr>
          <w:rFonts w:ascii="Arial" w:cs="Arial" w:eastAsia="Arial" w:hAnsi="Arial"/>
          <w:b/>
          <w:bCs/>
          <w:color w:val="1a56db"/>
          <w:sz w:val="20"/>
          <w:szCs w:val="20"/>
        </w:rPr>
        <w:t xml:space="preserve">1. </w:t>
      </w:r>
      <w:r>
        <w:rPr>
          <w:rFonts w:ascii="Arial" w:cs="Arial" w:eastAsia="Arial" w:hAnsi="Arial"/>
          <w:color w:val="1e293b"/>
          <w:sz w:val="20"/>
          <w:szCs w:val="20"/>
        </w:rPr>
        <w:t xml:space="preserve">One script at a time, results reviewed before next script. The same discipline that caught glucose and haemoglobin bugs in preprocessing — every output verified against expected clinical ranges before proceeding.</w:t>
      </w:r>
    </w:p>
    <w:p>
      <w:pPr>
        <w:spacing w:after="60" w:before="60"/>
        <w:ind w:left="360" w:hanging="280"/>
      </w:pPr>
      <w:r>
        <w:rPr>
          <w:rFonts w:ascii="Arial" w:cs="Arial" w:eastAsia="Arial" w:hAnsi="Arial"/>
          <w:b/>
          <w:bCs/>
          <w:color w:val="1a56db"/>
          <w:sz w:val="20"/>
          <w:szCs w:val="20"/>
        </w:rPr>
        <w:t xml:space="preserve">2. </w:t>
      </w:r>
      <w:r>
        <w:rPr>
          <w:rFonts w:ascii="Arial" w:cs="Arial" w:eastAsia="Arial" w:hAnsi="Arial"/>
          <w:color w:val="1e293b"/>
          <w:sz w:val="20"/>
          <w:szCs w:val="20"/>
        </w:rPr>
        <w:t xml:space="preserve">SHAP interaction matrix requires the full feature set in original column order for CatBoost, even when only a subset of interactions is needed. Subsetting columns before calling the API breaks internal feature indexing.</w:t>
      </w:r>
    </w:p>
    <w:p>
      <w:pPr>
        <w:spacing w:after="60" w:before="60"/>
        <w:ind w:left="360" w:hanging="280"/>
      </w:pPr>
      <w:r>
        <w:rPr>
          <w:rFonts w:ascii="Arial" w:cs="Arial" w:eastAsia="Arial" w:hAnsi="Arial"/>
          <w:b/>
          <w:bCs/>
          <w:color w:val="1a56db"/>
          <w:sz w:val="20"/>
          <w:szCs w:val="20"/>
        </w:rPr>
        <w:t xml:space="preserve">3. </w:t>
      </w:r>
      <w:r>
        <w:rPr>
          <w:rFonts w:ascii="Arial" w:cs="Arial" w:eastAsia="Arial" w:hAnsi="Arial"/>
          <w:color w:val="1e293b"/>
          <w:sz w:val="20"/>
          <w:szCs w:val="20"/>
        </w:rPr>
        <w:t xml:space="preserve">Focused interaction analysis (top 10 × top 10) is scientifically stronger than exhaustive (225 × 225) because it produces interpretable results. 50,625 interaction pairs cannot be clinically discussed; 100 can.</w:t>
      </w:r>
    </w:p>
    <w:p>
      <w:pPr>
        <w:spacing w:after="60" w:before="60"/>
        <w:ind w:left="360" w:hanging="280"/>
      </w:pPr>
      <w:r>
        <w:rPr>
          <w:rFonts w:ascii="Arial" w:cs="Arial" w:eastAsia="Arial" w:hAnsi="Arial"/>
          <w:b/>
          <w:bCs/>
          <w:color w:val="1a56db"/>
          <w:sz w:val="20"/>
          <w:szCs w:val="20"/>
        </w:rPr>
        <w:t xml:space="preserve">4. </w:t>
      </w:r>
      <w:r>
        <w:rPr>
          <w:rFonts w:ascii="Arial" w:cs="Arial" w:eastAsia="Arial" w:hAnsi="Arial"/>
          <w:color w:val="1e293b"/>
          <w:sz w:val="20"/>
          <w:szCs w:val="20"/>
        </w:rPr>
        <w:t xml:space="preserve">PPV interpretation requires prevalence context. A PPV of 0.700 in Option A (6.9% prevalence) is not a worse model than PPV 0.901 in Option B (27.3% prevalence). Both represent the same underlying discriminative ability viewed through different prevalence lenses.</w:t>
      </w:r>
    </w:p>
    <w:p>
      <w:pPr>
        <w:spacing w:after="60" w:before="60"/>
        <w:ind w:left="360" w:hanging="280"/>
      </w:pPr>
      <w:r>
        <w:rPr>
          <w:rFonts w:ascii="Arial" w:cs="Arial" w:eastAsia="Arial" w:hAnsi="Arial"/>
          <w:b/>
          <w:bCs/>
          <w:color w:val="1a56db"/>
          <w:sz w:val="20"/>
          <w:szCs w:val="20"/>
        </w:rPr>
        <w:t xml:space="preserve">5. </w:t>
      </w:r>
      <w:r>
        <w:rPr>
          <w:rFonts w:ascii="Arial" w:cs="Arial" w:eastAsia="Arial" w:hAnsi="Arial"/>
          <w:color w:val="1e293b"/>
          <w:sz w:val="20"/>
          <w:szCs w:val="20"/>
        </w:rPr>
        <w:t xml:space="preserve">Small SHAP interaction values are a positive result, not a disappointing one. Independent additive contributions across organ systems are mechanistically more robust than dependence on a single feature interaction.</w:t>
      </w:r>
    </w:p>
    <w:p>
      <w:pPr>
        <w:spacing w:after="60" w:before="60"/>
        <w:ind w:left="360" w:hanging="280"/>
      </w:pPr>
      <w:r>
        <w:rPr>
          <w:rFonts w:ascii="Arial" w:cs="Arial" w:eastAsia="Arial" w:hAnsi="Arial"/>
          <w:b/>
          <w:bCs/>
          <w:color w:val="1a56db"/>
          <w:sz w:val="20"/>
          <w:szCs w:val="20"/>
        </w:rPr>
        <w:t xml:space="preserve">6. </w:t>
      </w:r>
      <w:r>
        <w:rPr>
          <w:rFonts w:ascii="Arial" w:cs="Arial" w:eastAsia="Arial" w:hAnsi="Arial"/>
          <w:color w:val="1e293b"/>
          <w:sz w:val="20"/>
          <w:szCs w:val="20"/>
        </w:rPr>
        <w:t xml:space="preserve">Platt scaling not always beneficial. When a model is already well-calibrated (Brier 0.0385), post-hoc calibration can introduce new distortions. Always verify before and after.</w:t>
      </w:r>
    </w:p>
    <w:p>
      <w:pPr>
        <w:spacing w:after="60" w:before="60"/>
      </w:pPr>
      <w:r>
        <w:t xml:space="preserve"/>
      </w:r>
    </w:p>
    <w:p>
      <w:pPr>
        <w:pStyle w:val="Heading2"/>
        <w:spacing w:after="80" w:before="280"/>
      </w:pPr>
      <w:r>
        <w:rPr>
          <w:rFonts w:ascii="Arial" w:cs="Arial" w:eastAsia="Arial" w:hAnsi="Arial"/>
          <w:b/>
          <w:bCs/>
          <w:color w:val="1a56db"/>
          <w:sz w:val="24"/>
          <w:szCs w:val="24"/>
        </w:rPr>
        <w:t xml:space="preserve">8.2 Clinical Lessons</w:t>
      </w:r>
    </w:p>
    <w:p>
      <w:pPr>
        <w:spacing w:after="60" w:before="60"/>
        <w:ind w:left="360" w:hanging="280"/>
      </w:pPr>
      <w:r>
        <w:rPr>
          <w:rFonts w:ascii="Arial" w:cs="Arial" w:eastAsia="Arial" w:hAnsi="Arial"/>
          <w:b/>
          <w:bCs/>
          <w:color w:val="1a56db"/>
          <w:sz w:val="20"/>
          <w:szCs w:val="20"/>
        </w:rPr>
        <w:t xml:space="preserve">7. </w:t>
      </w:r>
      <w:r>
        <w:rPr>
          <w:rFonts w:ascii="Arial" w:cs="Arial" w:eastAsia="Arial" w:hAnsi="Arial"/>
          <w:color w:val="1e293b"/>
          <w:sz w:val="20"/>
          <w:szCs w:val="20"/>
        </w:rPr>
        <w:t xml:space="preserve">Atypical sepsis (preserved lactate and coagulation) is the hardest case — the false negative patient who was exactly at threshold had elevated calcium but normal canonical sepsis markers. The model's failure mode matches the clinical diagnostic challenge.</w:t>
      </w:r>
    </w:p>
    <w:p>
      <w:pPr>
        <w:spacing w:after="60" w:before="60"/>
        <w:ind w:left="360" w:hanging="280"/>
      </w:pPr>
      <w:r>
        <w:rPr>
          <w:rFonts w:ascii="Arial" w:cs="Arial" w:eastAsia="Arial" w:hAnsi="Arial"/>
          <w:b/>
          <w:bCs/>
          <w:color w:val="1a56db"/>
          <w:sz w:val="20"/>
          <w:szCs w:val="20"/>
        </w:rPr>
        <w:t xml:space="preserve">8. </w:t>
      </w:r>
      <w:r>
        <w:rPr>
          <w:rFonts w:ascii="Arial" w:cs="Arial" w:eastAsia="Arial" w:hAnsi="Arial"/>
          <w:color w:val="1e293b"/>
          <w:sz w:val="20"/>
          <w:szCs w:val="20"/>
        </w:rPr>
        <w:t xml:space="preserve">The false positive (prob=0.9825, true label=0) had extreme lactate but no coagulation signature — non-septic lactic acidosis. The model appropriately triggers on cardiovascular stress but cannot distinguish septic from non-septic lactate elevation without coagulation context.</w:t>
      </w:r>
    </w:p>
    <w:p>
      <w:pPr>
        <w:spacing w:after="60" w:before="60"/>
        <w:ind w:left="360" w:hanging="280"/>
      </w:pPr>
      <w:r>
        <w:rPr>
          <w:rFonts w:ascii="Arial" w:cs="Arial" w:eastAsia="Arial" w:hAnsi="Arial"/>
          <w:b/>
          <w:bCs/>
          <w:color w:val="1a56db"/>
          <w:sz w:val="20"/>
          <w:szCs w:val="20"/>
        </w:rPr>
        <w:t xml:space="preserve">9. </w:t>
      </w:r>
      <w:r>
        <w:rPr>
          <w:rFonts w:ascii="Arial" w:cs="Arial" w:eastAsia="Arial" w:hAnsi="Arial"/>
          <w:color w:val="1e293b"/>
          <w:sz w:val="20"/>
          <w:szCs w:val="20"/>
        </w:rPr>
        <w:t xml:space="preserve">Unit type (SICU, CICU) appearing in SHAP top 20 is not a confound — it reflects real baseline severity differences in admitted populations. Patients admitted to surgical and cardiac ICUs have different sepsis risk profiles.</w:t>
      </w:r>
    </w:p>
    <w:p>
      <w:pPr>
        <w:spacing w:after="60" w:before="60"/>
      </w:pPr>
      <w:r>
        <w:t xml:space="preserve"/>
      </w:r>
    </w:p>
    <w:p>
      <w:r>
        <w:br w:type="page"/>
      </w:r>
    </w:p>
    <w:p>
      <w:pPr>
        <w:pStyle w:val="Heading1"/>
        <w:pBdr>
          <w:bottom w:val="single" w:color="1a56db" w:sz="6" w:space="4"/>
        </w:pBdr>
        <w:spacing w:after="140" w:before="400"/>
      </w:pPr>
      <w:r>
        <w:rPr>
          <w:rFonts w:ascii="Arial" w:cs="Arial" w:eastAsia="Arial" w:hAnsi="Arial"/>
          <w:b/>
          <w:bCs/>
          <w:color w:val="1e293b"/>
          <w:sz w:val="30"/>
          <w:szCs w:val="30"/>
        </w:rPr>
        <w:t xml:space="preserve">9. Paper Writing Guide — Consolidated Notes</w:t>
      </w:r>
    </w:p>
    <w:p>
      <w:pPr>
        <w:shd w:fill="dbeafe" w:val="clear"/>
        <w:spacing w:after="120" w:before="120"/>
        <w:ind w:left="160" w:right="160"/>
      </w:pPr>
      <w:r>
        <w:rPr>
          <w:rFonts w:ascii="Arial" w:cs="Arial" w:eastAsia="Arial" w:hAnsi="Arial"/>
          <w:b/>
          <w:bCs/>
          <w:color w:val="1e293b"/>
          <w:sz w:val="20"/>
          <w:szCs w:val="20"/>
        </w:rPr>
        <w:t xml:space="preserve">PURPOSE: </w:t>
      </w:r>
      <w:r>
        <w:rPr>
          <w:rFonts w:ascii="Arial" w:cs="Arial" w:eastAsia="Arial" w:hAnsi="Arial"/>
          <w:color w:val="1e293b"/>
          <w:sz w:val="20"/>
          <w:szCs w:val="20"/>
        </w:rPr>
        <w:t xml:space="preserve">This section consolidates all paper writing notes from across this document into a single reference for drafting the manuscript.</w:t>
      </w:r>
    </w:p>
    <w:p>
      <w:pPr>
        <w:spacing w:after="60" w:before="60"/>
      </w:pPr>
      <w:r>
        <w:t xml:space="preserve"/>
      </w:r>
    </w:p>
    <w:p>
      <w:pPr>
        <w:pStyle w:val="Heading2"/>
        <w:spacing w:after="80" w:before="280"/>
      </w:pPr>
      <w:r>
        <w:rPr>
          <w:rFonts w:ascii="Arial" w:cs="Arial" w:eastAsia="Arial" w:hAnsi="Arial"/>
          <w:b/>
          <w:bCs/>
          <w:color w:val="1a56db"/>
          <w:sz w:val="24"/>
          <w:szCs w:val="24"/>
        </w:rPr>
        <w:t xml:space="preserve">9.1 Abstract — Key Points</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First application of Phoenix 2024 criteria to PIC database for sepsis onset prediction</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CatBoost with SHAP explainability — AUROC 0.9868 [0.9794–0.9931], AUPRC 0.9691</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At recommended threshold (0.365): sensitivity 89.6%, specificity 96.3%</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SHAP confirms model learned canonical Phoenix clinical hierarchy (lactate, D-dimer, platelets, INR)</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Results robust across age bands and cohort definitions (sensitivity analysis AUROC 0.9968)</w:t>
      </w:r>
    </w:p>
    <w:p>
      <w:pPr>
        <w:spacing w:after="60" w:before="60"/>
      </w:pPr>
      <w:r>
        <w:t xml:space="preserve"/>
      </w:r>
    </w:p>
    <w:p>
      <w:pPr>
        <w:pStyle w:val="Heading2"/>
        <w:spacing w:after="80" w:before="280"/>
      </w:pPr>
      <w:r>
        <w:rPr>
          <w:rFonts w:ascii="Arial" w:cs="Arial" w:eastAsia="Arial" w:hAnsi="Arial"/>
          <w:b/>
          <w:bCs/>
          <w:color w:val="1a56db"/>
          <w:sz w:val="24"/>
          <w:szCs w:val="24"/>
        </w:rPr>
        <w:t xml:space="preserve">9.2 Methods Section — Key Points</w:t>
      </w:r>
    </w:p>
    <w:p>
      <w:pPr>
        <w:pStyle w:val="Heading3"/>
        <w:spacing w:after="60" w:before="200"/>
      </w:pPr>
      <w:r>
        <w:rPr>
          <w:rFonts w:ascii="Arial" w:cs="Arial" w:eastAsia="Arial" w:hAnsi="Arial"/>
          <w:b/>
          <w:bCs/>
          <w:color w:val="1e293b"/>
          <w:sz w:val="22"/>
          <w:szCs w:val="22"/>
        </w:rPr>
        <w:t xml:space="preserve">Dataset</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PIC v1.1.0 (Zeng et al. 2020). Option B: 3,163 patients (2,530 train / 633 test), 27.3% sepsis prevalence, stratified 80/20 split, seed=42.</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Labeling: Phoenix criteria (Sanchez-Pinto et al. JAMA 2024, Schlapbach et al. JAMA 2024). Respiratory (FiO2 absent) and neurological (GCS absent) components set to 0 — documented limitation.</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Features: 225 features from 5-statistic method (max/min/mean/first/trend) per variable across 31 lab variables, 6 vitals, derived vitals (MAP, shock index), fluid balance, EMR symptoms (31 binary), surgical context, age, gender, care unit.</w:t>
      </w:r>
    </w:p>
    <w:p>
      <w:pPr>
        <w:spacing w:after="60" w:before="60"/>
      </w:pPr>
      <w:r>
        <w:t xml:space="preserve"/>
      </w:r>
    </w:p>
    <w:p>
      <w:pPr>
        <w:pStyle w:val="Heading3"/>
        <w:spacing w:after="60" w:before="200"/>
      </w:pPr>
      <w:r>
        <w:rPr>
          <w:rFonts w:ascii="Arial" w:cs="Arial" w:eastAsia="Arial" w:hAnsi="Arial"/>
          <w:b/>
          <w:bCs/>
          <w:color w:val="1e293b"/>
          <w:sz w:val="22"/>
          <w:szCs w:val="22"/>
        </w:rPr>
        <w:t xml:space="preserve">Leakage Remediation</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80 columns removed: 40 _count (measurement frequency proxy), 33 _was_measured (binary ordering signal), 6 vasoactive columns (Phoenix cardiovascular score component), los_hours (outcome variable).</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Decision documented with isolation test evidence — count columns alone achieved AUROC 0.878, confirming circularity.</w:t>
      </w:r>
    </w:p>
    <w:p>
      <w:pPr>
        <w:spacing w:after="60" w:before="60"/>
      </w:pPr>
      <w:r>
        <w:t xml:space="preserve"/>
      </w:r>
    </w:p>
    <w:p>
      <w:pPr>
        <w:pStyle w:val="Heading3"/>
        <w:spacing w:after="60" w:before="200"/>
      </w:pPr>
      <w:r>
        <w:rPr>
          <w:rFonts w:ascii="Arial" w:cs="Arial" w:eastAsia="Arial" w:hAnsi="Arial"/>
          <w:b/>
          <w:bCs/>
          <w:color w:val="1e293b"/>
          <w:sz w:val="22"/>
          <w:szCs w:val="22"/>
        </w:rPr>
        <w:t xml:space="preserve">Class Imbalance</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class_weights={0:1, 1:2.7} (inverse frequency ratio). SMOTE rejected — t-SNE confirmed heavy class overlap on both cohorts.</w:t>
      </w:r>
    </w:p>
    <w:p>
      <w:pPr>
        <w:spacing w:after="60" w:before="60"/>
      </w:pPr>
      <w:r>
        <w:t xml:space="preserve"/>
      </w:r>
    </w:p>
    <w:p>
      <w:pPr>
        <w:pStyle w:val="Heading3"/>
        <w:spacing w:after="60" w:before="200"/>
      </w:pPr>
      <w:r>
        <w:rPr>
          <w:rFonts w:ascii="Arial" w:cs="Arial" w:eastAsia="Arial" w:hAnsi="Arial"/>
          <w:b/>
          <w:bCs/>
          <w:color w:val="1e293b"/>
          <w:sz w:val="22"/>
          <w:szCs w:val="22"/>
        </w:rPr>
        <w:t xml:space="preserve">Evaluation</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All metrics reported at 85% sensitivity threshold (primary) and 90% sensitivity (recommended clinical threshold).</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Bootstrap 95% CIs (n=1000 iterations). 5-fold stratified CV. DeLong test for AUROC comparison (DeLong et al. Biometrics 1988).</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Decision Curve Analysis for net clinical benefit. Subgroup analysis by age band (neonate/infant/child/adolescent).</w:t>
      </w:r>
    </w:p>
    <w:p>
      <w:pPr>
        <w:spacing w:after="60" w:before="60"/>
      </w:pPr>
      <w:r>
        <w:t xml:space="preserve"/>
      </w:r>
    </w:p>
    <w:p>
      <w:pPr>
        <w:pStyle w:val="Heading2"/>
        <w:spacing w:after="80" w:before="280"/>
      </w:pPr>
      <w:r>
        <w:rPr>
          <w:rFonts w:ascii="Arial" w:cs="Arial" w:eastAsia="Arial" w:hAnsi="Arial"/>
          <w:b/>
          <w:bCs/>
          <w:color w:val="1a56db"/>
          <w:sz w:val="24"/>
          <w:szCs w:val="24"/>
        </w:rPr>
        <w:t xml:space="preserve">9.3 Results Section — Key Points</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Primary: Tuned CatBoost AUROC=0.9868 [0.9794–0.9931], AUPRC=0.9691 [0.9499–0.9839].</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At recommended threshold (0.365): Sensitivity=0.896, Specificity=0.963, PPV=0.901, NPV=0.961. 18 missed sepsis cases out of 173 test sepsis patients (18/173 = 10.4% miss rate).</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DeLong: significantly better than LightGBM (p=0.017), XGBoost (p=0.005), MLP (p&lt;0.0001). Not significantly better than baseline CatBoost (p=0.619) — honest expected result.</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Calibration: Brier 0.0385 (80.5% reduction from no-skill baseline 0.198). Platt scaling not beneficial — model already well-calibrated.</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DCA: Net benefit 0.229 at recommended threshold, consistently positive across all clinically relevant thresholds (0.2–0.6).</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Subgroup: AUROC 0.970–0.989 across neonates, infants, children. Adolescent (n=19) underpowered — caveat required.</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Novel approaches: stacking ensemble AUROC 0.9851 (p=0.360, not significant). Custom loss AUROC 0.9674 (p=0.0008, significantly worse). Tuned CatBoost confirmed as primary model.</w:t>
      </w:r>
    </w:p>
    <w:p>
      <w:pPr>
        <w:spacing w:after="60" w:before="60"/>
      </w:pPr>
      <w:r>
        <w:t xml:space="preserve"/>
      </w:r>
    </w:p>
    <w:p>
      <w:pPr>
        <w:pStyle w:val="Heading2"/>
        <w:spacing w:after="80" w:before="280"/>
      </w:pPr>
      <w:r>
        <w:rPr>
          <w:rFonts w:ascii="Arial" w:cs="Arial" w:eastAsia="Arial" w:hAnsi="Arial"/>
          <w:b/>
          <w:bCs/>
          <w:color w:val="1a56db"/>
          <w:sz w:val="24"/>
          <w:szCs w:val="24"/>
        </w:rPr>
        <w:t xml:space="preserve">9.4 Explainability Section — Key Points</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Top features by SHAP: lactate_max, D-dimer_max, platelets_min, INR_max — exactly matching Phoenix 2024 clinical hierarchy. Model independently learned what experts codified.</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Calcium (rank 5) notable finding: not a Phoenix component but real sepsis signal (hypocalcaemia). PaO2 (rank 9) provides partial respiratory signal despite respiratory Phoenix component being zero.</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Waterfall TP: lactate +2.13, platelets +1.44, INR +1.11 — classic multi-organ failure pattern.</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Waterfall FN: atypical presentation — elevated calcium but normal canonical markers. Clinically the hardest cases to detect.</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Waterfall FP: extreme lactate +4.35 without coagulation signature — non-septic lactic acidosis. Known clinical diagnostic challenge.</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Interaction analysis: small interaction values indicate features contribute independently (additive multi-organ signals), not multiplicatively. More robust than single interaction dependence.</w:t>
      </w:r>
    </w:p>
    <w:p>
      <w:pPr>
        <w:spacing w:after="60" w:before="60"/>
      </w:pPr>
      <w:r>
        <w:t xml:space="preserve"/>
      </w:r>
    </w:p>
    <w:p>
      <w:pPr>
        <w:pStyle w:val="Heading2"/>
        <w:spacing w:after="80" w:before="280"/>
      </w:pPr>
      <w:r>
        <w:rPr>
          <w:rFonts w:ascii="Arial" w:cs="Arial" w:eastAsia="Arial" w:hAnsi="Arial"/>
          <w:b/>
          <w:bCs/>
          <w:color w:val="1a56db"/>
          <w:sz w:val="24"/>
          <w:szCs w:val="24"/>
        </w:rPr>
        <w:t xml:space="preserve">9.5 Sensitivity Analysis Section — Key Points</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Full cohort (Option A, n=12,447): AUROC 0.9968 vs 0.9868 — generalisation confirmed.</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PPV drop (0.901 → 0.700) is purely mathematical (prevalence 27.3% → 6.9%, Bayes' theorem) — not a model degradation.</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n_antibiotics_24h dominated Option A SHAP — infection criterion detection. Validates Option B as correct primary dataset for organ dysfunction prediction.</w:t>
      </w:r>
    </w:p>
    <w:p>
      <w:pPr>
        <w:spacing w:after="60" w:before="60"/>
      </w:pPr>
      <w:r>
        <w:t xml:space="preserve"/>
      </w:r>
    </w:p>
    <w:p>
      <w:pPr>
        <w:pStyle w:val="Heading2"/>
        <w:spacing w:after="80" w:before="280"/>
      </w:pPr>
      <w:r>
        <w:rPr>
          <w:rFonts w:ascii="Arial" w:cs="Arial" w:eastAsia="Arial" w:hAnsi="Arial"/>
          <w:b/>
          <w:bCs/>
          <w:color w:val="1a56db"/>
          <w:sz w:val="24"/>
          <w:szCs w:val="24"/>
        </w:rPr>
        <w:t xml:space="preserve">9.6 Discussion — Key Points</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Primary contribution: first Phoenix 2024 labeling on PIC for onset prediction. Prior PIC sepsis work focused on mortality/survival, not early detection.</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SHAP validation: model learned clinically meaningful features without clinical supervision — a form of independent validation of Phoenix criteria.</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Limitations: FiO2 absent (respiratory component zero), GCS absent (neurological component zero), procalcitonin only 18 readings, single-centre Chinese dataset, EMR symptoms sparse (6.8% patients).</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False negative profile (atypical sepsis) should be discussed — these patients need alternative detection strategies.</w:t>
      </w:r>
    </w:p>
    <w:p>
      <w:pPr>
        <w:spacing w:after="60" w:before="60"/>
        <w:ind w:left="360" w:hanging="200"/>
      </w:pPr>
      <w:r>
        <w:rPr>
          <w:rFonts w:ascii="Arial" w:cs="Arial" w:eastAsia="Arial" w:hAnsi="Arial"/>
          <w:color w:val="1a56db"/>
          <w:sz w:val="20"/>
          <w:szCs w:val="20"/>
        </w:rPr>
        <w:t xml:space="preserve">• </w:t>
      </w:r>
      <w:r>
        <w:rPr>
          <w:rFonts w:ascii="Arial" w:cs="Arial" w:eastAsia="Arial" w:hAnsi="Arial"/>
          <w:color w:val="1e293b"/>
          <w:sz w:val="20"/>
          <w:szCs w:val="20"/>
        </w:rPr>
        <w:t xml:space="preserve">False positive profile (non-septic lactic acidosis) aligns with known clinical challenge — lactic acidosis differential diagnosis.</w:t>
      </w:r>
    </w:p>
    <w:p>
      <w:pPr>
        <w:spacing w:after="60" w:before="60"/>
      </w:pPr>
      <w:r>
        <w:t xml:space="preserve"/>
      </w:r>
    </w:p>
    <w:p>
      <w:pPr>
        <w:pStyle w:val="Heading2"/>
        <w:spacing w:after="80" w:before="280"/>
      </w:pPr>
      <w:r>
        <w:rPr>
          <w:rFonts w:ascii="Arial" w:cs="Arial" w:eastAsia="Arial" w:hAnsi="Arial"/>
          <w:b/>
          <w:bCs/>
          <w:color w:val="1a56db"/>
          <w:sz w:val="24"/>
          <w:szCs w:val="24"/>
        </w:rPr>
        <w:t xml:space="preserve">9.7 Key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Citation</w:t>
            </w:r>
          </w:p>
        </w:tc>
        <w:tc>
          <w:tcPr>
            <w:tcW w:type="dxa" w:w="57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Use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Sanchez-Pinto et al. JAMA 2024</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Phoenix criteria — primary sepsis labeling reference</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Schlapbach et al. JAMA 2024</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Phoenix criteria — second primary reference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Zeng et al. 2020</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PIC database description</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DeLong et al. Biometrics 1988</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AUROC comparison test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Akiba et al. KDD 2019</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Optuna hyperparameter optimization</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Lundberg &amp; Lee NeurIPS 2017</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SHAP explainability framework</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Fleming et al. 2011</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Age-adjusted vital signs reference ranges</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Le et al. 2019</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6-hour minimum stay filter justification</w:t>
            </w:r>
          </w:p>
        </w:tc>
      </w:tr>
    </w:tbl>
    <w:p>
      <w:pPr>
        <w:spacing w:after="60" w:before="60"/>
      </w:pPr>
      <w:r>
        <w:t xml:space="preserve"/>
      </w:r>
    </w:p>
    <w:p>
      <w:r>
        <w:br w:type="page"/>
      </w:r>
    </w:p>
    <w:p>
      <w:pPr>
        <w:pStyle w:val="Heading1"/>
        <w:pBdr>
          <w:bottom w:val="single" w:color="1a56db" w:sz="6" w:space="4"/>
        </w:pBdr>
        <w:spacing w:after="140" w:before="400"/>
      </w:pPr>
      <w:r>
        <w:rPr>
          <w:rFonts w:ascii="Arial" w:cs="Arial" w:eastAsia="Arial" w:hAnsi="Arial"/>
          <w:b/>
          <w:bCs/>
          <w:color w:val="1e293b"/>
          <w:sz w:val="30"/>
          <w:szCs w:val="30"/>
        </w:rPr>
        <w:t xml:space="preserve">10. Next Steps — Planned Phases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500"/>
        <w:gridCol w:w="1360"/>
      </w:tblGrid>
      <w:tr>
        <w:tc>
          <w:tcPr>
            <w:tcW w:type="dxa" w:w="9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5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6</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TabNet</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Attention-based tabular deep learning. Preferred over generic MLP for tabular clinical data. Compare AUROC vs tuned CatBoost.</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Planned</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6</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Improved ANN</w:t>
            </w:r>
          </w:p>
        </w:tc>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More rigorous neural network with proper architecture tuning. Teacher requirement.</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Planned</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7</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Federated Learning</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Simulate 10 hospital nodes by partitioning dataset. Train separate models per node, aggregate. Most novel methodological contribution if it works.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Planned</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8</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Hybrid Model (TP+U)</w:t>
            </w:r>
          </w:p>
        </w:tc>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Named after initials only if deep learning approaches meaningfully outperform tuned CatBoost. Do not force a hybrid — justify with performance data.</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Conditional</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Ongoing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Paper Writing</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Parts I–IV methodology logs are the foundation. Methods section is largely drafted. Results section can be assembled from Phase 3–5 tables.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In progress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Future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External Validation</w:t>
            </w:r>
          </w:p>
        </w:tc>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MIMIC-IV pediatric subset if accessible. Federated learning framework for multi-centre training.</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Future work</w:t>
            </w:r>
          </w:p>
        </w:tc>
      </w:tr>
    </w:tbl>
    <w:p>
      <w:pPr>
        <w:spacing w:after="60" w:before="60"/>
      </w:pPr>
      <w:r>
        <w:t xml:space="preserve"/>
      </w:r>
    </w:p>
    <w:p>
      <w:pPr>
        <w:shd w:fill="dbeafe" w:val="clear"/>
        <w:spacing w:after="120" w:before="120"/>
        <w:ind w:left="160" w:right="160"/>
      </w:pPr>
      <w:r>
        <w:rPr>
          <w:rFonts w:ascii="Arial" w:cs="Arial" w:eastAsia="Arial" w:hAnsi="Arial"/>
          <w:b/>
          <w:bCs/>
          <w:color w:val="1e293b"/>
          <w:sz w:val="20"/>
          <w:szCs w:val="20"/>
        </w:rPr>
        <w:t xml:space="preserve">PRINCIPLE: </w:t>
      </w:r>
      <w:r>
        <w:rPr>
          <w:rFonts w:ascii="Arial" w:cs="Arial" w:eastAsia="Arial" w:hAnsi="Arial"/>
          <w:color w:val="1e293b"/>
          <w:sz w:val="20"/>
          <w:szCs w:val="20"/>
        </w:rPr>
        <w:t xml:space="preserve">Deep learning phases (6–7) proceed under the same discipline: discuss before implement, one script at a time, results reviewed before next script. The hybrid model (Phase 8) is only built if performance justifies it — complexity must earn its place.</w:t>
      </w:r>
    </w:p>
    <w:p>
      <w:pPr>
        <w:spacing w:after="60" w:before="60"/>
      </w:pPr>
      <w:r>
        <w:t xml:space="preserve"/>
      </w:r>
    </w:p>
    <w:p>
      <w:pPr>
        <w:pStyle w:val="Heading2"/>
        <w:spacing w:after="80" w:before="280"/>
      </w:pPr>
      <w:r>
        <w:rPr>
          <w:rFonts w:ascii="Arial" w:cs="Arial" w:eastAsia="Arial" w:hAnsi="Arial"/>
          <w:b/>
          <w:bCs/>
          <w:color w:val="1a56db"/>
          <w:sz w:val="24"/>
          <w:szCs w:val="24"/>
        </w:rPr>
        <w:t xml:space="preserve">10.1 Artefact Registry — Phase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54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Path</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Script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3 full evaluation</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sepsis_ml/phase3_evaluation.py</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Script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4 SHAP explainability</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sepsis_ml/phase4_shap.py</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Script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5 sensitivity analysis</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sepsis_ml/phase5_sensitivity_analysis.py</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Model</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Platt scaler</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sepsis_ml/models/run_tuned/platt_scaler.pkl</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Model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Option A CatBoost</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sepsis_ml/sensitivity_analysis/models/catboost_A_tuned.cbm</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Results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DeLong comparison</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sepsis_ml/results/phase3_delong_results.csv</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Results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Calibration results</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sepsis_ml/results/phase3_calibration_results.json</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Results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DCA results</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sepsis_ml/results/phase3_dca_results.csv</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Results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Subgroup analysis</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sepsis_ml/results/phase3_subgroup_results.csv</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Results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Threshold table</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sepsis_ml/results/phase3_threshold_table.csv</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Results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Raw SHAP values (compressed)</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sepsis_ml/results/phase4_shap_values.npz</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Results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SHAP feature importance</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sepsis_ml/results/phase4_feature_importance.csv</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Results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SHAP interaction matrix (top 10)</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sepsis_ml/results/phase4_shap_interaction_top10.npy</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Results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SHAP full results JSON</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sepsis_ml/results/phase4_shap_results.json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Results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Option A vs B comparison</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sepsis_ml/sensitivity_analysis/results/phase5_comparison_A_vs_B.csv</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Results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Option A SHAP importance</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sepsis_ml/sensitivity_analysis/results/phase5_shap_importance_A.csv</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Figures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3 — 6 figures</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sepsis_ml/figures/phase3_evaluation/</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Figures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4 — 7 figures</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sepsis_ml/figures/phase4_shap/</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Figures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5 — 4 figures</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sepsis_ml/sensitivity_analysis/figures/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Log</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3 evaluation log</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sepsis_ml/logs/phase3_evaluation.log</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4 SHAP log</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sepsis_ml/logs/phase4_shap.log</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Log</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5 sensitivity log</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sepsis_ml/sensitivity_analysis/logs/phase5_sensitivity_analysis.log</w:t>
            </w:r>
          </w:p>
        </w:tc>
      </w:tr>
    </w:tbl>
    <w:p>
      <w:pPr>
        <w:spacing w:after="60" w:before="60"/>
      </w:pPr>
      <w:r>
        <w:t xml:space="preserve"/>
      </w:r>
    </w:p>
    <w:p>
      <w:pPr>
        <w:spacing w:after="80" w:before="400"/>
        <w:jc w:val="center"/>
      </w:pPr>
      <w:r>
        <w:rPr>
          <w:rFonts w:ascii="Arial" w:cs="Arial" w:eastAsia="Arial" w:hAnsi="Arial"/>
          <w:color w:val="64748b"/>
          <w:sz w:val="20"/>
          <w:szCs w:val="20"/>
        </w:rPr>
        <w:t xml:space="preserve">— End of Part IV Research Methodology Log —</w:t>
      </w:r>
    </w:p>
    <w:p>
      <w:pPr>
        <w:spacing w:after="0" w:before="0"/>
        <w:jc w:val="center"/>
      </w:pPr>
      <w:r>
        <w:rPr>
          <w:rFonts w:ascii="Arial" w:cs="Arial" w:eastAsia="Arial" w:hAnsi="Arial"/>
          <w:color w:val="64748b"/>
          <w:sz w:val="20"/>
          <w:szCs w:val="20"/>
        </w:rPr>
        <w:t xml:space="preserve">Tanish Porwal &amp; Uzair | NMIMS | April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pPr>
    <w:r>
      <w:rPr>
        <w:rFonts w:ascii="Arial" w:cs="Arial" w:eastAsia="Arial" w:hAnsi="Arial"/>
        <w:color w:val="64748b"/>
        <w:sz w:val="16"/>
        <w:szCs w:val="16"/>
      </w:rPr>
      <w:t xml:space="preserve">PIC Sepsis Research Methodology Log — Part IV</w:t>
    </w:r>
    <w:r>
      <w:rPr>
        <w:rFonts w:ascii="Arial" w:cs="Arial" w:eastAsia="Arial" w:hAnsi="Arial"/>
        <w:color w:val="64748b"/>
        <w:sz w:val="16"/>
        <w:szCs w:val="16"/>
      </w:rPr>
      <w:t xml:space="preserve">  |  Tanish Porwal &amp; Uzair  |  NMIMS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e293b"/>
      <w:sz w:val="30"/>
      <w:szCs w:val="30"/>
    </w:rPr>
  </w:style>
  <w:style w:type="paragraph" w:styleId="Heading2">
    <w:name w:val="Heading 2"/>
    <w:basedOn w:val="Normal"/>
    <w:next w:val="Normal"/>
    <w:qFormat/>
    <w:pPr>
      <w:spacing w:after="80" w:before="280"/>
      <w:outlineLvl w:val="1"/>
    </w:pPr>
    <w:rPr>
      <w:rFonts w:ascii="Arial" w:cs="Arial" w:eastAsia="Arial" w:hAnsi="Arial"/>
      <w:b/>
      <w:bCs/>
      <w:color w:val="1a56db"/>
      <w:sz w:val="24"/>
      <w:szCs w:val="24"/>
    </w:rPr>
  </w:style>
  <w:style w:type="paragraph" w:styleId="Heading3">
    <w:name w:val="Heading 3"/>
    <w:basedOn w:val="Normal"/>
    <w:next w:val="Normal"/>
    <w:qFormat/>
    <w:pPr>
      <w:spacing w:after="6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2026-04-11T10:08:07.395Z</dcterms:created>
  <dcterms:modified xsi:type="dcterms:W3CDTF">2026-04-11T10:08:07.398Z</dcterms:modified>
</cp:coreProperties>
</file>

<file path=docProps/custom.xml><?xml version="1.0" encoding="utf-8"?>
<Properties xmlns="http://schemas.openxmlformats.org/officeDocument/2006/custom-properties" xmlns:vt="http://schemas.openxmlformats.org/officeDocument/2006/docPropsVTypes"/>
</file>