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40"/>
        <w:jc w:val="center"/>
      </w:pPr>
      <w:r>
        <w:rPr>
          <w:rFonts w:ascii="Arial" w:cs="Arial" w:eastAsia="Arial" w:hAnsi="Arial"/>
          <w:b/>
          <w:bCs/>
          <w:caps/>
          <w:color w:val="2E75B6"/>
          <w:sz w:val="22"/>
          <w:szCs w:val="22"/>
        </w:rPr>
        <w:t xml:space="preserve">RESEARCH OPPORTUNITY REPORT</w:t>
      </w:r>
    </w:p>
    <w:p>
      <w:pPr>
        <w:spacing w:before="0" w:after="120"/>
        <w:jc w:val="center"/>
      </w:pPr>
      <w:r>
        <w:rPr>
          <w:rFonts w:ascii="Arial" w:cs="Arial" w:eastAsia="Arial" w:hAnsi="Arial"/>
          <w:b/>
          <w:bCs/>
          <w:color w:val="1E3A5F"/>
          <w:sz w:val="44"/>
          <w:szCs w:val="44"/>
        </w:rPr>
        <w:t xml:space="preserve">Under-Researched Areas in Healthcare</w:t>
      </w:r>
    </w:p>
    <w:p>
      <w:pPr>
        <w:spacing w:before="0" w:after="80"/>
        <w:jc w:val="center"/>
      </w:pPr>
      <w:r>
        <w:rPr>
          <w:rFonts w:ascii="Arial" w:cs="Arial" w:eastAsia="Arial" w:hAnsi="Arial"/>
          <w:color w:val="444444"/>
          <w:sz w:val="30"/>
          <w:szCs w:val="30"/>
        </w:rPr>
        <w:t xml:space="preserve">with Good Datasets &amp; Strong ML Potential</w:t>
      </w:r>
    </w:p>
    <w:p>
      <w:pPr>
        <w:spacing w:before="4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D6E4F0" w:val="clear"/>
            <w:tcMar>
              <w:top w:type="dxa" w:w="160"/>
              <w:left w:type="dxa" w:w="300"/>
              <w:bottom w:type="dxa" w:w="160"/>
              <w:right w:type="dxa" w:w="300"/>
            </w:tcMar>
          </w:tcPr>
          <w:p>
            <w:pPr>
              <w:spacing w:before="0" w:after="60"/>
              <w:jc w:val="center"/>
            </w:pPr>
            <w:r>
              <w:rPr>
                <w:rFonts w:ascii="Arial" w:cs="Arial" w:eastAsia="Arial" w:hAnsi="Arial"/>
                <w:color w:val="333333"/>
                <w:sz w:val="20"/>
                <w:szCs w:val="20"/>
              </w:rPr>
              <w:t xml:space="preserve">Prepared: March 2026</w:t>
            </w:r>
          </w:p>
          <w:p>
            <w:pPr>
              <w:spacing w:before="0" w:after="60"/>
              <w:jc w:val="center"/>
            </w:pPr>
            <w:r>
              <w:rPr>
                <w:rFonts w:ascii="Arial" w:cs="Arial" w:eastAsia="Arial" w:hAnsi="Arial"/>
                <w:color w:val="333333"/>
                <w:sz w:val="20"/>
                <w:szCs w:val="20"/>
              </w:rPr>
              <w:t xml:space="preserve">Scope: Global Healthcare + ML/AI Research</w:t>
            </w:r>
          </w:p>
          <w:p>
            <w:pPr>
              <w:spacing w:before="0" w:after="0"/>
              <w:jc w:val="center"/>
            </w:pPr>
            <w:r>
              <w:rPr>
                <w:rFonts w:ascii="Arial" w:cs="Arial" w:eastAsia="Arial" w:hAnsi="Arial"/>
                <w:i/>
                <w:iCs/>
                <w:color w:val="333333"/>
                <w:sz w:val="20"/>
                <w:szCs w:val="20"/>
              </w:rPr>
              <w:t xml:space="preserve">Context: Sepsis already under consideration</w:t>
            </w:r>
          </w:p>
        </w:tc>
      </w:tr>
    </w:tbl>
    <w:p>
      <w:pPr>
        <w:spacing w:before="60" w:after="0"/>
      </w:pPr>
      <w:r>
        <w:t xml:space="preserve"/>
      </w:r>
    </w:p>
    <w:p>
      <w:r>
        <w:br w:type="page"/>
      </w:r>
    </w:p>
    <w:p>
      <w:pPr>
        <w:pStyle w:val="Heading1"/>
        <w:pBdr>
          <w:bottom w:val="single" w:color="2E75B6" w:sz="8" w:space="4"/>
        </w:pBdr>
        <w:spacing w:before="360" w:after="160"/>
      </w:pPr>
      <w:r>
        <w:rPr>
          <w:rFonts w:ascii="Arial" w:cs="Arial" w:eastAsia="Arial" w:hAnsi="Arial"/>
          <w:b/>
          <w:bCs/>
          <w:color w:val="1E3A5F"/>
          <w:sz w:val="32"/>
          <w:szCs w:val="32"/>
        </w:rPr>
        <w:t xml:space="preserve">Executive Summary</w:t>
      </w:r>
    </w:p>
    <w:p>
      <w:pPr>
        <w:spacing w:before="80" w:after="80" w:line="276"/>
      </w:pPr>
      <w:r>
        <w:rPr>
          <w:rFonts w:ascii="Arial" w:cs="Arial" w:eastAsia="Arial" w:hAnsi="Arial"/>
          <w:color w:val="222222"/>
          <w:sz w:val="20"/>
          <w:szCs w:val="20"/>
        </w:rPr>
        <w:t xml:space="preserve">This report identifies the most promising under-researched areas in healthcare where you can do impactful ML/AI research with good publicly available datasets. While sepsis is a well-known critical care focus (and already heavily studied on MIMIC/eICU), many adjacent and parallel areas remain far less explored — offering both novelty and real clinical impact.</w:t>
      </w:r>
    </w:p>
    <w:p>
      <w:pPr>
        <w:spacing w:before="60" w:after="0"/>
      </w:pPr>
      <w:r>
        <w:t xml:space="preserve"/>
      </w:r>
    </w:p>
    <w:p>
      <w:pPr>
        <w:spacing w:before="80" w:after="80" w:line="276"/>
      </w:pPr>
      <w:r>
        <w:rPr>
          <w:rFonts w:ascii="Arial" w:cs="Arial" w:eastAsia="Arial" w:hAnsi="Arial"/>
          <w:b/>
          <w:bCs/>
          <w:color w:val="222222"/>
          <w:sz w:val="20"/>
          <w:szCs w:val="20"/>
        </w:rPr>
        <w:t xml:space="preserve">The report is structured to help you make a go/no-go decision across 9 major research domains, each assessed on four dimensions:</w:t>
      </w:r>
    </w:p>
    <w:p>
      <w:pPr>
        <w:spacing w:before="40" w:after="0"/>
      </w:pPr>
      <w:r>
        <w:t xml:space="preserve"/>
      </w:r>
    </w:p>
    <w:p>
      <w:pPr>
        <w:pStyle w:val="ListParagraph"/>
        <w:numPr>
          <w:ilvl w:val="0"/>
          <w:numId w:val="2"/>
        </w:numPr>
        <w:spacing w:before="60" w:after="60"/>
      </w:pPr>
      <w:r>
        <w:rPr>
          <w:rFonts w:ascii="Arial" w:cs="Arial" w:eastAsia="Arial" w:hAnsi="Arial"/>
          <w:color w:val="222222"/>
          <w:sz w:val="20"/>
          <w:szCs w:val="20"/>
        </w:rPr>
        <w:t xml:space="preserve">Publication gap: how relatively understudied the area is compared to its clinical burden</w:t>
      </w:r>
    </w:p>
    <w:p>
      <w:pPr>
        <w:pStyle w:val="ListParagraph"/>
        <w:numPr>
          <w:ilvl w:val="0"/>
          <w:numId w:val="2"/>
        </w:numPr>
        <w:spacing w:before="60" w:after="60"/>
      </w:pPr>
      <w:r>
        <w:rPr>
          <w:rFonts w:ascii="Arial" w:cs="Arial" w:eastAsia="Arial" w:hAnsi="Arial"/>
          <w:color w:val="222222"/>
          <w:sz w:val="20"/>
          <w:szCs w:val="20"/>
        </w:rPr>
        <w:t xml:space="preserve">Dataset availability: whether good, open-access data exists right now</w:t>
      </w:r>
    </w:p>
    <w:p>
      <w:pPr>
        <w:pStyle w:val="ListParagraph"/>
        <w:numPr>
          <w:ilvl w:val="0"/>
          <w:numId w:val="2"/>
        </w:numPr>
        <w:spacing w:before="60" w:after="60"/>
      </w:pPr>
      <w:r>
        <w:rPr>
          <w:rFonts w:ascii="Arial" w:cs="Arial" w:eastAsia="Arial" w:hAnsi="Arial"/>
          <w:color w:val="222222"/>
          <w:sz w:val="20"/>
          <w:szCs w:val="20"/>
        </w:rPr>
        <w:t xml:space="preserve">Technical feasibility: whether the ML problem is tractable without massive resources</w:t>
      </w:r>
    </w:p>
    <w:p>
      <w:pPr>
        <w:pStyle w:val="ListParagraph"/>
        <w:numPr>
          <w:ilvl w:val="0"/>
          <w:numId w:val="2"/>
        </w:numPr>
        <w:spacing w:before="60" w:after="60"/>
      </w:pPr>
      <w:r>
        <w:rPr>
          <w:rFonts w:ascii="Arial" w:cs="Arial" w:eastAsia="Arial" w:hAnsi="Arial"/>
          <w:color w:val="222222"/>
          <w:sz w:val="20"/>
          <w:szCs w:val="20"/>
        </w:rPr>
        <w:t xml:space="preserve">Clinical impact: whether solving the problem would materially improve patient outcomes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8F4FD" w:val="clear"/>
            <w:tcMar>
              <w:top w:type="dxa" w:w="120"/>
              <w:left w:type="dxa" w:w="180"/>
              <w:bottom w:type="dxa" w:w="120"/>
              <w:right w:type="dxa" w:w="180"/>
            </w:tcMar>
          </w:tcPr>
          <w:p>
            <w:pPr>
              <w:spacing w:before="60" w:after="60"/>
            </w:pPr>
            <w:r>
              <w:rPr>
                <w:rFonts w:ascii="Arial" w:cs="Arial" w:eastAsia="Arial" w:hAnsi="Arial"/>
                <w:b/>
                <w:bCs/>
                <w:color w:val="1E3A5F"/>
                <w:sz w:val="20"/>
                <w:szCs w:val="20"/>
              </w:rPr>
              <w:t xml:space="preserve">Key Finding</w:t>
            </w:r>
          </w:p>
          <w:p>
            <w:pPr>
              <w:spacing w:before="40" w:after="40"/>
            </w:pPr>
            <w:r>
              <w:rPr>
                <w:rFonts w:ascii="Arial" w:cs="Arial" w:eastAsia="Arial" w:hAnsi="Arial"/>
                <w:color w:val="333333"/>
                <w:sz w:val="18"/>
                <w:szCs w:val="18"/>
              </w:rPr>
              <w:t xml:space="preserve">• Sepsis is the MOST studied condition in ICU datasets — already competitive and crowded</w:t>
            </w:r>
          </w:p>
          <w:p>
            <w:pPr>
              <w:spacing w:before="40" w:after="40"/>
            </w:pPr>
            <w:r>
              <w:rPr>
                <w:rFonts w:ascii="Arial" w:cs="Arial" w:eastAsia="Arial" w:hAnsi="Arial"/>
                <w:color w:val="333333"/>
                <w:sz w:val="18"/>
                <w:szCs w:val="18"/>
              </w:rPr>
              <w:t xml:space="preserve">• ICU Delirium, Pediatric Critical Care, Malnutrition + Hospital Outcomes, and Acute Kidney Injury (AKI) are the most underpublished with strong datasets</w:t>
            </w:r>
          </w:p>
          <w:p>
            <w:pPr>
              <w:spacing w:before="40" w:after="40"/>
            </w:pPr>
            <w:r>
              <w:rPr>
                <w:rFonts w:ascii="Arial" w:cs="Arial" w:eastAsia="Arial" w:hAnsi="Arial"/>
                <w:color w:val="333333"/>
                <w:sz w:val="18"/>
                <w:szCs w:val="18"/>
              </w:rPr>
              <w:t xml:space="preserve">• Mental Health (EHR-based), Wearable + Remote Patient Monitoring, and Health Equity are fastest-growing areas with fresh data</w:t>
            </w:r>
          </w:p>
          <w:p>
            <w:pPr>
              <w:spacing w:before="40" w:after="40"/>
            </w:pPr>
            <w:r>
              <w:rPr>
                <w:rFonts w:ascii="Arial" w:cs="Arial" w:eastAsia="Arial" w:hAnsi="Arial"/>
                <w:color w:val="333333"/>
                <w:sz w:val="18"/>
                <w:szCs w:val="18"/>
              </w:rPr>
              <w:t xml:space="preserve">• Several niche ICU sub-problems (pressure injuries, pain assessment, extubation prediction) have barely been touched with modern ML</w:t>
            </w:r>
          </w:p>
        </w:tc>
      </w:tr>
    </w:tbl>
    <w:p>
      <w:pPr>
        <w:spacing w:before="120" w:after="0"/>
      </w:pPr>
      <w:r>
        <w:t xml:space="preserve"/>
      </w:r>
    </w:p>
    <w:p>
      <w:r>
        <w:br w:type="page"/>
      </w:r>
    </w:p>
    <w:p>
      <w:pPr>
        <w:pStyle w:val="Heading1"/>
        <w:pBdr>
          <w:bottom w:val="single" w:color="2E75B6" w:sz="8" w:space="4"/>
        </w:pBdr>
        <w:spacing w:before="360" w:after="160"/>
      </w:pPr>
      <w:r>
        <w:rPr>
          <w:rFonts w:ascii="Arial" w:cs="Arial" w:eastAsia="Arial" w:hAnsi="Arial"/>
          <w:b/>
          <w:bCs/>
          <w:color w:val="1E3A5F"/>
          <w:sz w:val="32"/>
          <w:szCs w:val="32"/>
        </w:rPr>
        <w:t xml:space="preserve">1. Where Sepsis Sits Today (Context)</w:t>
      </w:r>
    </w:p>
    <w:p>
      <w:pPr>
        <w:spacing w:before="80" w:after="80" w:line="276"/>
      </w:pPr>
      <w:r>
        <w:rPr>
          <w:rFonts w:ascii="Arial" w:cs="Arial" w:eastAsia="Arial" w:hAnsi="Arial"/>
          <w:color w:val="222222"/>
          <w:sz w:val="20"/>
          <w:szCs w:val="20"/>
        </w:rPr>
        <w:t xml:space="preserve">Understanding the research landscape for sepsis helps frame why other areas deserve priority attention.</w:t>
      </w:r>
    </w:p>
    <w:p>
      <w:pPr>
        <w:spacing w:before="60" w:after="0"/>
      </w:pPr>
      <w:r>
        <w:t xml:space="preserve"/>
      </w:r>
    </w:p>
    <w:p>
      <w:pPr>
        <w:pStyle w:val="Heading2"/>
        <w:spacing w:before="280" w:after="120"/>
      </w:pPr>
      <w:r>
        <w:rPr>
          <w:rFonts w:ascii="Arial" w:cs="Arial" w:eastAsia="Arial" w:hAnsi="Arial"/>
          <w:b/>
          <w:bCs/>
          <w:color w:val="2E75B6"/>
          <w:sz w:val="26"/>
          <w:szCs w:val="26"/>
        </w:rPr>
        <w:t xml:space="preserve">1.1 The Sepsis Research Landscape</w:t>
      </w:r>
    </w:p>
    <w:p>
      <w:pPr>
        <w:spacing w:before="80" w:after="80" w:line="276"/>
      </w:pPr>
      <w:r>
        <w:rPr>
          <w:rFonts w:ascii="Arial" w:cs="Arial" w:eastAsia="Arial" w:hAnsi="Arial"/>
          <w:color w:val="222222"/>
          <w:sz w:val="20"/>
          <w:szCs w:val="20"/>
        </w:rPr>
        <w:t xml:space="preserve">Sepsis research using MIMIC-III/IV and eICU has become extremely competitive. The MIMIC dataset alone supports over 92% of open-access ICU studies, and sepsis is consistently among the top 3 prediction targets in critical care ML. Key published benchmarks already exist for:</w:t>
      </w:r>
    </w:p>
    <w:p>
      <w:pPr>
        <w:pStyle w:val="ListParagraph"/>
        <w:numPr>
          <w:ilvl w:val="0"/>
          <w:numId w:val="2"/>
        </w:numPr>
        <w:spacing w:before="60" w:after="60"/>
      </w:pPr>
      <w:r>
        <w:rPr>
          <w:rFonts w:ascii="Arial" w:cs="Arial" w:eastAsia="Arial" w:hAnsi="Arial"/>
          <w:color w:val="222222"/>
          <w:sz w:val="20"/>
          <w:szCs w:val="20"/>
        </w:rPr>
        <w:t xml:space="preserve">Early sepsis onset prediction (Sepsis-3 criteria, hourly prediction)</w:t>
      </w:r>
    </w:p>
    <w:p>
      <w:pPr>
        <w:pStyle w:val="ListParagraph"/>
        <w:numPr>
          <w:ilvl w:val="0"/>
          <w:numId w:val="2"/>
        </w:numPr>
        <w:spacing w:before="60" w:after="60"/>
      </w:pPr>
      <w:r>
        <w:rPr>
          <w:rFonts w:ascii="Arial" w:cs="Arial" w:eastAsia="Arial" w:hAnsi="Arial"/>
          <w:color w:val="222222"/>
          <w:sz w:val="20"/>
          <w:szCs w:val="20"/>
        </w:rPr>
        <w:t xml:space="preserve">Mortality prediction in septic patients</w:t>
      </w:r>
    </w:p>
    <w:p>
      <w:pPr>
        <w:pStyle w:val="ListParagraph"/>
        <w:numPr>
          <w:ilvl w:val="0"/>
          <w:numId w:val="2"/>
        </w:numPr>
        <w:spacing w:before="60" w:after="60"/>
      </w:pPr>
      <w:r>
        <w:rPr>
          <w:rFonts w:ascii="Arial" w:cs="Arial" w:eastAsia="Arial" w:hAnsi="Arial"/>
          <w:color w:val="222222"/>
          <w:sz w:val="20"/>
          <w:szCs w:val="20"/>
        </w:rPr>
        <w:t xml:space="preserve">Optimal vasopressor and fluid resuscitation (reinforcement learning)</w:t>
      </w:r>
    </w:p>
    <w:p>
      <w:pPr>
        <w:pStyle w:val="ListParagraph"/>
        <w:numPr>
          <w:ilvl w:val="0"/>
          <w:numId w:val="2"/>
        </w:numPr>
        <w:spacing w:before="60" w:after="60"/>
      </w:pPr>
      <w:r>
        <w:rPr>
          <w:rFonts w:ascii="Arial" w:cs="Arial" w:eastAsia="Arial" w:hAnsi="Arial"/>
          <w:color w:val="222222"/>
          <w:sz w:val="20"/>
          <w:szCs w:val="20"/>
        </w:rPr>
        <w:t xml:space="preserve">Length of stay estimation and shock onset classification</w:t>
      </w:r>
    </w:p>
    <w:p>
      <w:pPr>
        <w:spacing w:before="60" w:after="0"/>
      </w:pPr>
      <w:r>
        <w:t xml:space="preserve"/>
      </w:r>
    </w:p>
    <w:p>
      <w:pPr>
        <w:spacing w:before="80" w:after="80" w:line="276"/>
      </w:pPr>
      <w:r>
        <w:rPr>
          <w:rFonts w:ascii="Arial" w:cs="Arial" w:eastAsia="Arial" w:hAnsi="Arial"/>
          <w:color w:val="222222"/>
          <w:sz w:val="20"/>
          <w:szCs w:val="20"/>
        </w:rPr>
        <w:t xml:space="preserve">The newly released MIMIC-Sepsis benchmark (2025) provides a curated cohort of 35,239 ICU patients specifically for sepsis trajectory modeling with standardized preprocessing. This means any new sepsis ML paper now needs to beat well-established baselines.</w:t>
      </w:r>
    </w:p>
    <w:p>
      <w:pPr>
        <w:spacing w:before="60" w:after="0"/>
      </w:pPr>
      <w:r>
        <w:t xml:space="preserve"/>
      </w:r>
    </w:p>
    <w:p>
      <w:pPr>
        <w:pStyle w:val="Heading2"/>
        <w:spacing w:before="280" w:after="120"/>
      </w:pPr>
      <w:r>
        <w:rPr>
          <w:rFonts w:ascii="Arial" w:cs="Arial" w:eastAsia="Arial" w:hAnsi="Arial"/>
          <w:b/>
          <w:bCs/>
          <w:color w:val="2E75B6"/>
          <w:sz w:val="26"/>
          <w:szCs w:val="26"/>
        </w:rPr>
        <w:t xml:space="preserve">1.2 Known Technical Challenges in Sepsis Research</w:t>
      </w:r>
    </w:p>
    <w:p>
      <w:pPr>
        <w:spacing w:before="80" w:after="80" w:line="276"/>
      </w:pPr>
      <w:r>
        <w:rPr>
          <w:rFonts w:ascii="Arial" w:cs="Arial" w:eastAsia="Arial" w:hAnsi="Arial"/>
          <w:color w:val="222222"/>
          <w:sz w:val="20"/>
          <w:szCs w:val="20"/>
        </w:rPr>
        <w:t xml:space="preserve">Multiple papers highlight that sepsis is technically one of the hardest ICU prediction tasks — AUROC for hourly sepsis prediction (~0.75–0.82) lags significantly behind ICU mortality (~0.84–0.87) and AKI (~0.82–0.87), largely due to the extremely low hourly prevalence (~1%). Distribution shift across hospitals is severe. This is not a reason to avoid it, but it shows you'd be entering a mature, competitive space.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8F4FD" w:val="clear"/>
            <w:tcMar>
              <w:top w:type="dxa" w:w="120"/>
              <w:left w:type="dxa" w:w="180"/>
              <w:bottom w:type="dxa" w:w="120"/>
              <w:right w:type="dxa" w:w="180"/>
            </w:tcMar>
          </w:tcPr>
          <w:p>
            <w:pPr>
              <w:spacing w:before="60" w:after="60"/>
            </w:pPr>
            <w:r>
              <w:rPr>
                <w:rFonts w:ascii="Arial" w:cs="Arial" w:eastAsia="Arial" w:hAnsi="Arial"/>
                <w:b/>
                <w:bCs/>
                <w:color w:val="1E3A5F"/>
                <w:sz w:val="20"/>
                <w:szCs w:val="20"/>
              </w:rPr>
              <w:t xml:space="preserve">Recommendation on Sepsis</w:t>
            </w:r>
          </w:p>
          <w:p>
            <w:pPr>
              <w:spacing w:before="40" w:after="40"/>
            </w:pPr>
            <w:r>
              <w:rPr>
                <w:rFonts w:ascii="Arial" w:cs="Arial" w:eastAsia="Arial" w:hAnsi="Arial"/>
                <w:color w:val="333333"/>
                <w:sz w:val="18"/>
                <w:szCs w:val="18"/>
              </w:rPr>
              <w:t xml:space="preserve">• Sepsis is not the best first project unless you have a specific novel angle (e.g., pediatric sepsis, low-income country populations, post-sepsis syndrome, or a new data modality)</w:t>
            </w:r>
          </w:p>
          <w:p>
            <w:pPr>
              <w:spacing w:before="40" w:after="40"/>
            </w:pPr>
            <w:r>
              <w:rPr>
                <w:rFonts w:ascii="Arial" w:cs="Arial" w:eastAsia="Arial" w:hAnsi="Arial"/>
                <w:color w:val="333333"/>
                <w:sz w:val="18"/>
                <w:szCs w:val="18"/>
              </w:rPr>
              <w:t xml:space="preserve">• The areas below offer more novelty, equivalent or better datasets, and often clearer problem formulations</w:t>
            </w:r>
          </w:p>
        </w:tc>
      </w:tr>
    </w:tbl>
    <w:p>
      <w:pPr>
        <w:spacing w:before="120" w:after="0"/>
      </w:pPr>
      <w:r>
        <w:t xml:space="preserve"/>
      </w:r>
    </w:p>
    <w:p>
      <w:r>
        <w:br w:type="page"/>
      </w:r>
    </w:p>
    <w:p>
      <w:pPr>
        <w:pStyle w:val="Heading1"/>
        <w:pBdr>
          <w:bottom w:val="single" w:color="2E75B6" w:sz="8" w:space="4"/>
        </w:pBdr>
        <w:spacing w:before="360" w:after="160"/>
      </w:pPr>
      <w:r>
        <w:rPr>
          <w:rFonts w:ascii="Arial" w:cs="Arial" w:eastAsia="Arial" w:hAnsi="Arial"/>
          <w:b/>
          <w:bCs/>
          <w:color w:val="1E3A5F"/>
          <w:sz w:val="32"/>
          <w:szCs w:val="32"/>
        </w:rPr>
        <w:t xml:space="preserve">2. At-a-Glance Comparison of Research Areas</w:t>
      </w:r>
    </w:p>
    <w:p>
      <w:pPr>
        <w:spacing w:before="80" w:after="80" w:line="276"/>
      </w:pPr>
      <w:r>
        <w:rPr>
          <w:rFonts w:ascii="Arial" w:cs="Arial" w:eastAsia="Arial" w:hAnsi="Arial"/>
          <w:color w:val="222222"/>
          <w:sz w:val="20"/>
          <w:szCs w:val="20"/>
        </w:rPr>
        <w:t xml:space="preserve">The table below summarizes 9 research areas on key dimensions to help prioritize. Each is explored in depth in Section 3.</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Research Area</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Urgency</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Key Datasets</w:t>
            </w:r>
          </w:p>
        </w:tc>
        <w:tc>
          <w:tcPr>
            <w:tcW w:type="dxa" w:w="2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Research Opportunities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ICU Delirium Detection</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MIMIC-IV, eICU (CAM-ICU scores)</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Automated delirium detection, risk prediction, prevention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Acute Kidney Injury (AKI) — sub-phenotypes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MIMIC-IV, HiRID, AUMCdb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AKI trajectory clustering, recovery prediction, dialysis timing</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Hospital Malnutrition + Outcomes</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MIMIC-IV, NRD, NHCS</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Nutrition screening AI, link to readmission &amp; mortality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Pediatric / Neonatal ICU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PIC Database, MIMIC-IV (peds subset)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NICU deterioration, feeding intolerance, brain injury</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Mental Health (EHR-based)</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CRIS, MIMIC-IV notes, NIMH datasets</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Depression/anxiety severity prediction, relapse, LOS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Hospital Readmission — underserved conditions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NRD (HCUP), MIMIC-IV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Readmission for liver disease, COPD, post-surgical</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Wearable / Remote Patient Monitoring</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WESAD, MIMIC Waveforms, PhysioNet</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Deterioration prediction, chronic disease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Pressure Injury Prediction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MIMIC-IV nursing notes, NHSN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ICU pressure ulcer prevention, Braden score augmentation</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Post-ICU Syndrome / Long-term Outcomes</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MIMIC-IV, NHAMCS follow-up data</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Physical, cognitive, psychological sequelae prediction</w:t>
            </w:r>
          </w:p>
        </w:tc>
      </w:tr>
    </w:tbl>
    <w:p>
      <w:pPr>
        <w:spacing w:before="120" w:after="0"/>
      </w:pPr>
      <w:r>
        <w:t xml:space="preserve"/>
      </w:r>
    </w:p>
    <w:p>
      <w:r>
        <w:br w:type="page"/>
      </w:r>
    </w:p>
    <w:p>
      <w:pPr>
        <w:pStyle w:val="Heading1"/>
        <w:pBdr>
          <w:bottom w:val="single" w:color="2E75B6" w:sz="8" w:space="4"/>
        </w:pBdr>
        <w:spacing w:before="360" w:after="160"/>
      </w:pPr>
      <w:r>
        <w:rPr>
          <w:rFonts w:ascii="Arial" w:cs="Arial" w:eastAsia="Arial" w:hAnsi="Arial"/>
          <w:b/>
          <w:bCs/>
          <w:color w:val="1E3A5F"/>
          <w:sz w:val="32"/>
          <w:szCs w:val="32"/>
        </w:rPr>
        <w:t xml:space="preserve">3. Deep Dives: Research Areas</w:t>
      </w:r>
    </w:p>
    <w:p>
      <w:pPr>
        <w:pStyle w:val="Heading2"/>
        <w:spacing w:before="280" w:after="120"/>
      </w:pPr>
      <w:r>
        <w:rPr>
          <w:rFonts w:ascii="Arial" w:cs="Arial" w:eastAsia="Arial" w:hAnsi="Arial"/>
          <w:b/>
          <w:bCs/>
          <w:color w:val="2E75B6"/>
          <w:sz w:val="26"/>
          <w:szCs w:val="26"/>
        </w:rPr>
        <w:t xml:space="preserve">3.1 ICU Delirium — Highly Under-Researched, Strong Datasets</w:t>
      </w:r>
    </w:p>
    <w:p>
      <w:pPr>
        <w:spacing w:before="80" w:after="80" w:line="276"/>
      </w:pPr>
      <w:r>
        <w:rPr>
          <w:rFonts w:ascii="Arial" w:cs="Arial" w:eastAsia="Arial" w:hAnsi="Arial"/>
          <w:color w:val="222222"/>
          <w:sz w:val="20"/>
          <w:szCs w:val="20"/>
        </w:rPr>
        <w:t xml:space="preserve">ICU delirium affects 15–80% of mechanically ventilated patients and is a major predictor of long-term cognitive decline, yet it receives a fraction of the research attention that sepsis does. Reviews of AI in ICU nursing (2020–2025) found delirium prediction to be a 'minor' cluster within early warning models — meaning most ICU datasets have CAM-ICU/ICDSC scores recorded but these have not been systematically modeled.</w:t>
      </w:r>
    </w:p>
    <w:p>
      <w:pPr>
        <w:spacing w:before="60" w:after="0"/>
      </w:pPr>
      <w:r>
        <w:t xml:space="preserve"/>
      </w:r>
    </w:p>
    <w:p>
      <w:pPr>
        <w:pStyle w:val="Heading3"/>
        <w:spacing w:before="200" w:after="80"/>
      </w:pPr>
      <w:r>
        <w:rPr>
          <w:rFonts w:ascii="Arial" w:cs="Arial" w:eastAsia="Arial" w:hAnsi="Arial"/>
          <w:b/>
          <w:bCs/>
          <w:color w:val="1a1a1a"/>
          <w:sz w:val="22"/>
          <w:szCs w:val="22"/>
        </w:rPr>
        <w:t xml:space="preserve">Why This Is an Opportunity</w:t>
      </w:r>
    </w:p>
    <w:p>
      <w:pPr>
        <w:pStyle w:val="ListParagraph"/>
        <w:numPr>
          <w:ilvl w:val="0"/>
          <w:numId w:val="2"/>
        </w:numPr>
        <w:spacing w:before="60" w:after="60"/>
      </w:pPr>
      <w:r>
        <w:rPr>
          <w:rFonts w:ascii="Arial" w:cs="Arial" w:eastAsia="Arial" w:hAnsi="Arial"/>
          <w:color w:val="222222"/>
          <w:sz w:val="20"/>
          <w:szCs w:val="20"/>
        </w:rPr>
        <w:t xml:space="preserve">MIMIC-IV contains nursing-recorded CAM-ICU assessments and rich time-series vitals/labs</w:t>
      </w:r>
    </w:p>
    <w:p>
      <w:pPr>
        <w:pStyle w:val="ListParagraph"/>
        <w:numPr>
          <w:ilvl w:val="0"/>
          <w:numId w:val="2"/>
        </w:numPr>
        <w:spacing w:before="60" w:after="60"/>
      </w:pPr>
      <w:r>
        <w:rPr>
          <w:rFonts w:ascii="Arial" w:cs="Arial" w:eastAsia="Arial" w:hAnsi="Arial"/>
          <w:color w:val="222222"/>
          <w:sz w:val="20"/>
          <w:szCs w:val="20"/>
        </w:rPr>
        <w:t xml:space="preserve">The prediction problem is technically tractable: predict delirium onset 6–24 hours ahead</w:t>
      </w:r>
    </w:p>
    <w:p>
      <w:pPr>
        <w:pStyle w:val="ListParagraph"/>
        <w:numPr>
          <w:ilvl w:val="0"/>
          <w:numId w:val="2"/>
        </w:numPr>
        <w:spacing w:before="60" w:after="60"/>
      </w:pPr>
      <w:r>
        <w:rPr>
          <w:rFonts w:ascii="Arial" w:cs="Arial" w:eastAsia="Arial" w:hAnsi="Arial"/>
          <w:color w:val="222222"/>
          <w:sz w:val="20"/>
          <w:szCs w:val="20"/>
        </w:rPr>
        <w:t xml:space="preserve">AI-assisted delirium monitoring using computer vision (room cameras, patient movement) is in early research phase with no dominant model</w:t>
      </w:r>
    </w:p>
    <w:p>
      <w:pPr>
        <w:pStyle w:val="ListParagraph"/>
        <w:numPr>
          <w:ilvl w:val="0"/>
          <w:numId w:val="2"/>
        </w:numPr>
        <w:spacing w:before="60" w:after="60"/>
      </w:pPr>
      <w:r>
        <w:rPr>
          <w:rFonts w:ascii="Arial" w:cs="Arial" w:eastAsia="Arial" w:hAnsi="Arial"/>
          <w:color w:val="222222"/>
          <w:sz w:val="20"/>
          <w:szCs w:val="20"/>
        </w:rPr>
        <w:t xml:space="preserve">Reinforcement learning for sedation minimization (to prevent delirium) is almost untouched</w:t>
      </w:r>
    </w:p>
    <w:p>
      <w:pPr>
        <w:pStyle w:val="ListParagraph"/>
        <w:numPr>
          <w:ilvl w:val="0"/>
          <w:numId w:val="2"/>
        </w:numPr>
        <w:spacing w:before="60" w:after="60"/>
      </w:pPr>
      <w:r>
        <w:rPr>
          <w:rFonts w:ascii="Arial" w:cs="Arial" w:eastAsia="Arial" w:hAnsi="Arial"/>
          <w:color w:val="222222"/>
          <w:sz w:val="20"/>
          <w:szCs w:val="20"/>
        </w:rPr>
        <w:t xml:space="preserve">Delirium in non-ICU hospital settings (step-down, post-surgical) is even less studied</w:t>
      </w:r>
    </w:p>
    <w:p>
      <w:pPr>
        <w:spacing w:before="60" w:after="0"/>
      </w:pPr>
      <w:r>
        <w:t xml:space="preserve"/>
      </w:r>
    </w:p>
    <w:p>
      <w:pPr>
        <w:pStyle w:val="Heading3"/>
        <w:spacing w:before="200" w:after="80"/>
      </w:pPr>
      <w:r>
        <w:rPr>
          <w:rFonts w:ascii="Arial" w:cs="Arial" w:eastAsia="Arial" w:hAnsi="Arial"/>
          <w:b/>
          <w:bCs/>
          <w:color w:val="1a1a1a"/>
          <w:sz w:val="22"/>
          <w:szCs w:val="22"/>
        </w:rPr>
        <w:t xml:space="preserve">Specific Research Questions</w:t>
      </w:r>
    </w:p>
    <w:p>
      <w:pPr>
        <w:pStyle w:val="ListParagraph"/>
        <w:numPr>
          <w:ilvl w:val="0"/>
          <w:numId w:val="2"/>
        </w:numPr>
        <w:spacing w:before="60" w:after="60"/>
      </w:pPr>
      <w:r>
        <w:rPr>
          <w:rFonts w:ascii="Arial" w:cs="Arial" w:eastAsia="Arial" w:hAnsi="Arial"/>
          <w:color w:val="222222"/>
          <w:sz w:val="20"/>
          <w:szCs w:val="20"/>
        </w:rPr>
        <w:t xml:space="preserve">Can multi-modal EHR (vitals + labs + nursing notes + medications) outperform CAM-ICU-based baselines?</w:t>
      </w:r>
    </w:p>
    <w:p>
      <w:pPr>
        <w:pStyle w:val="ListParagraph"/>
        <w:numPr>
          <w:ilvl w:val="0"/>
          <w:numId w:val="2"/>
        </w:numPr>
        <w:spacing w:before="60" w:after="60"/>
      </w:pPr>
      <w:r>
        <w:rPr>
          <w:rFonts w:ascii="Arial" w:cs="Arial" w:eastAsia="Arial" w:hAnsi="Arial"/>
          <w:color w:val="222222"/>
          <w:sz w:val="20"/>
          <w:szCs w:val="20"/>
        </w:rPr>
        <w:t xml:space="preserve">Which patient subgroups (elderly, post-cardiac surgery, liver failure) are highest risk and least studied?</w:t>
      </w:r>
    </w:p>
    <w:p>
      <w:pPr>
        <w:pStyle w:val="ListParagraph"/>
        <w:numPr>
          <w:ilvl w:val="0"/>
          <w:numId w:val="2"/>
        </w:numPr>
        <w:spacing w:before="60" w:after="60"/>
      </w:pPr>
      <w:r>
        <w:rPr>
          <w:rFonts w:ascii="Arial" w:cs="Arial" w:eastAsia="Arial" w:hAnsi="Arial"/>
          <w:color w:val="222222"/>
          <w:sz w:val="20"/>
          <w:szCs w:val="20"/>
        </w:rPr>
        <w:t xml:space="preserve">Can an NLP model on nursing notes detect delirium before it is formally documented?</w:t>
      </w:r>
    </w:p>
    <w:p>
      <w:pPr>
        <w:spacing w:before="60" w:after="0"/>
      </w:pPr>
      <w:r>
        <w:t xml:space="preserve"/>
      </w:r>
    </w:p>
    <w:p>
      <w:pPr>
        <w:pStyle w:val="Heading3"/>
        <w:spacing w:before="200" w:after="80"/>
      </w:pPr>
      <w:r>
        <w:rPr>
          <w:rFonts w:ascii="Arial" w:cs="Arial" w:eastAsia="Arial" w:hAnsi="Arial"/>
          <w:b/>
          <w:bCs/>
          <w:color w:val="1a1a1a"/>
          <w:sz w:val="22"/>
          <w:szCs w:val="22"/>
        </w:rPr>
        <w:t xml:space="preserve">Datasets</w:t>
      </w:r>
    </w:p>
    <w:p>
      <w:pPr>
        <w:pStyle w:val="ListParagraph"/>
        <w:numPr>
          <w:ilvl w:val="0"/>
          <w:numId w:val="2"/>
        </w:numPr>
        <w:spacing w:before="60" w:after="60"/>
      </w:pPr>
      <w:r>
        <w:rPr>
          <w:rFonts w:ascii="Arial" w:cs="Arial" w:eastAsia="Arial" w:hAnsi="Arial"/>
          <w:color w:val="222222"/>
          <w:sz w:val="20"/>
          <w:szCs w:val="20"/>
        </w:rPr>
        <w:t xml:space="preserve">MIMIC-IV: nursing assessments including CAM-ICU, medications (sedatives, opioids), ICU stay details</w:t>
      </w:r>
    </w:p>
    <w:p>
      <w:pPr>
        <w:pStyle w:val="ListParagraph"/>
        <w:numPr>
          <w:ilvl w:val="0"/>
          <w:numId w:val="2"/>
        </w:numPr>
        <w:spacing w:before="60" w:after="60"/>
      </w:pPr>
      <w:r>
        <w:rPr>
          <w:rFonts w:ascii="Arial" w:cs="Arial" w:eastAsia="Arial" w:hAnsi="Arial"/>
          <w:color w:val="222222"/>
          <w:sz w:val="20"/>
          <w:szCs w:val="20"/>
        </w:rPr>
        <w:t xml:space="preserve">eICU: multi-center data with GCS and sedation scores across 200+ hospitals</w:t>
      </w:r>
    </w:p>
    <w:p>
      <w:pPr>
        <w:pStyle w:val="ListParagraph"/>
        <w:numPr>
          <w:ilvl w:val="0"/>
          <w:numId w:val="2"/>
        </w:numPr>
        <w:spacing w:before="60" w:after="60"/>
      </w:pPr>
      <w:r>
        <w:rPr>
          <w:rFonts w:ascii="Arial" w:cs="Arial" w:eastAsia="Arial" w:hAnsi="Arial"/>
          <w:color w:val="222222"/>
          <w:sz w:val="20"/>
          <w:szCs w:val="20"/>
        </w:rPr>
        <w:t xml:space="preserve">HiRID (Switzerland): high-resolution time series (30-second intervals) — good for temporal delirium modeling</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3.2 Acute Kidney Injury (AKI) — Sub-phenotyping &amp; Recovery</w:t>
      </w:r>
    </w:p>
    <w:p>
      <w:pPr>
        <w:spacing w:before="80" w:after="80" w:line="276"/>
      </w:pPr>
      <w:r>
        <w:rPr>
          <w:rFonts w:ascii="Arial" w:cs="Arial" w:eastAsia="Arial" w:hAnsi="Arial"/>
          <w:color w:val="222222"/>
          <w:sz w:val="20"/>
          <w:szCs w:val="20"/>
        </w:rPr>
        <w:t xml:space="preserve">AKI prediction at the binary onset level is well-studied (AUROC ~0.82–0.87 across ICU datasets), but the finer questions of AKI sub-phenotyping, recovery trajectories, and dialysis timing are significantly under-explored. AKI affects over 20% of hospitalized patients and is a leading cause of chronic kidney disease.</w:t>
      </w:r>
    </w:p>
    <w:p>
      <w:pPr>
        <w:spacing w:before="60" w:after="0"/>
      </w:pPr>
      <w:r>
        <w:t xml:space="preserve"/>
      </w:r>
    </w:p>
    <w:p>
      <w:pPr>
        <w:pStyle w:val="Heading3"/>
        <w:spacing w:before="200" w:after="80"/>
      </w:pPr>
      <w:r>
        <w:rPr>
          <w:rFonts w:ascii="Arial" w:cs="Arial" w:eastAsia="Arial" w:hAnsi="Arial"/>
          <w:b/>
          <w:bCs/>
          <w:color w:val="1a1a1a"/>
          <w:sz w:val="22"/>
          <w:szCs w:val="22"/>
        </w:rPr>
        <w:t xml:space="preserve">Research Gaps</w:t>
      </w:r>
    </w:p>
    <w:p>
      <w:pPr>
        <w:pStyle w:val="ListParagraph"/>
        <w:numPr>
          <w:ilvl w:val="0"/>
          <w:numId w:val="2"/>
        </w:numPr>
        <w:spacing w:before="60" w:after="60"/>
      </w:pPr>
      <w:r>
        <w:rPr>
          <w:rFonts w:ascii="Arial" w:cs="Arial" w:eastAsia="Arial" w:hAnsi="Arial"/>
          <w:color w:val="222222"/>
          <w:sz w:val="20"/>
          <w:szCs w:val="20"/>
        </w:rPr>
        <w:t xml:space="preserve">AKI sub-phenotype discovery: not all AKI is the same — ischemic, nephrotoxic, sepsis-associated AKI have different trajectories and the ML literature barely separates them</w:t>
      </w:r>
    </w:p>
    <w:p>
      <w:pPr>
        <w:pStyle w:val="ListParagraph"/>
        <w:numPr>
          <w:ilvl w:val="0"/>
          <w:numId w:val="2"/>
        </w:numPr>
        <w:spacing w:before="60" w:after="60"/>
      </w:pPr>
      <w:r>
        <w:rPr>
          <w:rFonts w:ascii="Arial" w:cs="Arial" w:eastAsia="Arial" w:hAnsi="Arial"/>
          <w:color w:val="222222"/>
          <w:sz w:val="20"/>
          <w:szCs w:val="20"/>
        </w:rPr>
        <w:t xml:space="preserve">AKI-to-CKD transition prediction: which patients develop chronic kidney disease after an ICU AKI episode?</w:t>
      </w:r>
    </w:p>
    <w:p>
      <w:pPr>
        <w:pStyle w:val="ListParagraph"/>
        <w:numPr>
          <w:ilvl w:val="0"/>
          <w:numId w:val="2"/>
        </w:numPr>
        <w:spacing w:before="60" w:after="60"/>
      </w:pPr>
      <w:r>
        <w:rPr>
          <w:rFonts w:ascii="Arial" w:cs="Arial" w:eastAsia="Arial" w:hAnsi="Arial"/>
          <w:color w:val="222222"/>
          <w:sz w:val="20"/>
          <w:szCs w:val="20"/>
        </w:rPr>
        <w:t xml:space="preserve">Optimal timing for renal replacement therapy (RRT/dialysis) is a classic clinical controversy — only a handful of RL papers exist</w:t>
      </w:r>
    </w:p>
    <w:p>
      <w:pPr>
        <w:pStyle w:val="ListParagraph"/>
        <w:numPr>
          <w:ilvl w:val="0"/>
          <w:numId w:val="2"/>
        </w:numPr>
        <w:spacing w:before="60" w:after="60"/>
      </w:pPr>
      <w:r>
        <w:rPr>
          <w:rFonts w:ascii="Arial" w:cs="Arial" w:eastAsia="Arial" w:hAnsi="Arial"/>
          <w:color w:val="222222"/>
          <w:sz w:val="20"/>
          <w:szCs w:val="20"/>
        </w:rPr>
        <w:t xml:space="preserve">AKI recovery prediction: who will recover full kidney function by discharge vs. not?</w:t>
      </w:r>
    </w:p>
    <w:p>
      <w:pPr>
        <w:spacing w:before="60" w:after="0"/>
      </w:pPr>
      <w:r>
        <w:t xml:space="preserve"/>
      </w:r>
    </w:p>
    <w:p>
      <w:pPr>
        <w:pStyle w:val="Heading3"/>
        <w:spacing w:before="200" w:after="80"/>
      </w:pPr>
      <w:r>
        <w:rPr>
          <w:rFonts w:ascii="Arial" w:cs="Arial" w:eastAsia="Arial" w:hAnsi="Arial"/>
          <w:b/>
          <w:bCs/>
          <w:color w:val="1a1a1a"/>
          <w:sz w:val="22"/>
          <w:szCs w:val="22"/>
        </w:rPr>
        <w:t xml:space="preserve">Datasets</w:t>
      </w:r>
    </w:p>
    <w:p>
      <w:pPr>
        <w:pStyle w:val="ListParagraph"/>
        <w:numPr>
          <w:ilvl w:val="0"/>
          <w:numId w:val="2"/>
        </w:numPr>
        <w:spacing w:before="60" w:after="60"/>
      </w:pPr>
      <w:r>
        <w:rPr>
          <w:rFonts w:ascii="Arial" w:cs="Arial" w:eastAsia="Arial" w:hAnsi="Arial"/>
          <w:color w:val="222222"/>
          <w:sz w:val="20"/>
          <w:szCs w:val="20"/>
        </w:rPr>
        <w:t xml:space="preserve">MIMIC-IV + HiRID + AUMCdb: all contain creatinine, urine output, and AKI labels — enabling cross-dataset phenotyping</w:t>
      </w:r>
    </w:p>
    <w:p>
      <w:pPr>
        <w:pStyle w:val="ListParagraph"/>
        <w:numPr>
          <w:ilvl w:val="0"/>
          <w:numId w:val="2"/>
        </w:numPr>
        <w:spacing w:before="60" w:after="60"/>
      </w:pPr>
      <w:r>
        <w:rPr>
          <w:rFonts w:ascii="Arial" w:cs="Arial" w:eastAsia="Arial" w:hAnsi="Arial"/>
          <w:color w:val="222222"/>
          <w:sz w:val="20"/>
          <w:szCs w:val="20"/>
        </w:rPr>
        <w:t xml:space="preserve">UK Biobank: for AKI-to-CKD transition in non-ICU populations</w:t>
      </w:r>
    </w:p>
    <w:p>
      <w:pPr>
        <w:pStyle w:val="ListParagraph"/>
        <w:numPr>
          <w:ilvl w:val="0"/>
          <w:numId w:val="2"/>
        </w:numPr>
        <w:spacing w:before="60" w:after="60"/>
      </w:pPr>
      <w:r>
        <w:rPr>
          <w:rFonts w:ascii="Arial" w:cs="Arial" w:eastAsia="Arial" w:hAnsi="Arial"/>
          <w:color w:val="222222"/>
          <w:sz w:val="20"/>
          <w:szCs w:val="20"/>
        </w:rPr>
        <w:t xml:space="preserve">CKD Biomarker Consortium datasets (via PhysioNet)</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3.3 Hospital Malnutrition &amp; Nutritional Outcomes</w:t>
      </w:r>
    </w:p>
    <w:p>
      <w:pPr>
        <w:spacing w:before="80" w:after="80" w:line="276"/>
      </w:pPr>
      <w:r>
        <w:rPr>
          <w:rFonts w:ascii="Arial" w:cs="Arial" w:eastAsia="Arial" w:hAnsi="Arial"/>
          <w:color w:val="222222"/>
          <w:sz w:val="20"/>
          <w:szCs w:val="20"/>
        </w:rPr>
        <w:t xml:space="preserve">Malnutrition affects 20–55% of hospitalized patients and is associated with a 2.7x increased risk of 30-day readmission, yet it is almost invisible in ML healthcare research. There are essentially no published ML models for in-hospital malnutrition detection or nutrition intervention optimization. This is a wide-open field.</w:t>
      </w:r>
    </w:p>
    <w:p>
      <w:pPr>
        <w:spacing w:before="60" w:after="0"/>
      </w:pPr>
      <w:r>
        <w:t xml:space="preserve"/>
      </w:r>
    </w:p>
    <w:p>
      <w:pPr>
        <w:pStyle w:val="Heading3"/>
        <w:spacing w:before="200" w:after="80"/>
      </w:pPr>
      <w:r>
        <w:rPr>
          <w:rFonts w:ascii="Arial" w:cs="Arial" w:eastAsia="Arial" w:hAnsi="Arial"/>
          <w:b/>
          <w:bCs/>
          <w:color w:val="1a1a1a"/>
          <w:sz w:val="22"/>
          <w:szCs w:val="22"/>
        </w:rPr>
        <w:t xml:space="preserve">Why This Is a Standout Opportunity</w:t>
      </w:r>
    </w:p>
    <w:p>
      <w:pPr>
        <w:pStyle w:val="ListParagraph"/>
        <w:numPr>
          <w:ilvl w:val="0"/>
          <w:numId w:val="2"/>
        </w:numPr>
        <w:spacing w:before="60" w:after="60"/>
      </w:pPr>
      <w:r>
        <w:rPr>
          <w:rFonts w:ascii="Arial" w:cs="Arial" w:eastAsia="Arial" w:hAnsi="Arial"/>
          <w:color w:val="222222"/>
          <w:sz w:val="20"/>
          <w:szCs w:val="20"/>
        </w:rPr>
        <w:t xml:space="preserve">Clinical gap: 76% of malnourished patients have at least one 'gap in care' — a tractable problem for AI-assisted clinical decision support</w:t>
      </w:r>
    </w:p>
    <w:p>
      <w:pPr>
        <w:pStyle w:val="ListParagraph"/>
        <w:numPr>
          <w:ilvl w:val="0"/>
          <w:numId w:val="2"/>
        </w:numPr>
        <w:spacing w:before="60" w:after="60"/>
      </w:pPr>
      <w:r>
        <w:rPr>
          <w:rFonts w:ascii="Arial" w:cs="Arial" w:eastAsia="Arial" w:hAnsi="Arial"/>
          <w:color w:val="222222"/>
          <w:sz w:val="20"/>
          <w:szCs w:val="20"/>
        </w:rPr>
        <w:t xml:space="preserve">Prediction value: malnutrition screening currently relies on simple tools (NRS-2002, MNA-SF) that are time-consuming and poorly implemented</w:t>
      </w:r>
    </w:p>
    <w:p>
      <w:pPr>
        <w:pStyle w:val="ListParagraph"/>
        <w:numPr>
          <w:ilvl w:val="0"/>
          <w:numId w:val="2"/>
        </w:numPr>
        <w:spacing w:before="60" w:after="60"/>
      </w:pPr>
      <w:r>
        <w:rPr>
          <w:rFonts w:ascii="Arial" w:cs="Arial" w:eastAsia="Arial" w:hAnsi="Arial"/>
          <w:color w:val="222222"/>
          <w:sz w:val="20"/>
          <w:szCs w:val="20"/>
        </w:rPr>
        <w:t xml:space="preserve">Data signal: MIMIC-IV has albumin, pre-albumin, body weight, BMI, dietitian consultations, enteral/parenteral nutrition orders — rarely used for this purpose</w:t>
      </w:r>
    </w:p>
    <w:p>
      <w:pPr>
        <w:pStyle w:val="ListParagraph"/>
        <w:numPr>
          <w:ilvl w:val="0"/>
          <w:numId w:val="2"/>
        </w:numPr>
        <w:spacing w:before="60" w:after="60"/>
      </w:pPr>
      <w:r>
        <w:rPr>
          <w:rFonts w:ascii="Arial" w:cs="Arial" w:eastAsia="Arial" w:hAnsi="Arial"/>
          <w:color w:val="222222"/>
          <w:sz w:val="20"/>
          <w:szCs w:val="20"/>
        </w:rPr>
        <w:t xml:space="preserve">Outcome connection: strong signal between nutrition status and LOS, mortality, pressure injuries, and infection rates</w:t>
      </w:r>
    </w:p>
    <w:p>
      <w:pPr>
        <w:spacing w:before="60" w:after="0"/>
      </w:pPr>
      <w:r>
        <w:t xml:space="preserve"/>
      </w:r>
    </w:p>
    <w:p>
      <w:pPr>
        <w:pStyle w:val="Heading3"/>
        <w:spacing w:before="200" w:after="80"/>
      </w:pPr>
      <w:r>
        <w:rPr>
          <w:rFonts w:ascii="Arial" w:cs="Arial" w:eastAsia="Arial" w:hAnsi="Arial"/>
          <w:b/>
          <w:bCs/>
          <w:color w:val="1a1a1a"/>
          <w:sz w:val="22"/>
          <w:szCs w:val="22"/>
        </w:rPr>
        <w:t xml:space="preserve">Specific Research Questions</w:t>
      </w:r>
    </w:p>
    <w:p>
      <w:pPr>
        <w:pStyle w:val="ListParagraph"/>
        <w:numPr>
          <w:ilvl w:val="0"/>
          <w:numId w:val="2"/>
        </w:numPr>
        <w:spacing w:before="60" w:after="60"/>
      </w:pPr>
      <w:r>
        <w:rPr>
          <w:rFonts w:ascii="Arial" w:cs="Arial" w:eastAsia="Arial" w:hAnsi="Arial"/>
          <w:color w:val="222222"/>
          <w:sz w:val="20"/>
          <w:szCs w:val="20"/>
        </w:rPr>
        <w:t xml:space="preserve">Can EHR data (labs, diagnoses, meds, weight trends) predict malnutrition risk without a formal screening tool?</w:t>
      </w:r>
    </w:p>
    <w:p>
      <w:pPr>
        <w:pStyle w:val="ListParagraph"/>
        <w:numPr>
          <w:ilvl w:val="0"/>
          <w:numId w:val="2"/>
        </w:numPr>
        <w:spacing w:before="60" w:after="60"/>
      </w:pPr>
      <w:r>
        <w:rPr>
          <w:rFonts w:ascii="Arial" w:cs="Arial" w:eastAsia="Arial" w:hAnsi="Arial"/>
          <w:color w:val="222222"/>
          <w:sz w:val="20"/>
          <w:szCs w:val="20"/>
        </w:rPr>
        <w:t xml:space="preserve">What is the optimal timing of dietitian consultation — and can it be ML-triggered?</w:t>
      </w:r>
    </w:p>
    <w:p>
      <w:pPr>
        <w:pStyle w:val="ListParagraph"/>
        <w:numPr>
          <w:ilvl w:val="0"/>
          <w:numId w:val="2"/>
        </w:numPr>
        <w:spacing w:before="60" w:after="60"/>
      </w:pPr>
      <w:r>
        <w:rPr>
          <w:rFonts w:ascii="Arial" w:cs="Arial" w:eastAsia="Arial" w:hAnsi="Arial"/>
          <w:color w:val="222222"/>
          <w:sz w:val="20"/>
          <w:szCs w:val="20"/>
        </w:rPr>
        <w:t xml:space="preserve">In ICU patients, does early nutrition protocol initiation (predicted by ML) reduce delirium or length of stay?</w:t>
      </w:r>
    </w:p>
    <w:p>
      <w:pPr>
        <w:spacing w:before="60" w:after="0"/>
      </w:pPr>
      <w:r>
        <w:t xml:space="preserve"/>
      </w:r>
    </w:p>
    <w:p>
      <w:pPr>
        <w:pStyle w:val="Heading3"/>
        <w:spacing w:before="200" w:after="80"/>
      </w:pPr>
      <w:r>
        <w:rPr>
          <w:rFonts w:ascii="Arial" w:cs="Arial" w:eastAsia="Arial" w:hAnsi="Arial"/>
          <w:b/>
          <w:bCs/>
          <w:color w:val="1a1a1a"/>
          <w:sz w:val="22"/>
          <w:szCs w:val="22"/>
        </w:rPr>
        <w:t xml:space="preserve">Datasets</w:t>
      </w:r>
    </w:p>
    <w:p>
      <w:pPr>
        <w:pStyle w:val="ListParagraph"/>
        <w:numPr>
          <w:ilvl w:val="0"/>
          <w:numId w:val="2"/>
        </w:numPr>
        <w:spacing w:before="60" w:after="60"/>
      </w:pPr>
      <w:r>
        <w:rPr>
          <w:rFonts w:ascii="Arial" w:cs="Arial" w:eastAsia="Arial" w:hAnsi="Arial"/>
          <w:color w:val="222222"/>
          <w:sz w:val="20"/>
          <w:szCs w:val="20"/>
        </w:rPr>
        <w:t xml:space="preserve">MIMIC-IV: albumin, prealbumin, BMI, weight trends, parenteral/enteral nutrition orders, dietitian consult notes</w:t>
      </w:r>
    </w:p>
    <w:p>
      <w:pPr>
        <w:pStyle w:val="ListParagraph"/>
        <w:numPr>
          <w:ilvl w:val="0"/>
          <w:numId w:val="2"/>
        </w:numPr>
        <w:spacing w:before="60" w:after="60"/>
      </w:pPr>
      <w:r>
        <w:rPr>
          <w:rFonts w:ascii="Arial" w:cs="Arial" w:eastAsia="Arial" w:hAnsi="Arial"/>
          <w:color w:val="222222"/>
          <w:sz w:val="20"/>
          <w:szCs w:val="20"/>
        </w:rPr>
        <w:t xml:space="preserve">NHANES (National Health and Nutrition Examination Survey): population-level diet and lab data</w:t>
      </w:r>
    </w:p>
    <w:p>
      <w:pPr>
        <w:pStyle w:val="ListParagraph"/>
        <w:numPr>
          <w:ilvl w:val="0"/>
          <w:numId w:val="2"/>
        </w:numPr>
        <w:spacing w:before="60" w:after="60"/>
      </w:pPr>
      <w:r>
        <w:rPr>
          <w:rFonts w:ascii="Arial" w:cs="Arial" w:eastAsia="Arial" w:hAnsi="Arial"/>
          <w:color w:val="222222"/>
          <w:sz w:val="20"/>
          <w:szCs w:val="20"/>
        </w:rPr>
        <w:t xml:space="preserve">NRD (HCUP Nationwide Readmissions Database): links malnutrition ICD codes to readmission outcomes nationally</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3.4 Pediatric &amp; Neonatal Critical Care</w:t>
      </w:r>
    </w:p>
    <w:p>
      <w:pPr>
        <w:spacing w:before="80" w:after="80" w:line="276"/>
      </w:pPr>
      <w:r>
        <w:rPr>
          <w:rFonts w:ascii="Arial" w:cs="Arial" w:eastAsia="Arial" w:hAnsi="Arial"/>
          <w:color w:val="222222"/>
          <w:sz w:val="20"/>
          <w:szCs w:val="20"/>
        </w:rPr>
        <w:t xml:space="preserve">Pediatric and neonatal ICU research is one of the most consistent gaps identified in the 2025 literature. Reviews of ICU AI from 2020–2025 explicitly call out NICU settings as having important gaps. The PIC (Pediatric Intensive Care) database from China and MIMIC-IV's pediatric subset are underutilized.</w:t>
      </w:r>
    </w:p>
    <w:p>
      <w:pPr>
        <w:spacing w:before="60" w:after="0"/>
      </w:pPr>
      <w:r>
        <w:t xml:space="preserve"/>
      </w:r>
    </w:p>
    <w:p>
      <w:pPr>
        <w:pStyle w:val="Heading3"/>
        <w:spacing w:before="200" w:after="80"/>
      </w:pPr>
      <w:r>
        <w:rPr>
          <w:rFonts w:ascii="Arial" w:cs="Arial" w:eastAsia="Arial" w:hAnsi="Arial"/>
          <w:b/>
          <w:bCs/>
          <w:color w:val="1a1a1a"/>
          <w:sz w:val="22"/>
          <w:szCs w:val="22"/>
        </w:rPr>
        <w:t xml:space="preserve">Research Gaps</w:t>
      </w:r>
    </w:p>
    <w:p>
      <w:pPr>
        <w:pStyle w:val="ListParagraph"/>
        <w:numPr>
          <w:ilvl w:val="0"/>
          <w:numId w:val="2"/>
        </w:numPr>
        <w:spacing w:before="60" w:after="60"/>
      </w:pPr>
      <w:r>
        <w:rPr>
          <w:rFonts w:ascii="Arial" w:cs="Arial" w:eastAsia="Arial" w:hAnsi="Arial"/>
          <w:color w:val="222222"/>
          <w:sz w:val="20"/>
          <w:szCs w:val="20"/>
        </w:rPr>
        <w:t xml:space="preserve">Neonatal early warning systems: predicting deterioration in premature infants differs dramatically from adults — few published models</w:t>
      </w:r>
    </w:p>
    <w:p>
      <w:pPr>
        <w:pStyle w:val="ListParagraph"/>
        <w:numPr>
          <w:ilvl w:val="0"/>
          <w:numId w:val="2"/>
        </w:numPr>
        <w:spacing w:before="60" w:after="60"/>
      </w:pPr>
      <w:r>
        <w:rPr>
          <w:rFonts w:ascii="Arial" w:cs="Arial" w:eastAsia="Arial" w:hAnsi="Arial"/>
          <w:color w:val="222222"/>
          <w:sz w:val="20"/>
          <w:szCs w:val="20"/>
        </w:rPr>
        <w:t xml:space="preserve">Pediatric sepsis: adult sepsis criteria (Sepsis-3) do not apply to children — pediatric-specific models are sparse</w:t>
      </w:r>
    </w:p>
    <w:p>
      <w:pPr>
        <w:pStyle w:val="ListParagraph"/>
        <w:numPr>
          <w:ilvl w:val="0"/>
          <w:numId w:val="2"/>
        </w:numPr>
        <w:spacing w:before="60" w:after="60"/>
      </w:pPr>
      <w:r>
        <w:rPr>
          <w:rFonts w:ascii="Arial" w:cs="Arial" w:eastAsia="Arial" w:hAnsi="Arial"/>
          <w:color w:val="222222"/>
          <w:sz w:val="20"/>
          <w:szCs w:val="20"/>
        </w:rPr>
        <w:t xml:space="preserve">Extubation readiness in PICU: when to safely remove mechanical ventilation in children</w:t>
      </w:r>
    </w:p>
    <w:p>
      <w:pPr>
        <w:pStyle w:val="ListParagraph"/>
        <w:numPr>
          <w:ilvl w:val="0"/>
          <w:numId w:val="2"/>
        </w:numPr>
        <w:spacing w:before="60" w:after="60"/>
      </w:pPr>
      <w:r>
        <w:rPr>
          <w:rFonts w:ascii="Arial" w:cs="Arial" w:eastAsia="Arial" w:hAnsi="Arial"/>
          <w:color w:val="222222"/>
          <w:sz w:val="20"/>
          <w:szCs w:val="20"/>
        </w:rPr>
        <w:t xml:space="preserve">Feeding intolerance and necrotizing enterocolitis (NEC) prediction in NICU premature infants</w:t>
      </w:r>
    </w:p>
    <w:p>
      <w:pPr>
        <w:pStyle w:val="ListParagraph"/>
        <w:numPr>
          <w:ilvl w:val="0"/>
          <w:numId w:val="2"/>
        </w:numPr>
        <w:spacing w:before="60" w:after="60"/>
      </w:pPr>
      <w:r>
        <w:rPr>
          <w:rFonts w:ascii="Arial" w:cs="Arial" w:eastAsia="Arial" w:hAnsi="Arial"/>
          <w:color w:val="222222"/>
          <w:sz w:val="20"/>
          <w:szCs w:val="20"/>
        </w:rPr>
        <w:t xml:space="preserve">Pediatric ICU length of stay and readmission</w:t>
      </w:r>
    </w:p>
    <w:p>
      <w:pPr>
        <w:spacing w:before="60" w:after="0"/>
      </w:pPr>
      <w:r>
        <w:t xml:space="preserve"/>
      </w:r>
    </w:p>
    <w:p>
      <w:pPr>
        <w:pStyle w:val="Heading3"/>
        <w:spacing w:before="200" w:after="80"/>
      </w:pPr>
      <w:r>
        <w:rPr>
          <w:rFonts w:ascii="Arial" w:cs="Arial" w:eastAsia="Arial" w:hAnsi="Arial"/>
          <w:b/>
          <w:bCs/>
          <w:color w:val="1a1a1a"/>
          <w:sz w:val="22"/>
          <w:szCs w:val="22"/>
        </w:rPr>
        <w:t xml:space="preserve">Datasets</w:t>
      </w:r>
    </w:p>
    <w:p>
      <w:pPr>
        <w:pStyle w:val="ListParagraph"/>
        <w:numPr>
          <w:ilvl w:val="0"/>
          <w:numId w:val="2"/>
        </w:numPr>
        <w:spacing w:before="60" w:after="60"/>
      </w:pPr>
      <w:r>
        <w:rPr>
          <w:rFonts w:ascii="Arial" w:cs="Arial" w:eastAsia="Arial" w:hAnsi="Arial"/>
          <w:color w:val="222222"/>
          <w:sz w:val="20"/>
          <w:szCs w:val="20"/>
        </w:rPr>
        <w:t xml:space="preserve">PIC Database (PhysioNet): pediatric ICU data from Children's Hospital of Zhejiang University — 13,000+ stays</w:t>
      </w:r>
    </w:p>
    <w:p>
      <w:pPr>
        <w:pStyle w:val="ListParagraph"/>
        <w:numPr>
          <w:ilvl w:val="0"/>
          <w:numId w:val="2"/>
        </w:numPr>
        <w:spacing w:before="60" w:after="60"/>
      </w:pPr>
      <w:r>
        <w:rPr>
          <w:rFonts w:ascii="Arial" w:cs="Arial" w:eastAsia="Arial" w:hAnsi="Arial"/>
          <w:color w:val="222222"/>
          <w:sz w:val="20"/>
          <w:szCs w:val="20"/>
        </w:rPr>
        <w:t xml:space="preserve">MIMIC-IV: contains a pediatric subset (patients under 18) rarely analyzed separately</w:t>
      </w:r>
    </w:p>
    <w:p>
      <w:pPr>
        <w:pStyle w:val="ListParagraph"/>
        <w:numPr>
          <w:ilvl w:val="0"/>
          <w:numId w:val="2"/>
        </w:numPr>
        <w:spacing w:before="60" w:after="60"/>
      </w:pPr>
      <w:r>
        <w:rPr>
          <w:rFonts w:ascii="Arial" w:cs="Arial" w:eastAsia="Arial" w:hAnsi="Arial"/>
          <w:color w:val="222222"/>
          <w:sz w:val="20"/>
          <w:szCs w:val="20"/>
        </w:rPr>
        <w:t xml:space="preserve">PICU Collaborative datasets: available via PhysioNet from multicenter PICU studies</w:t>
      </w:r>
    </w:p>
    <w:p>
      <w:pPr>
        <w:pStyle w:val="ListParagraph"/>
        <w:numPr>
          <w:ilvl w:val="0"/>
          <w:numId w:val="2"/>
        </w:numPr>
        <w:spacing w:before="60" w:after="60"/>
      </w:pPr>
      <w:r>
        <w:rPr>
          <w:rFonts w:ascii="Arial" w:cs="Arial" w:eastAsia="Arial" w:hAnsi="Arial"/>
          <w:color w:val="222222"/>
          <w:sz w:val="20"/>
          <w:szCs w:val="20"/>
        </w:rPr>
        <w:t xml:space="preserve">eICU-CRD: includes some pediatric patients from US hospitals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3.5 Mental Health (EHR-Based Research)</w:t>
      </w:r>
    </w:p>
    <w:p>
      <w:pPr>
        <w:spacing w:before="80" w:after="80" w:line="276"/>
      </w:pPr>
      <w:r>
        <w:rPr>
          <w:rFonts w:ascii="Arial" w:cs="Arial" w:eastAsia="Arial" w:hAnsi="Arial"/>
          <w:color w:val="222222"/>
          <w:sz w:val="20"/>
          <w:szCs w:val="20"/>
        </w:rPr>
        <w:t xml:space="preserve">Mental health conditions have a growing presence in healthcare AI research, but this remains one of the most underfunded areas relative to burden. The specific opportunity here is EHR-based modeling rather than consumer app data — predicting clinical deterioration, inpatient LOS, medication response, and readmission.</w:t>
      </w:r>
    </w:p>
    <w:p>
      <w:pPr>
        <w:spacing w:before="60" w:after="0"/>
      </w:pPr>
      <w:r>
        <w:t xml:space="preserve"/>
      </w:r>
    </w:p>
    <w:p>
      <w:pPr>
        <w:pStyle w:val="Heading3"/>
        <w:spacing w:before="200" w:after="80"/>
      </w:pPr>
      <w:r>
        <w:rPr>
          <w:rFonts w:ascii="Arial" w:cs="Arial" w:eastAsia="Arial" w:hAnsi="Arial"/>
          <w:b/>
          <w:bCs/>
          <w:color w:val="1a1a1a"/>
          <w:sz w:val="22"/>
          <w:szCs w:val="22"/>
        </w:rPr>
        <w:t xml:space="preserve">Research Gaps</w:t>
      </w:r>
    </w:p>
    <w:p>
      <w:pPr>
        <w:pStyle w:val="ListParagraph"/>
        <w:numPr>
          <w:ilvl w:val="0"/>
          <w:numId w:val="2"/>
        </w:numPr>
        <w:spacing w:before="60" w:after="60"/>
      </w:pPr>
      <w:r>
        <w:rPr>
          <w:rFonts w:ascii="Arial" w:cs="Arial" w:eastAsia="Arial" w:hAnsi="Arial"/>
          <w:color w:val="222222"/>
          <w:sz w:val="20"/>
          <w:szCs w:val="20"/>
        </w:rPr>
        <w:t xml:space="preserve">Prediction of psychiatric inpatient length of stay: highly variable and poorly predicted</w:t>
      </w:r>
    </w:p>
    <w:p>
      <w:pPr>
        <w:pStyle w:val="ListParagraph"/>
        <w:numPr>
          <w:ilvl w:val="0"/>
          <w:numId w:val="2"/>
        </w:numPr>
        <w:spacing w:before="60" w:after="60"/>
      </w:pPr>
      <w:r>
        <w:rPr>
          <w:rFonts w:ascii="Arial" w:cs="Arial" w:eastAsia="Arial" w:hAnsi="Arial"/>
          <w:color w:val="222222"/>
          <w:sz w:val="20"/>
          <w:szCs w:val="20"/>
        </w:rPr>
        <w:t xml:space="preserve">Medication response prediction: who will respond to antidepressants or antipsychotics within a given class?</w:t>
      </w:r>
    </w:p>
    <w:p>
      <w:pPr>
        <w:pStyle w:val="ListParagraph"/>
        <w:numPr>
          <w:ilvl w:val="0"/>
          <w:numId w:val="2"/>
        </w:numPr>
        <w:spacing w:before="60" w:after="60"/>
      </w:pPr>
      <w:r>
        <w:rPr>
          <w:rFonts w:ascii="Arial" w:cs="Arial" w:eastAsia="Arial" w:hAnsi="Arial"/>
          <w:color w:val="222222"/>
          <w:sz w:val="20"/>
          <w:szCs w:val="20"/>
        </w:rPr>
        <w:t xml:space="preserve">30-day psychiatric readmission: strong datasets exist, few good models</w:t>
      </w:r>
    </w:p>
    <w:p>
      <w:pPr>
        <w:pStyle w:val="ListParagraph"/>
        <w:numPr>
          <w:ilvl w:val="0"/>
          <w:numId w:val="2"/>
        </w:numPr>
        <w:spacing w:before="60" w:after="60"/>
      </w:pPr>
      <w:r>
        <w:rPr>
          <w:rFonts w:ascii="Arial" w:cs="Arial" w:eastAsia="Arial" w:hAnsi="Arial"/>
          <w:color w:val="222222"/>
          <w:sz w:val="20"/>
          <w:szCs w:val="20"/>
        </w:rPr>
        <w:t xml:space="preserve">Detection of suicidal ideation from clinical notes (NLP): active but not saturated research area</w:t>
      </w:r>
    </w:p>
    <w:p>
      <w:pPr>
        <w:pStyle w:val="ListParagraph"/>
        <w:numPr>
          <w:ilvl w:val="0"/>
          <w:numId w:val="2"/>
        </w:numPr>
        <w:spacing w:before="60" w:after="60"/>
      </w:pPr>
      <w:r>
        <w:rPr>
          <w:rFonts w:ascii="Arial" w:cs="Arial" w:eastAsia="Arial" w:hAnsi="Arial"/>
          <w:color w:val="222222"/>
          <w:sz w:val="20"/>
          <w:szCs w:val="20"/>
        </w:rPr>
        <w:t xml:space="preserve">Post-discharge follow-up dropout prediction: who won't attend their next mental health appointment?</w:t>
      </w:r>
    </w:p>
    <w:p>
      <w:pPr>
        <w:spacing w:before="60" w:after="0"/>
      </w:pPr>
      <w:r>
        <w:t xml:space="preserve"/>
      </w:r>
    </w:p>
    <w:p>
      <w:pPr>
        <w:pStyle w:val="Heading3"/>
        <w:spacing w:before="200" w:after="80"/>
      </w:pPr>
      <w:r>
        <w:rPr>
          <w:rFonts w:ascii="Arial" w:cs="Arial" w:eastAsia="Arial" w:hAnsi="Arial"/>
          <w:b/>
          <w:bCs/>
          <w:color w:val="1a1a1a"/>
          <w:sz w:val="22"/>
          <w:szCs w:val="22"/>
        </w:rPr>
        <w:t xml:space="preserve">Datasets</w:t>
      </w:r>
    </w:p>
    <w:p>
      <w:pPr>
        <w:pStyle w:val="ListParagraph"/>
        <w:numPr>
          <w:ilvl w:val="0"/>
          <w:numId w:val="2"/>
        </w:numPr>
        <w:spacing w:before="60" w:after="60"/>
      </w:pPr>
      <w:r>
        <w:rPr>
          <w:rFonts w:ascii="Arial" w:cs="Arial" w:eastAsia="Arial" w:hAnsi="Arial"/>
          <w:color w:val="222222"/>
          <w:sz w:val="20"/>
          <w:szCs w:val="20"/>
        </w:rPr>
        <w:t xml:space="preserve">MIMIC-IV: contains ICD codes for psychiatric diagnoses, ED visits for psychiatric crises, medication records</w:t>
      </w:r>
    </w:p>
    <w:p>
      <w:pPr>
        <w:pStyle w:val="ListParagraph"/>
        <w:numPr>
          <w:ilvl w:val="0"/>
          <w:numId w:val="2"/>
        </w:numPr>
        <w:spacing w:before="60" w:after="60"/>
      </w:pPr>
      <w:r>
        <w:rPr>
          <w:rFonts w:ascii="Arial" w:cs="Arial" w:eastAsia="Arial" w:hAnsi="Arial"/>
          <w:color w:val="222222"/>
          <w:sz w:val="20"/>
          <w:szCs w:val="20"/>
        </w:rPr>
        <w:t xml:space="preserve">CRIS (Clinical Record Interactive Search): de-identified EHR data from South London and Maudsley NHS Trust — one of the richest psychiatric EHR datasets globally</w:t>
      </w:r>
    </w:p>
    <w:p>
      <w:pPr>
        <w:pStyle w:val="ListParagraph"/>
        <w:numPr>
          <w:ilvl w:val="0"/>
          <w:numId w:val="2"/>
        </w:numPr>
        <w:spacing w:before="60" w:after="60"/>
      </w:pPr>
      <w:r>
        <w:rPr>
          <w:rFonts w:ascii="Arial" w:cs="Arial" w:eastAsia="Arial" w:hAnsi="Arial"/>
          <w:color w:val="222222"/>
          <w:sz w:val="20"/>
          <w:szCs w:val="20"/>
        </w:rPr>
        <w:t xml:space="preserve">SAMHSA Treatment Episode Data Set (TEDS): national admissions/discharges from substance use treatment</w:t>
      </w:r>
    </w:p>
    <w:p>
      <w:pPr>
        <w:pStyle w:val="ListParagraph"/>
        <w:numPr>
          <w:ilvl w:val="0"/>
          <w:numId w:val="2"/>
        </w:numPr>
        <w:spacing w:before="60" w:after="60"/>
      </w:pPr>
      <w:r>
        <w:rPr>
          <w:rFonts w:ascii="Arial" w:cs="Arial" w:eastAsia="Arial" w:hAnsi="Arial"/>
          <w:color w:val="222222"/>
          <w:sz w:val="20"/>
          <w:szCs w:val="20"/>
        </w:rPr>
        <w:t xml:space="preserve">NIMH Research Domain Criteria (RDoC) datasets: publicly available via NIMH Data Archive</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3.6 Hospital Readmissions in Under-Studied Conditions</w:t>
      </w:r>
    </w:p>
    <w:p>
      <w:pPr>
        <w:spacing w:before="80" w:after="80" w:line="276"/>
      </w:pPr>
      <w:r>
        <w:rPr>
          <w:rFonts w:ascii="Arial" w:cs="Arial" w:eastAsia="Arial" w:hAnsi="Arial"/>
          <w:color w:val="222222"/>
          <w:sz w:val="20"/>
          <w:szCs w:val="20"/>
        </w:rPr>
        <w:t xml:space="preserve">Hospital readmission research has largely focused on heart failure, COPD, pneumonia, and AMI — driven by CMS penalty programs. However, readmission for liver disease, post-surgical complications, cancer, and neurological conditions is far less modeled despite high rates and costs.</w:t>
      </w:r>
    </w:p>
    <w:p>
      <w:pPr>
        <w:spacing w:before="60" w:after="0"/>
      </w:pPr>
      <w:r>
        <w:t xml:space="preserve"/>
      </w:r>
    </w:p>
    <w:p>
      <w:pPr>
        <w:pStyle w:val="Heading3"/>
        <w:spacing w:before="200" w:after="80"/>
      </w:pPr>
      <w:r>
        <w:rPr>
          <w:rFonts w:ascii="Arial" w:cs="Arial" w:eastAsia="Arial" w:hAnsi="Arial"/>
          <w:b/>
          <w:bCs/>
          <w:color w:val="1a1a1a"/>
          <w:sz w:val="22"/>
          <w:szCs w:val="22"/>
        </w:rPr>
        <w:t xml:space="preserve">Key Gaps</w:t>
      </w:r>
    </w:p>
    <w:p>
      <w:pPr>
        <w:pStyle w:val="ListParagraph"/>
        <w:numPr>
          <w:ilvl w:val="0"/>
          <w:numId w:val="2"/>
        </w:numPr>
        <w:spacing w:before="60" w:after="60"/>
      </w:pPr>
      <w:r>
        <w:rPr>
          <w:rFonts w:ascii="Arial" w:cs="Arial" w:eastAsia="Arial" w:hAnsi="Arial"/>
          <w:color w:val="222222"/>
          <w:sz w:val="20"/>
          <w:szCs w:val="20"/>
        </w:rPr>
        <w:t xml:space="preserve">Liver disease/cirrhosis readmission: ACLF (Acute-on-Chronic Liver Failure) patients have extremely high readmission rates (~30% at 30 days) — almost no ML models exist</w:t>
      </w:r>
    </w:p>
    <w:p>
      <w:pPr>
        <w:pStyle w:val="ListParagraph"/>
        <w:numPr>
          <w:ilvl w:val="0"/>
          <w:numId w:val="2"/>
        </w:numPr>
        <w:spacing w:before="60" w:after="60"/>
      </w:pPr>
      <w:r>
        <w:rPr>
          <w:rFonts w:ascii="Arial" w:cs="Arial" w:eastAsia="Arial" w:hAnsi="Arial"/>
          <w:color w:val="222222"/>
          <w:sz w:val="20"/>
          <w:szCs w:val="20"/>
        </w:rPr>
        <w:t xml:space="preserve">Post-surgical readmission across specialties: joint replacement, colorectal surgery, transplants</w:t>
      </w:r>
    </w:p>
    <w:p>
      <w:pPr>
        <w:pStyle w:val="ListParagraph"/>
        <w:numPr>
          <w:ilvl w:val="0"/>
          <w:numId w:val="2"/>
        </w:numPr>
        <w:spacing w:before="60" w:after="60"/>
      </w:pPr>
      <w:r>
        <w:rPr>
          <w:rFonts w:ascii="Arial" w:cs="Arial" w:eastAsia="Arial" w:hAnsi="Arial"/>
          <w:color w:val="222222"/>
          <w:sz w:val="20"/>
          <w:szCs w:val="20"/>
        </w:rPr>
        <w:t xml:space="preserve">Readmission prediction for dialysis patients: chronic but complex</w:t>
      </w:r>
    </w:p>
    <w:p>
      <w:pPr>
        <w:pStyle w:val="ListParagraph"/>
        <w:numPr>
          <w:ilvl w:val="0"/>
          <w:numId w:val="2"/>
        </w:numPr>
        <w:spacing w:before="60" w:after="60"/>
      </w:pPr>
      <w:r>
        <w:rPr>
          <w:rFonts w:ascii="Arial" w:cs="Arial" w:eastAsia="Arial" w:hAnsi="Arial"/>
          <w:color w:val="222222"/>
          <w:sz w:val="20"/>
          <w:szCs w:val="20"/>
        </w:rPr>
        <w:t xml:space="preserve">Readmission incorporating social determinants of health (SDOH): NRD now includes zip code and payer data — intersection with SDOH is understudied</w:t>
      </w:r>
    </w:p>
    <w:p>
      <w:pPr>
        <w:spacing w:before="60" w:after="0"/>
      </w:pPr>
      <w:r>
        <w:t xml:space="preserve"/>
      </w:r>
    </w:p>
    <w:p>
      <w:pPr>
        <w:pStyle w:val="Heading3"/>
        <w:spacing w:before="200" w:after="80"/>
      </w:pPr>
      <w:r>
        <w:rPr>
          <w:rFonts w:ascii="Arial" w:cs="Arial" w:eastAsia="Arial" w:hAnsi="Arial"/>
          <w:b/>
          <w:bCs/>
          <w:color w:val="1a1a1a"/>
          <w:sz w:val="22"/>
          <w:szCs w:val="22"/>
        </w:rPr>
        <w:t xml:space="preserve">Datasets</w:t>
      </w:r>
    </w:p>
    <w:p>
      <w:pPr>
        <w:pStyle w:val="ListParagraph"/>
        <w:numPr>
          <w:ilvl w:val="0"/>
          <w:numId w:val="2"/>
        </w:numPr>
        <w:spacing w:before="60" w:after="60"/>
      </w:pPr>
      <w:r>
        <w:rPr>
          <w:rFonts w:ascii="Arial" w:cs="Arial" w:eastAsia="Arial" w:hAnsi="Arial"/>
          <w:color w:val="222222"/>
          <w:sz w:val="20"/>
          <w:szCs w:val="20"/>
        </w:rPr>
        <w:t xml:space="preserve">NRD (HCUP): ~15–35 million discharges/year, tracks same patient across hospitals within a state — best for readmission population studies</w:t>
      </w:r>
    </w:p>
    <w:p>
      <w:pPr>
        <w:pStyle w:val="ListParagraph"/>
        <w:numPr>
          <w:ilvl w:val="0"/>
          <w:numId w:val="2"/>
        </w:numPr>
        <w:spacing w:before="60" w:after="60"/>
      </w:pPr>
      <w:r>
        <w:rPr>
          <w:rFonts w:ascii="Arial" w:cs="Arial" w:eastAsia="Arial" w:hAnsi="Arial"/>
          <w:color w:val="222222"/>
          <w:sz w:val="20"/>
          <w:szCs w:val="20"/>
        </w:rPr>
        <w:t xml:space="preserve">MIMIC-IV: deep clinical detail for readmission feature engineering</w:t>
      </w:r>
    </w:p>
    <w:p>
      <w:pPr>
        <w:pStyle w:val="ListParagraph"/>
        <w:numPr>
          <w:ilvl w:val="0"/>
          <w:numId w:val="2"/>
        </w:numPr>
        <w:spacing w:before="60" w:after="60"/>
      </w:pPr>
      <w:r>
        <w:rPr>
          <w:rFonts w:ascii="Arial" w:cs="Arial" w:eastAsia="Arial" w:hAnsi="Arial"/>
          <w:color w:val="222222"/>
          <w:sz w:val="20"/>
          <w:szCs w:val="20"/>
        </w:rPr>
        <w:t xml:space="preserve">CMS Medicare Claims data: available via AHRQ for certain research applications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3.7 Wearable &amp; Remote Patient Monitoring</w:t>
      </w:r>
    </w:p>
    <w:p>
      <w:pPr>
        <w:spacing w:before="80" w:after="80" w:line="276"/>
      </w:pPr>
      <w:r>
        <w:rPr>
          <w:rFonts w:ascii="Arial" w:cs="Arial" w:eastAsia="Arial" w:hAnsi="Arial"/>
          <w:color w:val="222222"/>
          <w:sz w:val="20"/>
          <w:szCs w:val="20"/>
        </w:rPr>
        <w:t xml:space="preserve">Wearable health data is in the 2025 CADTH AI Watch List as a major emerging priority. AI for remote monitoring combines wearable device data with ML to predict deterioration, particularly in chronic disease and post-discharge monitoring. While this is growing, it is still relatively early in terms of validated, generalizable models.</w:t>
      </w:r>
    </w:p>
    <w:p>
      <w:pPr>
        <w:spacing w:before="60" w:after="0"/>
      </w:pPr>
      <w:r>
        <w:t xml:space="preserve"/>
      </w:r>
    </w:p>
    <w:p>
      <w:pPr>
        <w:pStyle w:val="Heading3"/>
        <w:spacing w:before="200" w:after="80"/>
      </w:pPr>
      <w:r>
        <w:rPr>
          <w:rFonts w:ascii="Arial" w:cs="Arial" w:eastAsia="Arial" w:hAnsi="Arial"/>
          <w:b/>
          <w:bCs/>
          <w:color w:val="1a1a1a"/>
          <w:sz w:val="22"/>
          <w:szCs w:val="22"/>
        </w:rPr>
        <w:t xml:space="preserve">Key Opportunities</w:t>
      </w:r>
    </w:p>
    <w:p>
      <w:pPr>
        <w:pStyle w:val="ListParagraph"/>
        <w:numPr>
          <w:ilvl w:val="0"/>
          <w:numId w:val="2"/>
        </w:numPr>
        <w:spacing w:before="60" w:after="60"/>
      </w:pPr>
      <w:r>
        <w:rPr>
          <w:rFonts w:ascii="Arial" w:cs="Arial" w:eastAsia="Arial" w:hAnsi="Arial"/>
          <w:color w:val="222222"/>
          <w:sz w:val="20"/>
          <w:szCs w:val="20"/>
        </w:rPr>
        <w:t xml:space="preserve">Early deterioration detection post-discharge: one 2025 study showed wearable vitals can predict ICU transfer 8–24 hours before standard hospital alerts</w:t>
      </w:r>
    </w:p>
    <w:p>
      <w:pPr>
        <w:pStyle w:val="ListParagraph"/>
        <w:numPr>
          <w:ilvl w:val="0"/>
          <w:numId w:val="2"/>
        </w:numPr>
        <w:spacing w:before="60" w:after="60"/>
      </w:pPr>
      <w:r>
        <w:rPr>
          <w:rFonts w:ascii="Arial" w:cs="Arial" w:eastAsia="Arial" w:hAnsi="Arial"/>
          <w:color w:val="222222"/>
          <w:sz w:val="20"/>
          <w:szCs w:val="20"/>
        </w:rPr>
        <w:t xml:space="preserve">COPD/Heart failure remote monitoring: predicting exacerbations from wearable data before symptoms worsen</w:t>
      </w:r>
    </w:p>
    <w:p>
      <w:pPr>
        <w:pStyle w:val="ListParagraph"/>
        <w:numPr>
          <w:ilvl w:val="0"/>
          <w:numId w:val="2"/>
        </w:numPr>
        <w:spacing w:before="60" w:after="60"/>
      </w:pPr>
      <w:r>
        <w:rPr>
          <w:rFonts w:ascii="Arial" w:cs="Arial" w:eastAsia="Arial" w:hAnsi="Arial"/>
          <w:color w:val="222222"/>
          <w:sz w:val="20"/>
          <w:szCs w:val="20"/>
        </w:rPr>
        <w:t xml:space="preserve">Continuous glucose monitoring analytics: food-glucose interaction modeling for non-diabetics and pre-diabetics</w:t>
      </w:r>
    </w:p>
    <w:p>
      <w:pPr>
        <w:pStyle w:val="ListParagraph"/>
        <w:numPr>
          <w:ilvl w:val="0"/>
          <w:numId w:val="2"/>
        </w:numPr>
        <w:spacing w:before="60" w:after="60"/>
      </w:pPr>
      <w:r>
        <w:rPr>
          <w:rFonts w:ascii="Arial" w:cs="Arial" w:eastAsia="Arial" w:hAnsi="Arial"/>
          <w:color w:val="222222"/>
          <w:sz w:val="20"/>
          <w:szCs w:val="20"/>
        </w:rPr>
        <w:t xml:space="preserve">Mental health monitoring from wearables: heart rate variability, sleep patterns, and mood/anxiety</w:t>
      </w:r>
    </w:p>
    <w:p>
      <w:pPr>
        <w:spacing w:before="60" w:after="0"/>
      </w:pPr>
      <w:r>
        <w:t xml:space="preserve"/>
      </w:r>
    </w:p>
    <w:p>
      <w:pPr>
        <w:pStyle w:val="Heading3"/>
        <w:spacing w:before="200" w:after="80"/>
      </w:pPr>
      <w:r>
        <w:rPr>
          <w:rFonts w:ascii="Arial" w:cs="Arial" w:eastAsia="Arial" w:hAnsi="Arial"/>
          <w:b/>
          <w:bCs/>
          <w:color w:val="1a1a1a"/>
          <w:sz w:val="22"/>
          <w:szCs w:val="22"/>
        </w:rPr>
        <w:t xml:space="preserve">Datasets</w:t>
      </w:r>
    </w:p>
    <w:p>
      <w:pPr>
        <w:pStyle w:val="ListParagraph"/>
        <w:numPr>
          <w:ilvl w:val="0"/>
          <w:numId w:val="2"/>
        </w:numPr>
        <w:spacing w:before="60" w:after="60"/>
      </w:pPr>
      <w:r>
        <w:rPr>
          <w:rFonts w:ascii="Arial" w:cs="Arial" w:eastAsia="Arial" w:hAnsi="Arial"/>
          <w:color w:val="222222"/>
          <w:sz w:val="20"/>
          <w:szCs w:val="20"/>
        </w:rPr>
        <w:t xml:space="preserve">WESAD (Wearable Stress and Affect Detection): physiological signals from chest + wrist sensors</w:t>
      </w:r>
    </w:p>
    <w:p>
      <w:pPr>
        <w:pStyle w:val="ListParagraph"/>
        <w:numPr>
          <w:ilvl w:val="0"/>
          <w:numId w:val="2"/>
        </w:numPr>
        <w:spacing w:before="60" w:after="60"/>
      </w:pPr>
      <w:r>
        <w:rPr>
          <w:rFonts w:ascii="Arial" w:cs="Arial" w:eastAsia="Arial" w:hAnsi="Arial"/>
          <w:color w:val="222222"/>
          <w:sz w:val="20"/>
          <w:szCs w:val="20"/>
        </w:rPr>
        <w:t xml:space="preserve">MIMIC-III/IV Waveform Database (PhysioNet): continuous ECG, arterial blood pressure, SpO2 waveforms from ICU</w:t>
      </w:r>
    </w:p>
    <w:p>
      <w:pPr>
        <w:pStyle w:val="ListParagraph"/>
        <w:numPr>
          <w:ilvl w:val="0"/>
          <w:numId w:val="2"/>
        </w:numPr>
        <w:spacing w:before="60" w:after="60"/>
      </w:pPr>
      <w:r>
        <w:rPr>
          <w:rFonts w:ascii="Arial" w:cs="Arial" w:eastAsia="Arial" w:hAnsi="Arial"/>
          <w:color w:val="222222"/>
          <w:sz w:val="20"/>
          <w:szCs w:val="20"/>
        </w:rPr>
        <w:t xml:space="preserve">PhysioNet Challenge datasets: atrial fibrillation detection, sepsis, and deterioration prediction from waveforms</w:t>
      </w:r>
    </w:p>
    <w:p>
      <w:pPr>
        <w:pStyle w:val="ListParagraph"/>
        <w:numPr>
          <w:ilvl w:val="0"/>
          <w:numId w:val="2"/>
        </w:numPr>
        <w:spacing w:before="60" w:after="60"/>
      </w:pPr>
      <w:r>
        <w:rPr>
          <w:rFonts w:ascii="Arial" w:cs="Arial" w:eastAsia="Arial" w:hAnsi="Arial"/>
          <w:color w:val="222222"/>
          <w:sz w:val="20"/>
          <w:szCs w:val="20"/>
        </w:rPr>
        <w:t xml:space="preserve">Apple Heart Study data (limited access through partnerships)</w:t>
      </w:r>
    </w:p>
    <w:p>
      <w:pPr>
        <w:pStyle w:val="ListParagraph"/>
        <w:numPr>
          <w:ilvl w:val="0"/>
          <w:numId w:val="2"/>
        </w:numPr>
        <w:spacing w:before="60" w:after="60"/>
      </w:pPr>
      <w:r>
        <w:rPr>
          <w:rFonts w:ascii="Arial" w:cs="Arial" w:eastAsia="Arial" w:hAnsi="Arial"/>
          <w:color w:val="222222"/>
          <w:sz w:val="20"/>
          <w:szCs w:val="20"/>
        </w:rPr>
        <w:t xml:space="preserve">UK Biobank accelerometer dataset: 100,000+ participants with 7-day wrist accelerometer data</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3.8 Pressure Injury Prediction &amp; Prevention</w:t>
      </w:r>
    </w:p>
    <w:p>
      <w:pPr>
        <w:spacing w:before="80" w:after="80" w:line="276"/>
      </w:pPr>
      <w:r>
        <w:rPr>
          <w:rFonts w:ascii="Arial" w:cs="Arial" w:eastAsia="Arial" w:hAnsi="Arial"/>
          <w:color w:val="222222"/>
          <w:sz w:val="20"/>
          <w:szCs w:val="20"/>
        </w:rPr>
        <w:t xml:space="preserve">Pressure injuries (bed sores) affect 2–3 million hospitalized patients per year in the US and are almost entirely preventable with proper monitoring. Clinicians currently use the Braden Scale — a simple 6-factor score — with mediocre predictive performance. AI-augmented models represent a major clinical opportunity.</w:t>
      </w:r>
    </w:p>
    <w:p>
      <w:pPr>
        <w:spacing w:before="60" w:after="0"/>
      </w:pPr>
      <w:r>
        <w:t xml:space="preserve"/>
      </w:r>
    </w:p>
    <w:p>
      <w:pPr>
        <w:pStyle w:val="Heading3"/>
        <w:spacing w:before="200" w:after="80"/>
      </w:pPr>
      <w:r>
        <w:rPr>
          <w:rFonts w:ascii="Arial" w:cs="Arial" w:eastAsia="Arial" w:hAnsi="Arial"/>
          <w:b/>
          <w:bCs/>
          <w:color w:val="1a1a1a"/>
          <w:sz w:val="22"/>
          <w:szCs w:val="22"/>
        </w:rPr>
        <w:t xml:space="preserve">Why This Is Underpublished</w:t>
      </w:r>
    </w:p>
    <w:p>
      <w:pPr>
        <w:pStyle w:val="ListParagraph"/>
        <w:numPr>
          <w:ilvl w:val="0"/>
          <w:numId w:val="2"/>
        </w:numPr>
        <w:spacing w:before="60" w:after="60"/>
      </w:pPr>
      <w:r>
        <w:rPr>
          <w:rFonts w:ascii="Arial" w:cs="Arial" w:eastAsia="Arial" w:hAnsi="Arial"/>
          <w:color w:val="222222"/>
          <w:sz w:val="20"/>
          <w:szCs w:val="20"/>
        </w:rPr>
        <w:t xml:space="preserve">Only a handful of ML papers exist despite the scale of the problem and the availability of data</w:t>
      </w:r>
    </w:p>
    <w:p>
      <w:pPr>
        <w:pStyle w:val="ListParagraph"/>
        <w:numPr>
          <w:ilvl w:val="0"/>
          <w:numId w:val="2"/>
        </w:numPr>
        <w:spacing w:before="60" w:after="60"/>
      </w:pPr>
      <w:r>
        <w:rPr>
          <w:rFonts w:ascii="Arial" w:cs="Arial" w:eastAsia="Arial" w:hAnsi="Arial"/>
          <w:color w:val="222222"/>
          <w:sz w:val="20"/>
          <w:szCs w:val="20"/>
        </w:rPr>
        <w:t xml:space="preserve">MIMIC-IV nursing notes contain Braden Scale scores, repositioning records, wound care notes — rarely used for ML</w:t>
      </w:r>
    </w:p>
    <w:p>
      <w:pPr>
        <w:pStyle w:val="ListParagraph"/>
        <w:numPr>
          <w:ilvl w:val="0"/>
          <w:numId w:val="2"/>
        </w:numPr>
        <w:spacing w:before="60" w:after="60"/>
      </w:pPr>
      <w:r>
        <w:rPr>
          <w:rFonts w:ascii="Arial" w:cs="Arial" w:eastAsia="Arial" w:hAnsi="Arial"/>
          <w:color w:val="222222"/>
          <w:sz w:val="20"/>
          <w:szCs w:val="20"/>
        </w:rPr>
        <w:t xml:space="preserve">The problem is technically well-defined: binary classification (will patient develop a stage 2+ pressure injury?)</w:t>
      </w:r>
    </w:p>
    <w:p>
      <w:pPr>
        <w:pStyle w:val="ListParagraph"/>
        <w:numPr>
          <w:ilvl w:val="0"/>
          <w:numId w:val="2"/>
        </w:numPr>
        <w:spacing w:before="60" w:after="60"/>
      </w:pPr>
      <w:r>
        <w:rPr>
          <w:rFonts w:ascii="Arial" w:cs="Arial" w:eastAsia="Arial" w:hAnsi="Arial"/>
          <w:color w:val="222222"/>
          <w:sz w:val="20"/>
          <w:szCs w:val="20"/>
        </w:rPr>
        <w:t xml:space="preserve">Real-world deployment potential: nurse alert systems exist but are rule-based and crude</w:t>
      </w:r>
    </w:p>
    <w:p>
      <w:pPr>
        <w:spacing w:before="60" w:after="0"/>
      </w:pPr>
      <w:r>
        <w:t xml:space="preserve"/>
      </w:r>
    </w:p>
    <w:p>
      <w:pPr>
        <w:pStyle w:val="Heading3"/>
        <w:spacing w:before="200" w:after="80"/>
      </w:pPr>
      <w:r>
        <w:rPr>
          <w:rFonts w:ascii="Arial" w:cs="Arial" w:eastAsia="Arial" w:hAnsi="Arial"/>
          <w:b/>
          <w:bCs/>
          <w:color w:val="1a1a1a"/>
          <w:sz w:val="22"/>
          <w:szCs w:val="22"/>
        </w:rPr>
        <w:t xml:space="preserve">Datasets</w:t>
      </w:r>
    </w:p>
    <w:p>
      <w:pPr>
        <w:pStyle w:val="ListParagraph"/>
        <w:numPr>
          <w:ilvl w:val="0"/>
          <w:numId w:val="2"/>
        </w:numPr>
        <w:spacing w:before="60" w:after="60"/>
      </w:pPr>
      <w:r>
        <w:rPr>
          <w:rFonts w:ascii="Arial" w:cs="Arial" w:eastAsia="Arial" w:hAnsi="Arial"/>
          <w:color w:val="222222"/>
          <w:sz w:val="20"/>
          <w:szCs w:val="20"/>
        </w:rPr>
        <w:t xml:space="preserve">MIMIC-IV: Braden Scale scores in nursing assessments, turning/repositioning records, wound care consultations</w:t>
      </w:r>
    </w:p>
    <w:p>
      <w:pPr>
        <w:pStyle w:val="ListParagraph"/>
        <w:numPr>
          <w:ilvl w:val="0"/>
          <w:numId w:val="2"/>
        </w:numPr>
        <w:spacing w:before="60" w:after="60"/>
      </w:pPr>
      <w:r>
        <w:rPr>
          <w:rFonts w:ascii="Arial" w:cs="Arial" w:eastAsia="Arial" w:hAnsi="Arial"/>
          <w:color w:val="222222"/>
          <w:sz w:val="20"/>
          <w:szCs w:val="20"/>
        </w:rPr>
        <w:t xml:space="preserve">NHSN (National Healthcare Safety Network): pressure injury surveillance data from US hospitals</w:t>
      </w:r>
    </w:p>
    <w:p>
      <w:pPr>
        <w:pStyle w:val="ListParagraph"/>
        <w:numPr>
          <w:ilvl w:val="0"/>
          <w:numId w:val="2"/>
        </w:numPr>
        <w:spacing w:before="60" w:after="60"/>
      </w:pPr>
      <w:r>
        <w:rPr>
          <w:rFonts w:ascii="Arial" w:cs="Arial" w:eastAsia="Arial" w:hAnsi="Arial"/>
          <w:color w:val="222222"/>
          <w:sz w:val="20"/>
          <w:szCs w:val="20"/>
        </w:rPr>
        <w:t xml:space="preserve">HCUP State Inpatient Databases: ICD codes for pressure ulcers linked to LOS and costs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3.9 Post-ICU Syndrome (PICS) &amp; Long-term Outcomes</w:t>
      </w:r>
    </w:p>
    <w:p>
      <w:pPr>
        <w:spacing w:before="80" w:after="80" w:line="276"/>
      </w:pPr>
      <w:r>
        <w:rPr>
          <w:rFonts w:ascii="Arial" w:cs="Arial" w:eastAsia="Arial" w:hAnsi="Arial"/>
          <w:color w:val="222222"/>
          <w:sz w:val="20"/>
          <w:szCs w:val="20"/>
        </w:rPr>
        <w:t xml:space="preserve">Post-Intensive Care Syndrome encompasses the physical, cognitive, and psychological impairments that persist after ICU discharge. It is estimated to affect 50–70% of ICU survivors, yet it is almost invisible in ML research because most ICU datasets only capture in-hospital data. Linking ICU records to post-discharge claims data creates a rare opportunity.</w:t>
      </w:r>
    </w:p>
    <w:p>
      <w:pPr>
        <w:spacing w:before="60" w:after="0"/>
      </w:pPr>
      <w:r>
        <w:t xml:space="preserve"/>
      </w:r>
    </w:p>
    <w:p>
      <w:pPr>
        <w:pStyle w:val="Heading3"/>
        <w:spacing w:before="200" w:after="80"/>
      </w:pPr>
      <w:r>
        <w:rPr>
          <w:rFonts w:ascii="Arial" w:cs="Arial" w:eastAsia="Arial" w:hAnsi="Arial"/>
          <w:b/>
          <w:bCs/>
          <w:color w:val="1a1a1a"/>
          <w:sz w:val="22"/>
          <w:szCs w:val="22"/>
        </w:rPr>
        <w:t xml:space="preserve">Research Questions</w:t>
      </w:r>
    </w:p>
    <w:p>
      <w:pPr>
        <w:pStyle w:val="ListParagraph"/>
        <w:numPr>
          <w:ilvl w:val="0"/>
          <w:numId w:val="2"/>
        </w:numPr>
        <w:spacing w:before="60" w:after="60"/>
      </w:pPr>
      <w:r>
        <w:rPr>
          <w:rFonts w:ascii="Arial" w:cs="Arial" w:eastAsia="Arial" w:hAnsi="Arial"/>
          <w:color w:val="222222"/>
          <w:sz w:val="20"/>
          <w:szCs w:val="20"/>
        </w:rPr>
        <w:t xml:space="preserve">Who is at highest risk for PICS based on ICU trajectory features (delirium duration, sedation burden, ventilation days)?</w:t>
      </w:r>
    </w:p>
    <w:p>
      <w:pPr>
        <w:pStyle w:val="ListParagraph"/>
        <w:numPr>
          <w:ilvl w:val="0"/>
          <w:numId w:val="2"/>
        </w:numPr>
        <w:spacing w:before="60" w:after="60"/>
      </w:pPr>
      <w:r>
        <w:rPr>
          <w:rFonts w:ascii="Arial" w:cs="Arial" w:eastAsia="Arial" w:hAnsi="Arial"/>
          <w:color w:val="222222"/>
          <w:sz w:val="20"/>
          <w:szCs w:val="20"/>
        </w:rPr>
        <w:t xml:space="preserve">Can we predict 1-year cognitive decline from ICU EHR data?</w:t>
      </w:r>
    </w:p>
    <w:p>
      <w:pPr>
        <w:pStyle w:val="ListParagraph"/>
        <w:numPr>
          <w:ilvl w:val="0"/>
          <w:numId w:val="2"/>
        </w:numPr>
        <w:spacing w:before="60" w:after="60"/>
      </w:pPr>
      <w:r>
        <w:rPr>
          <w:rFonts w:ascii="Arial" w:cs="Arial" w:eastAsia="Arial" w:hAnsi="Arial"/>
          <w:color w:val="222222"/>
          <w:sz w:val="20"/>
          <w:szCs w:val="20"/>
        </w:rPr>
        <w:t xml:space="preserve">Predicting readmission or death within 6 months of ICU discharge — beyond the standard 30-day window</w:t>
      </w:r>
    </w:p>
    <w:p>
      <w:pPr>
        <w:pStyle w:val="ListParagraph"/>
        <w:numPr>
          <w:ilvl w:val="0"/>
          <w:numId w:val="2"/>
        </w:numPr>
        <w:spacing w:before="60" w:after="60"/>
      </w:pPr>
      <w:r>
        <w:rPr>
          <w:rFonts w:ascii="Arial" w:cs="Arial" w:eastAsia="Arial" w:hAnsi="Arial"/>
          <w:color w:val="222222"/>
          <w:sz w:val="20"/>
          <w:szCs w:val="20"/>
        </w:rPr>
        <w:t xml:space="preserve">Personalized post-ICU follow-up scheduling: who needs more intensive post-discharge care?</w:t>
      </w:r>
    </w:p>
    <w:p>
      <w:pPr>
        <w:spacing w:before="60" w:after="0"/>
      </w:pPr>
      <w:r>
        <w:t xml:space="preserve"/>
      </w:r>
    </w:p>
    <w:p>
      <w:pPr>
        <w:pStyle w:val="Heading3"/>
        <w:spacing w:before="200" w:after="80"/>
      </w:pPr>
      <w:r>
        <w:rPr>
          <w:rFonts w:ascii="Arial" w:cs="Arial" w:eastAsia="Arial" w:hAnsi="Arial"/>
          <w:b/>
          <w:bCs/>
          <w:color w:val="1a1a1a"/>
          <w:sz w:val="22"/>
          <w:szCs w:val="22"/>
        </w:rPr>
        <w:t xml:space="preserve">Datasets</w:t>
      </w:r>
    </w:p>
    <w:p>
      <w:pPr>
        <w:pStyle w:val="ListParagraph"/>
        <w:numPr>
          <w:ilvl w:val="0"/>
          <w:numId w:val="2"/>
        </w:numPr>
        <w:spacing w:before="60" w:after="60"/>
      </w:pPr>
      <w:r>
        <w:rPr>
          <w:rFonts w:ascii="Arial" w:cs="Arial" w:eastAsia="Arial" w:hAnsi="Arial"/>
          <w:color w:val="222222"/>
          <w:sz w:val="20"/>
          <w:szCs w:val="20"/>
        </w:rPr>
        <w:t xml:space="preserve">MIMIC-IV: ICU features can be linked to 30/90-day readmission and mortality outcomes</w:t>
      </w:r>
    </w:p>
    <w:p>
      <w:pPr>
        <w:pStyle w:val="ListParagraph"/>
        <w:numPr>
          <w:ilvl w:val="0"/>
          <w:numId w:val="2"/>
        </w:numPr>
        <w:spacing w:before="60" w:after="60"/>
      </w:pPr>
      <w:r>
        <w:rPr>
          <w:rFonts w:ascii="Arial" w:cs="Arial" w:eastAsia="Arial" w:hAnsi="Arial"/>
          <w:color w:val="222222"/>
          <w:sz w:val="20"/>
          <w:szCs w:val="20"/>
        </w:rPr>
        <w:t xml:space="preserve">CMS Medicare claims: post-discharge utilization for ICU survivors (requires data use agreement)</w:t>
      </w:r>
    </w:p>
    <w:p>
      <w:pPr>
        <w:pStyle w:val="ListParagraph"/>
        <w:numPr>
          <w:ilvl w:val="0"/>
          <w:numId w:val="2"/>
        </w:numPr>
        <w:spacing w:before="60" w:after="60"/>
      </w:pPr>
      <w:r>
        <w:rPr>
          <w:rFonts w:ascii="Arial" w:cs="Arial" w:eastAsia="Arial" w:hAnsi="Arial"/>
          <w:color w:val="222222"/>
          <w:sz w:val="20"/>
          <w:szCs w:val="20"/>
        </w:rPr>
        <w:t xml:space="preserve">NHAMCS (National Hospital Ambulatory Medical Care Survey): post-discharge ED visits</w:t>
      </w:r>
    </w:p>
    <w:p>
      <w:pPr>
        <w:pStyle w:val="ListParagraph"/>
        <w:numPr>
          <w:ilvl w:val="0"/>
          <w:numId w:val="2"/>
        </w:numPr>
        <w:spacing w:before="60" w:after="60"/>
      </w:pPr>
      <w:r>
        <w:rPr>
          <w:rFonts w:ascii="Arial" w:cs="Arial" w:eastAsia="Arial" w:hAnsi="Arial"/>
          <w:color w:val="222222"/>
          <w:sz w:val="20"/>
          <w:szCs w:val="20"/>
        </w:rPr>
        <w:t xml:space="preserve">RECOVER COVID-19 Long COVID datasets: PICS-like long-term outcomes post-infection — growing public repository</w:t>
      </w:r>
    </w:p>
    <w:p>
      <w:pPr>
        <w:spacing w:before="120" w:after="0"/>
      </w:pPr>
      <w:r>
        <w:t xml:space="preserve"/>
      </w:r>
    </w:p>
    <w:p>
      <w:r>
        <w:br w:type="page"/>
      </w:r>
    </w:p>
    <w:p>
      <w:pPr>
        <w:pStyle w:val="Heading1"/>
        <w:pBdr>
          <w:bottom w:val="single" w:color="2E75B6" w:sz="8" w:space="4"/>
        </w:pBdr>
        <w:spacing w:before="360" w:after="160"/>
      </w:pPr>
      <w:r>
        <w:rPr>
          <w:rFonts w:ascii="Arial" w:cs="Arial" w:eastAsia="Arial" w:hAnsi="Arial"/>
          <w:b/>
          <w:bCs/>
          <w:color w:val="1E3A5F"/>
          <w:sz w:val="32"/>
          <w:szCs w:val="32"/>
        </w:rPr>
        <w:t xml:space="preserve">4. Key Datasets Summary</w:t>
      </w:r>
    </w:p>
    <w:p>
      <w:pPr>
        <w:spacing w:before="80" w:after="80" w:line="276"/>
      </w:pPr>
      <w:r>
        <w:rPr>
          <w:rFonts w:ascii="Arial" w:cs="Arial" w:eastAsia="Arial" w:hAnsi="Arial"/>
          <w:color w:val="222222"/>
          <w:sz w:val="20"/>
          <w:szCs w:val="20"/>
        </w:rPr>
        <w:t xml:space="preserve">The following table catalogs the primary datasets available for the research areas described in this report. All are publicly accessible (some require a data use agreement and CITI training).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000"/>
        <w:gridCol w:w="1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Dataset</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Access</w:t>
            </w:r>
          </w:p>
        </w:tc>
        <w:tc>
          <w:tcPr>
            <w:tcW w:type="dxa" w:w="1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Best Use Case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MIMIC-IV</w:t>
            </w:r>
          </w:p>
        </w:tc>
        <w:tc>
          <w:tcPr>
            <w:tcW w:type="dxa" w:w="3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ICU + hospital EHR from Beth Israel Deaconess Medical Center, 2008–2019. Vitals, labs, meds, notes, imaging reports.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Free (PhysioNet / CITI training)</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Delirium, AKI, readmission, malnutrition, pressure injury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eICU-CRD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Multi-center US ICU data, 200,000+ stays from 200+ hospitals, 2014–2015.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Free (PhysioNet)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Generalizability testing, multi-site validation</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HiRID</w:t>
            </w:r>
          </w:p>
        </w:tc>
        <w:tc>
          <w:tcPr>
            <w:tcW w:type="dxa" w:w="3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Swiss ICU, high time-resolution (30s intervals), 33,000+ stays.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Free (PhysioNet)</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Temporal / time-series modeling, AKI, delirium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AUMCdb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Amsterdam ICU, privacy-focused European cohort.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Free (Amsterdam UMC)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European population, AKI sub-phenotypes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PIC Database</w:t>
            </w:r>
          </w:p>
        </w:tc>
        <w:tc>
          <w:tcPr>
            <w:tcW w:type="dxa" w:w="3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Pediatric ICU, 13,000+ stays, China.</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Free (PhysioNet)</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Pediatric / NICU-specific models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NRD (HCUP)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National readmissions, 15–35M discharges/year, all payers.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Purchase via AHRQ ($)</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Readmission, malnutrition, liver disease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NHANES</w:t>
            </w:r>
          </w:p>
        </w:tc>
        <w:tc>
          <w:tcPr>
            <w:tcW w:type="dxa" w:w="3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Population-level diet, labs, lifestyle. 5,000+ participants/cycle.</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Free (CDC)</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Malnutrition risk, nutrition-outcome links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CRIS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De-identified psychiatric EHR, South London/Maudsley NHS.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Application (UK researchers)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Mental health LOS, medication response, NLP</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WESAD</w:t>
            </w:r>
          </w:p>
        </w:tc>
        <w:tc>
          <w:tcPr>
            <w:tcW w:type="dxa" w:w="3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Wearable physiological signals, stress/affect study.</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Free (UCI ML Repo)</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Remote monitoring, mental health wearables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MIMIC Waveforms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Continuous ICG, arterial BP, SpO2 from MIMIC ICU.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Free (PhysioNet)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Wearable/waveform deterioration models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UK Biobank</w:t>
            </w:r>
          </w:p>
        </w:tc>
        <w:tc>
          <w:tcPr>
            <w:tcW w:type="dxa" w:w="3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500,000 participants, accelerometer + genetics + EHR.</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Application (UK Biobank)</w:t>
            </w:r>
          </w:p>
        </w:tc>
        <w:tc>
          <w:tcPr>
            <w:tcW w:type="dxa" w:w="1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222222"/>
                <w:sz w:val="18"/>
                <w:szCs w:val="18"/>
              </w:rPr>
              <w:t xml:space="preserve">Wearable activity, AKI-to-CKD, population health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RECOVER (COVID)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Long COVID / PICS post-infection outcomes.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Free (NIH NCATS)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Post-ICU syndrome, PICS research</w:t>
            </w:r>
          </w:p>
        </w:tc>
      </w:tr>
    </w:tbl>
    <w:p>
      <w:pPr>
        <w:spacing w:before="120" w:after="0"/>
      </w:pPr>
      <w:r>
        <w:t xml:space="preserve"/>
      </w:r>
    </w:p>
    <w:p>
      <w:r>
        <w:br w:type="page"/>
      </w:r>
    </w:p>
    <w:p>
      <w:pPr>
        <w:pStyle w:val="Heading1"/>
        <w:pBdr>
          <w:bottom w:val="single" w:color="2E75B6" w:sz="8" w:space="4"/>
        </w:pBdr>
        <w:spacing w:before="360" w:after="160"/>
      </w:pPr>
      <w:r>
        <w:rPr>
          <w:rFonts w:ascii="Arial" w:cs="Arial" w:eastAsia="Arial" w:hAnsi="Arial"/>
          <w:b/>
          <w:bCs/>
          <w:color w:val="1E3A5F"/>
          <w:sz w:val="32"/>
          <w:szCs w:val="32"/>
        </w:rPr>
        <w:t xml:space="preserve">5. How to Choose Your Research Area</w:t>
      </w:r>
    </w:p>
    <w:p>
      <w:pPr>
        <w:spacing w:before="80" w:after="80" w:line="276"/>
      </w:pPr>
      <w:r>
        <w:rPr>
          <w:rFonts w:ascii="Arial" w:cs="Arial" w:eastAsia="Arial" w:hAnsi="Arial"/>
          <w:color w:val="222222"/>
          <w:sz w:val="20"/>
          <w:szCs w:val="20"/>
        </w:rPr>
        <w:t xml:space="preserve">Given your context (already evaluating sepsis), here is a prioritization framework for selecting your project:</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5.1 If You Want to Stay in Critical Care (ICU)</w:t>
      </w:r>
    </w:p>
    <w:p>
      <w:pPr>
        <w:spacing w:before="80" w:after="80" w:line="276"/>
      </w:pPr>
      <w:r>
        <w:rPr>
          <w:rFonts w:ascii="Arial" w:cs="Arial" w:eastAsia="Arial" w:hAnsi="Arial"/>
          <w:color w:val="222222"/>
          <w:sz w:val="20"/>
          <w:szCs w:val="20"/>
        </w:rPr>
        <w:t xml:space="preserve">ICU Delirium and AKI Sub-phenotyping are the best options. Both use the same MIMIC-IV / eICU / HiRID datasets you would use for sepsis, require no new data access, and have significant novelty. Delirium in particular is a wide-open problem with clear clinical relevance and multiple technically distinct sub-problems (detection, prediction, prevention via sedation management).</w:t>
      </w:r>
    </w:p>
    <w:p>
      <w:pPr>
        <w:spacing w:before="60" w:after="0"/>
      </w:pPr>
      <w:r>
        <w:t xml:space="preserve"/>
      </w:r>
    </w:p>
    <w:p>
      <w:pPr>
        <w:pStyle w:val="Heading2"/>
        <w:spacing w:before="280" w:after="120"/>
      </w:pPr>
      <w:r>
        <w:rPr>
          <w:rFonts w:ascii="Arial" w:cs="Arial" w:eastAsia="Arial" w:hAnsi="Arial"/>
          <w:b/>
          <w:bCs/>
          <w:color w:val="2E75B6"/>
          <w:sz w:val="26"/>
          <w:szCs w:val="26"/>
        </w:rPr>
        <w:t xml:space="preserve">5.2 If You Want Maximum Novelty &amp; Clinical Impact</w:t>
      </w:r>
    </w:p>
    <w:p>
      <w:pPr>
        <w:spacing w:before="80" w:after="80" w:line="276"/>
      </w:pPr>
      <w:r>
        <w:rPr>
          <w:rFonts w:ascii="Arial" w:cs="Arial" w:eastAsia="Arial" w:hAnsi="Arial"/>
          <w:color w:val="222222"/>
          <w:sz w:val="20"/>
          <w:szCs w:val="20"/>
        </w:rPr>
        <w:t xml:space="preserve">Hospital Malnutrition and Pressure Injury Prediction are the most underpublished areas relative to clinical importance. Both have strong data signals in MIMIC-IV that are simply unused. A strong paper in either area would face minimal competition and would have immediate clinical translation potential.</w:t>
      </w:r>
    </w:p>
    <w:p>
      <w:pPr>
        <w:spacing w:before="60" w:after="0"/>
      </w:pPr>
      <w:r>
        <w:t xml:space="preserve"/>
      </w:r>
    </w:p>
    <w:p>
      <w:pPr>
        <w:pStyle w:val="Heading2"/>
        <w:spacing w:before="280" w:after="120"/>
      </w:pPr>
      <w:r>
        <w:rPr>
          <w:rFonts w:ascii="Arial" w:cs="Arial" w:eastAsia="Arial" w:hAnsi="Arial"/>
          <w:b/>
          <w:bCs/>
          <w:color w:val="2E75B6"/>
          <w:sz w:val="26"/>
          <w:szCs w:val="26"/>
        </w:rPr>
        <w:t xml:space="preserve">5.3 If You Want a Growing / Fundable Area</w:t>
      </w:r>
    </w:p>
    <w:p>
      <w:pPr>
        <w:spacing w:before="80" w:after="80" w:line="276"/>
      </w:pPr>
      <w:r>
        <w:rPr>
          <w:rFonts w:ascii="Arial" w:cs="Arial" w:eastAsia="Arial" w:hAnsi="Arial"/>
          <w:color w:val="222222"/>
          <w:sz w:val="20"/>
          <w:szCs w:val="20"/>
        </w:rPr>
        <w:t xml:space="preserve">Wearable Remote Patient Monitoring and Mental Health (EHR-based) are the two areas with the fastest-growing funding and industry interest in 2025–2026. They require more creative dataset assembly but offer long-term research portfolio value.</w:t>
      </w:r>
    </w:p>
    <w:p>
      <w:pPr>
        <w:spacing w:before="60" w:after="0"/>
      </w:pPr>
      <w:r>
        <w:t xml:space="preserve"/>
      </w:r>
    </w:p>
    <w:p>
      <w:pPr>
        <w:pStyle w:val="Heading2"/>
        <w:spacing w:before="280" w:after="120"/>
      </w:pPr>
      <w:r>
        <w:rPr>
          <w:rFonts w:ascii="Arial" w:cs="Arial" w:eastAsia="Arial" w:hAnsi="Arial"/>
          <w:b/>
          <w:bCs/>
          <w:color w:val="2E75B6"/>
          <w:sz w:val="26"/>
          <w:szCs w:val="26"/>
        </w:rPr>
        <w:t xml:space="preserve">5.4 If You Want a Pediatric Focus</w:t>
      </w:r>
    </w:p>
    <w:p>
      <w:pPr>
        <w:spacing w:before="80" w:after="80" w:line="276"/>
      </w:pPr>
      <w:r>
        <w:rPr>
          <w:rFonts w:ascii="Arial" w:cs="Arial" w:eastAsia="Arial" w:hAnsi="Arial"/>
          <w:color w:val="222222"/>
          <w:sz w:val="20"/>
          <w:szCs w:val="20"/>
        </w:rPr>
        <w:t xml:space="preserve">Pediatric/Neonatal ICU is explicitly called out as a gap in every recent systematic review. The PIC Database is underutilized. Any methodologically sound paper in pediatric deterioration prediction would stand out.</w:t>
      </w:r>
    </w:p>
    <w:p>
      <w:pPr>
        <w:spacing w:before="60" w:after="0"/>
      </w:pPr>
      <w:r>
        <w:t xml:space="preserve"/>
      </w:r>
    </w:p>
    <w:p>
      <w:pPr>
        <w:pStyle w:val="Heading2"/>
        <w:spacing w:before="280" w:after="120"/>
      </w:pPr>
      <w:r>
        <w:rPr>
          <w:rFonts w:ascii="Arial" w:cs="Arial" w:eastAsia="Arial" w:hAnsi="Arial"/>
          <w:b/>
          <w:bCs/>
          <w:color w:val="2E75B6"/>
          <w:sz w:val="26"/>
          <w:szCs w:val="26"/>
        </w:rPr>
        <w:t xml:space="preserve">5.5 Comparison Scorecard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90"/>
        <w:gridCol w:w="1590"/>
        <w:gridCol w:w="1590"/>
        <w:gridCol w:w="1590"/>
        <w:gridCol w:w="6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Area</w:t>
            </w:r>
          </w:p>
        </w:tc>
        <w:tc>
          <w:tcPr>
            <w:tcW w:type="dxa" w:w="159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Novelty</w:t>
            </w:r>
          </w:p>
        </w:tc>
        <w:tc>
          <w:tcPr>
            <w:tcW w:type="dxa" w:w="159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Dataset Quality</w:t>
            </w:r>
          </w:p>
        </w:tc>
        <w:tc>
          <w:tcPr>
            <w:tcW w:type="dxa" w:w="159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Clinical Impact</w:t>
            </w:r>
          </w:p>
        </w:tc>
        <w:tc>
          <w:tcPr>
            <w:tcW w:type="dxa" w:w="159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Feasibility</w:t>
            </w:r>
          </w:p>
        </w:tc>
        <w:tc>
          <w:tcPr>
            <w:tcW w:type="dxa" w:w="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Score</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left"/>
            </w:pPr>
            <w:r>
              <w:rPr>
                <w:rFonts w:ascii="Arial" w:cs="Arial" w:eastAsia="Arial" w:hAnsi="Arial"/>
                <w:i w:val="false"/>
                <w:iCs w:val="false"/>
                <w:color w:val="222222"/>
                <w:sz w:val="18"/>
                <w:szCs w:val="18"/>
              </w:rPr>
              <w:t xml:space="preserve">ICU Delirium</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6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18/20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i w:val="false"/>
                <w:iCs w:val="false"/>
                <w:color w:val="222222"/>
                <w:sz w:val="18"/>
                <w:szCs w:val="18"/>
              </w:rPr>
              <w:t xml:space="preserve">AKI Sub-phenotyping</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17/20</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left"/>
            </w:pPr>
            <w:r>
              <w:rPr>
                <w:rFonts w:ascii="Arial" w:cs="Arial" w:eastAsia="Arial" w:hAnsi="Arial"/>
                <w:i w:val="false"/>
                <w:iCs w:val="false"/>
                <w:color w:val="222222"/>
                <w:sz w:val="18"/>
                <w:szCs w:val="18"/>
              </w:rPr>
              <w:t xml:space="preserve">Hospital Malnutrition</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6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17/20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i w:val="false"/>
                <w:iCs w:val="false"/>
                <w:color w:val="222222"/>
                <w:sz w:val="18"/>
                <w:szCs w:val="18"/>
              </w:rPr>
              <w:t xml:space="preserve">Pediatric / NICU</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16/20</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left"/>
            </w:pPr>
            <w:r>
              <w:rPr>
                <w:rFonts w:ascii="Arial" w:cs="Arial" w:eastAsia="Arial" w:hAnsi="Arial"/>
                <w:i w:val="false"/>
                <w:iCs w:val="false"/>
                <w:color w:val="222222"/>
                <w:sz w:val="18"/>
                <w:szCs w:val="18"/>
              </w:rPr>
              <w:t xml:space="preserve">Mental Health (EHR)</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6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15/20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i w:val="false"/>
                <w:iCs w:val="false"/>
                <w:color w:val="222222"/>
                <w:sz w:val="18"/>
                <w:szCs w:val="18"/>
              </w:rPr>
              <w:t xml:space="preserve">Pressure Injury</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17/20</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left"/>
            </w:pPr>
            <w:r>
              <w:rPr>
                <w:rFonts w:ascii="Arial" w:cs="Arial" w:eastAsia="Arial" w:hAnsi="Arial"/>
                <w:i w:val="false"/>
                <w:iCs w:val="false"/>
                <w:color w:val="222222"/>
                <w:sz w:val="18"/>
                <w:szCs w:val="18"/>
              </w:rPr>
              <w:t xml:space="preserve">Readmission (niche)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6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18/20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i w:val="false"/>
                <w:iCs w:val="false"/>
                <w:color w:val="222222"/>
                <w:sz w:val="18"/>
                <w:szCs w:val="18"/>
              </w:rPr>
              <w:t xml:space="preserve">Wearable / Remote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14/20</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left"/>
            </w:pPr>
            <w:r>
              <w:rPr>
                <w:rFonts w:ascii="Arial" w:cs="Arial" w:eastAsia="Arial" w:hAnsi="Arial"/>
                <w:i w:val="false"/>
                <w:iCs w:val="false"/>
                <w:color w:val="222222"/>
                <w:sz w:val="18"/>
                <w:szCs w:val="18"/>
              </w:rPr>
              <w:t xml:space="preserve">Post-ICU Syndrome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159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w:t>
            </w:r>
          </w:p>
        </w:tc>
        <w:tc>
          <w:tcPr>
            <w:tcW w:type="dxa" w:w="6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pPr>
              <w:jc w:val="center"/>
            </w:pPr>
            <w:r>
              <w:rPr>
                <w:rFonts w:ascii="Arial" w:cs="Arial" w:eastAsia="Arial" w:hAnsi="Arial"/>
                <w:i w:val="false"/>
                <w:iCs w:val="false"/>
                <w:color w:val="222222"/>
                <w:sz w:val="18"/>
                <w:szCs w:val="18"/>
              </w:rPr>
              <w:t xml:space="preserve">16/20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i/>
                <w:iCs/>
                <w:color w:val="666666"/>
                <w:sz w:val="17"/>
                <w:szCs w:val="17"/>
              </w:rPr>
              <w:t xml:space="preserve">Sepsis (reference)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666666"/>
                <w:sz w:val="17"/>
                <w:szCs w:val="17"/>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666666"/>
                <w:sz w:val="17"/>
                <w:szCs w:val="17"/>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666666"/>
                <w:sz w:val="17"/>
                <w:szCs w:val="17"/>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666666"/>
                <w:sz w:val="17"/>
                <w:szCs w:val="17"/>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i/>
                <w:iCs/>
                <w:color w:val="666666"/>
                <w:sz w:val="17"/>
                <w:szCs w:val="17"/>
              </w:rPr>
              <w:t xml:space="preserve">15/20</w:t>
            </w:r>
          </w:p>
        </w:tc>
      </w:tr>
    </w:tbl>
    <w:p>
      <w:pPr>
        <w:spacing w:before="120" w:after="0"/>
      </w:pPr>
      <w:r>
        <w:t xml:space="preserve"/>
      </w:r>
    </w:p>
    <w:p>
      <w:r>
        <w:br w:type="page"/>
      </w:r>
    </w:p>
    <w:p>
      <w:pPr>
        <w:pStyle w:val="Heading1"/>
        <w:pBdr>
          <w:bottom w:val="single" w:color="2E75B6" w:sz="8" w:space="4"/>
        </w:pBdr>
        <w:spacing w:before="360" w:after="160"/>
      </w:pPr>
      <w:r>
        <w:rPr>
          <w:rFonts w:ascii="Arial" w:cs="Arial" w:eastAsia="Arial" w:hAnsi="Arial"/>
          <w:b/>
          <w:bCs/>
          <w:color w:val="1E3A5F"/>
          <w:sz w:val="32"/>
          <w:szCs w:val="32"/>
        </w:rPr>
        <w:t xml:space="preserve">6. Suggested Next Steps</w:t>
      </w:r>
    </w:p>
    <w:p>
      <w:pPr>
        <w:spacing w:before="80" w:after="80" w:line="276"/>
      </w:pPr>
      <w:r>
        <w:rPr>
          <w:rFonts w:ascii="Arial" w:cs="Arial" w:eastAsia="Arial" w:hAnsi="Arial"/>
          <w:color w:val="222222"/>
          <w:sz w:val="20"/>
          <w:szCs w:val="20"/>
        </w:rPr>
        <w:t xml:space="preserve">Based on this analysis, here is a suggested workflow to finalize your research direction:</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Step 1: Access MIMIC-IV Now</w:t>
      </w:r>
    </w:p>
    <w:p>
      <w:pPr>
        <w:spacing w:before="80" w:after="80" w:line="276"/>
      </w:pPr>
      <w:r>
        <w:rPr>
          <w:rFonts w:ascii="Arial" w:cs="Arial" w:eastAsia="Arial" w:hAnsi="Arial"/>
          <w:color w:val="222222"/>
          <w:sz w:val="20"/>
          <w:szCs w:val="20"/>
        </w:rPr>
        <w:t xml:space="preserve">Apply for PhysioNet access if you have not already. MIMIC-IV requires completing a CITI human research training module (free, ~2 hours). This single dataset covers delirium, AKI, malnutrition, pressure injury, and readmission — giving you the data to explore multiple areas before committing.</w:t>
      </w:r>
    </w:p>
    <w:p>
      <w:pPr>
        <w:spacing w:before="60" w:after="0"/>
      </w:pPr>
      <w:r>
        <w:t xml:space="preserve"/>
      </w:r>
    </w:p>
    <w:p>
      <w:pPr>
        <w:pStyle w:val="Heading2"/>
        <w:spacing w:before="280" w:after="120"/>
      </w:pPr>
      <w:r>
        <w:rPr>
          <w:rFonts w:ascii="Arial" w:cs="Arial" w:eastAsia="Arial" w:hAnsi="Arial"/>
          <w:b/>
          <w:bCs/>
          <w:color w:val="2E75B6"/>
          <w:sz w:val="26"/>
          <w:szCs w:val="26"/>
        </w:rPr>
        <w:t xml:space="preserve">Step 2: Exploratory Data Analysis on 2–3 Candidate Areas</w:t>
      </w:r>
    </w:p>
    <w:p>
      <w:pPr>
        <w:spacing w:before="80" w:after="80" w:line="276"/>
      </w:pPr>
      <w:r>
        <w:rPr>
          <w:rFonts w:ascii="Arial" w:cs="Arial" w:eastAsia="Arial" w:hAnsi="Arial"/>
          <w:color w:val="222222"/>
          <w:sz w:val="20"/>
          <w:szCs w:val="20"/>
        </w:rPr>
        <w:t xml:space="preserve">We recommend running lightweight EDA on MIMIC-IV for: (a) ICU delirium using CAM-ICU nursing records, (b) malnutrition using albumin/prealbumin + dietitian consult notes, and (c) pressure injury using Braden Scale scores. This will tell you within 1–2 weeks which signal is strongest and which problem formulation is most tractable.</w:t>
      </w:r>
    </w:p>
    <w:p>
      <w:pPr>
        <w:spacing w:before="60" w:after="0"/>
      </w:pPr>
      <w:r>
        <w:t xml:space="preserve"/>
      </w:r>
    </w:p>
    <w:p>
      <w:pPr>
        <w:pStyle w:val="Heading2"/>
        <w:spacing w:before="280" w:after="120"/>
      </w:pPr>
      <w:r>
        <w:rPr>
          <w:rFonts w:ascii="Arial" w:cs="Arial" w:eastAsia="Arial" w:hAnsi="Arial"/>
          <w:b/>
          <w:bCs/>
          <w:color w:val="2E75B6"/>
          <w:sz w:val="26"/>
          <w:szCs w:val="26"/>
        </w:rPr>
        <w:t xml:space="preserve">Step 3: Literature Gap Confirmation</w:t>
      </w:r>
    </w:p>
    <w:p>
      <w:pPr>
        <w:spacing w:before="80" w:after="80" w:line="276"/>
      </w:pPr>
      <w:r>
        <w:rPr>
          <w:rFonts w:ascii="Arial" w:cs="Arial" w:eastAsia="Arial" w:hAnsi="Arial"/>
          <w:color w:val="222222"/>
          <w:sz w:val="20"/>
          <w:szCs w:val="20"/>
        </w:rPr>
        <w:t xml:space="preserve">Run a PubMed/Google Scholar search for each candidate area restricted to 2022–2025. Count the number of ML/AI papers with MIMIC-IV data in that specific domain. If fewer than 20 papers exist on your chosen sub-topic, it is a strong novelty signal.</w:t>
      </w:r>
    </w:p>
    <w:p>
      <w:pPr>
        <w:spacing w:before="60" w:after="0"/>
      </w:pPr>
      <w:r>
        <w:t xml:space="preserve"/>
      </w:r>
    </w:p>
    <w:p>
      <w:pPr>
        <w:pStyle w:val="Heading2"/>
        <w:spacing w:before="280" w:after="120"/>
      </w:pPr>
      <w:r>
        <w:rPr>
          <w:rFonts w:ascii="Arial" w:cs="Arial" w:eastAsia="Arial" w:hAnsi="Arial"/>
          <w:b/>
          <w:bCs/>
          <w:color w:val="2E75B6"/>
          <w:sz w:val="26"/>
          <w:szCs w:val="26"/>
        </w:rPr>
        <w:t xml:space="preserve">Step 4: Define a Specific Research Question</w:t>
      </w:r>
    </w:p>
    <w:p>
      <w:pPr>
        <w:spacing w:before="80" w:after="80" w:line="276"/>
      </w:pPr>
      <w:r>
        <w:rPr>
          <w:rFonts w:ascii="Arial" w:cs="Arial" w:eastAsia="Arial" w:hAnsi="Arial"/>
          <w:color w:val="222222"/>
          <w:sz w:val="20"/>
          <w:szCs w:val="20"/>
        </w:rPr>
        <w:t xml:space="preserve">The best research questions in healthcare ML are clinical first, not method first. Work backwards from: 'What decision does a clinician make, when, and what would help?' For delirium: 'Can we alert nurses 12 hours before CAM-ICU positivity using automated analysis of medication orders and vitals?' is far more publishable than 'we applied a transformer to ICU data.'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8F4FD" w:val="clear"/>
            <w:tcMar>
              <w:top w:type="dxa" w:w="120"/>
              <w:left w:type="dxa" w:w="180"/>
              <w:bottom w:type="dxa" w:w="120"/>
              <w:right w:type="dxa" w:w="180"/>
            </w:tcMar>
          </w:tcPr>
          <w:p>
            <w:pPr>
              <w:spacing w:before="60" w:after="60"/>
            </w:pPr>
            <w:r>
              <w:rPr>
                <w:rFonts w:ascii="Arial" w:cs="Arial" w:eastAsia="Arial" w:hAnsi="Arial"/>
                <w:b/>
                <w:bCs/>
                <w:color w:val="1E3A5F"/>
                <w:sz w:val="20"/>
                <w:szCs w:val="20"/>
              </w:rPr>
              <w:t xml:space="preserve">Final Recommendation</w:t>
            </w:r>
          </w:p>
          <w:p>
            <w:pPr>
              <w:spacing w:before="40" w:after="40"/>
            </w:pPr>
            <w:r>
              <w:rPr>
                <w:rFonts w:ascii="Arial" w:cs="Arial" w:eastAsia="Arial" w:hAnsi="Arial"/>
                <w:color w:val="333333"/>
                <w:sz w:val="18"/>
                <w:szCs w:val="18"/>
              </w:rPr>
              <w:t xml:space="preserve">• Top Pick: ICU Delirium — highest novelty, same datasets as sepsis, clear clinical problem, multiple sub-problems</w:t>
            </w:r>
          </w:p>
          <w:p>
            <w:pPr>
              <w:spacing w:before="40" w:after="40"/>
            </w:pPr>
            <w:r>
              <w:rPr>
                <w:rFonts w:ascii="Arial" w:cs="Arial" w:eastAsia="Arial" w:hAnsi="Arial"/>
                <w:color w:val="333333"/>
                <w:sz w:val="18"/>
                <w:szCs w:val="18"/>
              </w:rPr>
              <w:t xml:space="preserve">• Strong Alternative: Hospital Malnutrition + Outcomes — widest-open field with immediate clinical value</w:t>
            </w:r>
          </w:p>
          <w:p>
            <w:pPr>
              <w:spacing w:before="40" w:after="40"/>
            </w:pPr>
            <w:r>
              <w:rPr>
                <w:rFonts w:ascii="Arial" w:cs="Arial" w:eastAsia="Arial" w:hAnsi="Arial"/>
                <w:color w:val="333333"/>
                <w:sz w:val="18"/>
                <w:szCs w:val="18"/>
              </w:rPr>
              <w:t xml:space="preserve">• If you want sepsis: focus on pediatric sepsis or post-sepsis syndrome — both are underserved and differentiated</w:t>
            </w:r>
          </w:p>
          <w:p>
            <w:pPr>
              <w:spacing w:before="40" w:after="40"/>
            </w:pPr>
            <w:r>
              <w:rPr>
                <w:rFonts w:ascii="Arial" w:cs="Arial" w:eastAsia="Arial" w:hAnsi="Arial"/>
                <w:color w:val="333333"/>
                <w:sz w:val="18"/>
                <w:szCs w:val="18"/>
              </w:rPr>
              <w:t xml:space="preserve">• Avoid: Standard ICU mortality prediction, generic sepsis onset prediction — these are saturated</w:t>
            </w:r>
          </w:p>
        </w:tc>
      </w:tr>
    </w:tbl>
    <w:p>
      <w:pPr>
        <w:spacing w:before="80" w:after="0"/>
      </w:pPr>
      <w:r>
        <w:t xml:space="preserve"/>
      </w:r>
    </w:p>
    <w:p>
      <w:pPr>
        <w:pBdr>
          <w:top w:val="single" w:color="CCCCCC" w:sz="4" w:space="8"/>
        </w:pBdr>
        <w:spacing w:before="200" w:after="0"/>
        <w:jc w:val="center"/>
      </w:pPr>
      <w:r>
        <w:rPr>
          <w:rFonts w:ascii="Arial" w:cs="Arial" w:eastAsia="Arial" w:hAnsi="Arial"/>
          <w:i/>
          <w:iCs/>
          <w:color w:val="666666"/>
          <w:sz w:val="18"/>
          <w:szCs w:val="18"/>
        </w:rPr>
        <w:t xml:space="preserve">End of Report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100"/>
      <w:jc w:val="center"/>
    </w:pPr>
    <w:r>
      <w:rPr>
        <w:rFonts w:ascii="Arial" w:cs="Arial" w:eastAsia="Arial" w:hAnsi="Arial"/>
        <w:color w:val="666666"/>
        <w:sz w:val="16"/>
        <w:szCs w:val="16"/>
      </w:rPr>
      <w:t xml:space="preserve">Confidential Research Scoping Report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666666"/>
        <w:sz w:val="18"/>
        <w:szCs w:val="18"/>
      </w:rPr>
      <w:t xml:space="preserve">Under-Researched Healthcare Areas | Research Opportunity Report  </w:t>
    </w:r>
    <w:r>
      <w:rPr>
        <w:rFonts w:ascii="Arial" w:cs="Arial" w:eastAsia="Arial" w:hAnsi="Arial"/>
        <w:b/>
        <w:bCs/>
        <w:color w:val="666666"/>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2026-03-09T08:04:50.830Z</dcterms:created>
  <dcterms:modified xsi:type="dcterms:W3CDTF">2026-03-09T08:04:50.831Z</dcterms:modified>
</cp:coreProperties>
</file>

<file path=docProps/custom.xml><?xml version="1.0" encoding="utf-8"?>
<Properties xmlns="http://schemas.openxmlformats.org/officeDocument/2006/custom-properties" xmlns:vt="http://schemas.openxmlformats.org/officeDocument/2006/docPropsVTypes"/>
</file>