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left"/>
      </w:pPr>
      <w:r>
        <w:rPr>
          <w:rFonts w:ascii="Arial" w:cs="Arial" w:eastAsia="Arial" w:hAnsi="Arial"/>
          <w:b/>
          <w:bCs/>
          <w:color w:val="1A6B8A"/>
          <w:sz w:val="60"/>
          <w:szCs w:val="60"/>
        </w:rPr>
        <w:t xml:space="preserve">AI/ML in Sepsis Research</w:t>
      </w:r>
    </w:p>
    <w:p>
      <w:pPr>
        <w:spacing w:before="0" w:after="80"/>
      </w:pPr>
      <w:r>
        <w:rPr>
          <w:rFonts w:ascii="Arial" w:cs="Arial" w:eastAsia="Arial" w:hAnsi="Arial"/>
          <w:color w:val="1E2A35"/>
          <w:sz w:val="36"/>
          <w:szCs w:val="36"/>
        </w:rPr>
        <w:t xml:space="preserve">Research Opportunity Landscape Report</w:t>
      </w:r>
    </w:p>
    <w:p>
      <w:pPr>
        <w:spacing w:before="0" w:after="200"/>
      </w:pPr>
      <w:r>
        <w:rPr>
          <w:rFonts w:ascii="Arial" w:cs="Arial" w:eastAsia="Arial" w:hAnsi="Arial"/>
          <w:i/>
          <w:iCs/>
          <w:color w:val="666666"/>
          <w:sz w:val="22"/>
          <w:szCs w:val="22"/>
        </w:rPr>
        <w:t xml:space="preserve">Compiled for Graduate Research Planning — February 2026</w:t>
      </w:r>
    </w:p>
    <w:p>
      <w:pPr>
        <w:pBdr>
          <w:bottom w:val="single" w:color="1A6B8A" w:sz="8" w:space="4"/>
        </w:pBdr>
        <w:spacing w:after="32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1. Executive Summary</w:t>
      </w:r>
    </w:p>
    <w:p>
      <w:pPr>
        <w:spacing w:before="80" w:after="80"/>
      </w:pPr>
      <w:r>
        <w:rPr>
          <w:rFonts w:ascii="Arial" w:cs="Arial" w:eastAsia="Arial" w:hAnsi="Arial"/>
          <w:color w:val="1E2A35"/>
          <w:sz w:val="22"/>
          <w:szCs w:val="22"/>
        </w:rPr>
        <w:t xml:space="preserve">Sepsis remains one of the world's leading causes of preventable death. The WHO reported 48.8 million cases in 2024 with approximately 11 million deaths. Despite significant interest from the AI/ML research community, large portions of this space remain underdeveloped — particularly around underserved populations, clinical explainability, real-world deployment fairness, and integration of novel data modalities.</w:t>
      </w:r>
    </w:p>
    <w:p>
      <w:pPr>
        <w:spacing w:before="80"/>
      </w:pPr>
      <w:r>
        <w:t xml:space="preserve"/>
      </w:r>
    </w:p>
    <w:p>
      <w:pPr>
        <w:spacing w:before="80" w:after="80"/>
      </w:pPr>
      <w:r>
        <w:rPr>
          <w:rFonts w:ascii="Arial" w:cs="Arial" w:eastAsia="Arial" w:hAnsi="Arial"/>
          <w:color w:val="1E2A35"/>
          <w:sz w:val="22"/>
          <w:szCs w:val="22"/>
        </w:rPr>
        <w:t xml:space="preserve">This report synthesizes findings from a systematic scan of peer-reviewed literature across PubMed, PMC, NEJM AI, Nature npj Digital Medicine, Frontiers in Medicine, and MDPI (2024–2026). It identifies the most promising and underexplored research areas for a student team entering this space for the first time.</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Key Takeaway: While early sepsis prediction in adult ICU settings is well-studied, research in neonatal/pediatric sepsis, LMIC healthcare settings, explainability, algorithmic bias, and novel data integration remains sparse and high-impact. These are the areas where a focused research paper can make a real scholarly contribution.</w:t>
      </w:r>
    </w:p>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2. Background — The Sepsis Problem</w:t>
      </w:r>
    </w:p>
    <w:p>
      <w:pPr>
        <w:spacing w:before="80" w:after="80"/>
      </w:pPr>
      <w:r>
        <w:rPr>
          <w:rFonts w:ascii="Arial" w:cs="Arial" w:eastAsia="Arial" w:hAnsi="Arial"/>
          <w:color w:val="1E2A35"/>
          <w:sz w:val="22"/>
          <w:szCs w:val="22"/>
        </w:rPr>
        <w:t xml:space="preserve">Sepsis is a life-threatening organ dysfunction caused by a dysregulated host response to infection. It is characterized by rapid progression, heterogeneous presentation, and a narrow window for effective intervention. Traditional diagnostic tools — the SOFA score, SIRS criteria, and biomarkers like CRP and procalcitonin — are reactive rather than predictive. They often identify sepsis only after significant organ damage has occurred.</w:t>
      </w:r>
    </w:p>
    <w:p>
      <w:pPr>
        <w:spacing w:before="80"/>
      </w:pPr>
      <w:r>
        <w:t xml:space="preserve"/>
      </w:r>
    </w:p>
    <w:p>
      <w:pPr>
        <w:spacing w:before="80" w:after="80"/>
      </w:pPr>
      <w:r>
        <w:rPr>
          <w:rFonts w:ascii="Arial" w:cs="Arial" w:eastAsia="Arial" w:hAnsi="Arial"/>
          <w:color w:val="1E2A35"/>
          <w:sz w:val="22"/>
          <w:szCs w:val="22"/>
        </w:rPr>
        <w:t xml:space="preserve">The promise of AI/ML is the ability to detect subtle, early patterns in clinical data — vital signs, lab results, EHR records — and predict sepsis onset hours before a clinician would recognize it. Research from 2019–2025 has produced models (XGBoost, Random Forest, LSTM, deep learning) achieving AUROC scores of 0.80–0.99 for early prediction. However, this progress is uneven:</w:t>
      </w:r>
    </w:p>
    <w:p>
      <w:pPr>
        <w:spacing w:before="80"/>
      </w:pPr>
      <w:r>
        <w:t xml:space="preserve"/>
      </w:r>
    </w:p>
    <w:p>
      <w:pPr>
        <w:pStyle w:val="ListParagraph"/>
        <w:numPr>
          <w:ilvl w:val="0"/>
          <w:numId w:val="2"/>
        </w:numPr>
        <w:spacing w:before="40" w:after="40"/>
      </w:pPr>
      <w:r>
        <w:rPr>
          <w:rFonts w:ascii="Arial" w:cs="Arial" w:eastAsia="Arial" w:hAnsi="Arial"/>
          <w:color w:val="1E2A35"/>
          <w:sz w:val="22"/>
          <w:szCs w:val="22"/>
        </w:rPr>
        <w:t xml:space="preserve">Most validated models are built on MIMIC-IV or eICU data — rich, high-quality ICU datasets from top US hospitals.</w:t>
      </w:r>
    </w:p>
    <w:p>
      <w:pPr>
        <w:pStyle w:val="ListParagraph"/>
        <w:numPr>
          <w:ilvl w:val="0"/>
          <w:numId w:val="2"/>
        </w:numPr>
        <w:spacing w:before="40" w:after="40"/>
      </w:pPr>
      <w:r>
        <w:rPr>
          <w:rFonts w:ascii="Arial" w:cs="Arial" w:eastAsia="Arial" w:hAnsi="Arial"/>
          <w:color w:val="1E2A35"/>
          <w:sz w:val="22"/>
          <w:szCs w:val="22"/>
        </w:rPr>
        <w:t xml:space="preserve">Most are designed for adult patients in well-resourced settings.</w:t>
      </w:r>
    </w:p>
    <w:p>
      <w:pPr>
        <w:pStyle w:val="ListParagraph"/>
        <w:numPr>
          <w:ilvl w:val="0"/>
          <w:numId w:val="2"/>
        </w:numPr>
        <w:spacing w:before="40" w:after="40"/>
      </w:pPr>
      <w:r>
        <w:rPr>
          <w:rFonts w:ascii="Arial" w:cs="Arial" w:eastAsia="Arial" w:hAnsi="Arial"/>
          <w:color w:val="1E2A35"/>
          <w:sz w:val="22"/>
          <w:szCs w:val="22"/>
        </w:rPr>
        <w:t xml:space="preserve">Very few have been externally validated or deployed in real clinical environments.</w:t>
      </w:r>
    </w:p>
    <w:p>
      <w:pPr>
        <w:pStyle w:val="ListParagraph"/>
        <w:numPr>
          <w:ilvl w:val="0"/>
          <w:numId w:val="2"/>
        </w:numPr>
        <w:spacing w:before="40" w:after="40"/>
      </w:pPr>
      <w:r>
        <w:rPr>
          <w:rFonts w:ascii="Arial" w:cs="Arial" w:eastAsia="Arial" w:hAnsi="Arial"/>
          <w:color w:val="1E2A35"/>
          <w:sz w:val="22"/>
          <w:szCs w:val="22"/>
        </w:rPr>
        <w:t xml:space="preserve">The first FDA-authorized AI diagnostic for sepsis (Sepsis ImmunoScore) was only approved in April 2024, indicating the field's relative immaturity.</w:t>
      </w:r>
    </w:p>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3. What Is Already Well-Studied</w:t>
      </w:r>
    </w:p>
    <w:p>
      <w:pPr>
        <w:spacing w:before="80" w:after="80"/>
      </w:pPr>
      <w:r>
        <w:rPr>
          <w:rFonts w:ascii="Arial" w:cs="Arial" w:eastAsia="Arial" w:hAnsi="Arial"/>
          <w:color w:val="1E2A35"/>
          <w:sz w:val="22"/>
          <w:szCs w:val="22"/>
        </w:rPr>
        <w:t xml:space="preserve">Before identifying gaps, it is useful to understand the saturated areas — what not to focus on:</w:t>
      </w:r>
    </w:p>
    <w:p>
      <w:pPr>
        <w:spacing w:before="80"/>
      </w:pPr>
      <w:r>
        <w:t xml:space="preserve"/>
      </w:r>
    </w:p>
    <w:p>
      <w:pPr>
        <w:spacing w:before="200" w:after="80"/>
      </w:pPr>
      <w:r>
        <w:rPr>
          <w:rFonts w:ascii="Arial" w:cs="Arial" w:eastAsia="Arial" w:hAnsi="Arial"/>
          <w:b/>
          <w:bCs/>
          <w:color w:val="1A6B8A"/>
          <w:sz w:val="24"/>
          <w:szCs w:val="24"/>
        </w:rPr>
        <w:t xml:space="preserve">3.1 Adult ICU Sepsis Prediction</w:t>
      </w:r>
    </w:p>
    <w:p>
      <w:pPr>
        <w:spacing w:before="80" w:after="80"/>
      </w:pPr>
      <w:r>
        <w:rPr>
          <w:rFonts w:ascii="Arial" w:cs="Arial" w:eastAsia="Arial" w:hAnsi="Arial"/>
          <w:color w:val="1E2A35"/>
          <w:sz w:val="22"/>
          <w:szCs w:val="22"/>
        </w:rPr>
        <w:t xml:space="preserve">This is the most crowded area of research. Models using structured EHR data, vital signs, and laboratory values from adult ICU patients have been extensively built and benchmarked. XGBoost, Random Forest, LightGBM, and LSTM variants dominate. Public datasets (MIMIC-IV, eICU, PhysioNet) are freely available, making this area easy to enter but also oversaturated.</w:t>
      </w:r>
    </w:p>
    <w:p>
      <w:pPr>
        <w:spacing w:before="80"/>
      </w:pPr>
      <w:r>
        <w:t xml:space="preserve"/>
      </w:r>
    </w:p>
    <w:p>
      <w:pPr>
        <w:spacing w:before="200" w:after="80"/>
      </w:pPr>
      <w:r>
        <w:rPr>
          <w:rFonts w:ascii="Arial" w:cs="Arial" w:eastAsia="Arial" w:hAnsi="Arial"/>
          <w:b/>
          <w:bCs/>
          <w:color w:val="1A6B8A"/>
          <w:sz w:val="24"/>
          <w:szCs w:val="24"/>
        </w:rPr>
        <w:t xml:space="preserve">3.2 Mortality Prediction in Sepsis</w:t>
      </w:r>
    </w:p>
    <w:p>
      <w:pPr>
        <w:spacing w:before="80" w:after="80"/>
      </w:pPr>
      <w:r>
        <w:rPr>
          <w:rFonts w:ascii="Arial" w:cs="Arial" w:eastAsia="Arial" w:hAnsi="Arial"/>
          <w:color w:val="1E2A35"/>
          <w:sz w:val="22"/>
          <w:szCs w:val="22"/>
        </w:rPr>
        <w:t xml:space="preserve">Predicting in-hospital mortality for ICU sepsis patients using ML classifiers is well-documented. Feature importance studies consistently find ICU stay duration, lactic acid, white blood cell count, and vital signs as key predictors.</w:t>
      </w:r>
    </w:p>
    <w:p>
      <w:pPr>
        <w:spacing w:before="80"/>
      </w:pPr>
      <w:r>
        <w:t xml:space="preserve"/>
      </w:r>
    </w:p>
    <w:p>
      <w:pPr>
        <w:spacing w:before="200" w:after="80"/>
      </w:pPr>
      <w:r>
        <w:rPr>
          <w:rFonts w:ascii="Arial" w:cs="Arial" w:eastAsia="Arial" w:hAnsi="Arial"/>
          <w:b/>
          <w:bCs/>
          <w:color w:val="1A6B8A"/>
          <w:sz w:val="24"/>
          <w:szCs w:val="24"/>
        </w:rPr>
        <w:t xml:space="preserve">3.3 Length of Stay (LOS) Prediction</w:t>
      </w:r>
    </w:p>
    <w:p>
      <w:pPr>
        <w:spacing w:before="80" w:after="80"/>
      </w:pPr>
      <w:r>
        <w:rPr>
          <w:rFonts w:ascii="Arial" w:cs="Arial" w:eastAsia="Arial" w:hAnsi="Arial"/>
          <w:color w:val="1E2A35"/>
          <w:sz w:val="22"/>
          <w:szCs w:val="22"/>
        </w:rPr>
        <w:t xml:space="preserve">Predicting hospital and ICU length of stay using gradient boosting or ensemble methods is established, particularly in the context of resource optimization.</w:t>
      </w:r>
    </w:p>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4. Key Research Gaps &amp; Opportunities</w:t>
      </w:r>
    </w:p>
    <w:p>
      <w:pPr>
        <w:spacing w:before="80" w:after="80"/>
      </w:pPr>
      <w:r>
        <w:rPr>
          <w:rFonts w:ascii="Arial" w:cs="Arial" w:eastAsia="Arial" w:hAnsi="Arial"/>
          <w:color w:val="1E2A35"/>
          <w:sz w:val="22"/>
          <w:szCs w:val="22"/>
        </w:rPr>
        <w:t xml:space="preserve">The following areas have been explicitly identified as underexplored in recent systematic reviews, meta-analyses, and expert commentaries (2024–2026). Each represents a viable direction for a research paper that can make a genuine scholarly contribution.</w:t>
      </w:r>
    </w:p>
    <w:p>
      <w:pPr>
        <w:spacing w:before="80"/>
      </w:pPr>
      <w:r>
        <w:t xml:space="preserve"/>
      </w:r>
    </w:p>
    <w:p>
      <w:pPr>
        <w:pStyle w:val="Heading2"/>
        <w:spacing w:before="300" w:after="120"/>
      </w:pPr>
      <w:r>
        <w:rPr>
          <w:rFonts w:ascii="Arial" w:cs="Arial" w:eastAsia="Arial" w:hAnsi="Arial"/>
          <w:b/>
          <w:bCs/>
          <w:color w:val="1E2A35"/>
          <w:sz w:val="28"/>
          <w:szCs w:val="28"/>
        </w:rPr>
        <w:t xml:space="preserve">4.1 Neonatal &amp; Pediatric Sepsis — A Critical Underserved Area</w:t>
      </w:r>
    </w:p>
    <w:p>
      <w:pPr>
        <w:spacing w:before="80" w:after="80"/>
      </w:pPr>
      <w:r>
        <w:rPr>
          <w:rFonts w:ascii="Arial" w:cs="Arial" w:eastAsia="Arial" w:hAnsi="Arial"/>
          <w:color w:val="1E2A35"/>
          <w:sz w:val="22"/>
          <w:szCs w:val="22"/>
        </w:rPr>
        <w:t xml:space="preserve">Neonatal sepsis causes nearly one-third of neonatal deaths globally each year. Yet AI/ML research here is dramatically less developed than in adults:</w:t>
      </w:r>
    </w:p>
    <w:p>
      <w:pPr>
        <w:pStyle w:val="ListParagraph"/>
        <w:numPr>
          <w:ilvl w:val="0"/>
          <w:numId w:val="2"/>
        </w:numPr>
        <w:spacing w:before="40" w:after="40"/>
      </w:pPr>
      <w:r>
        <w:rPr>
          <w:rFonts w:ascii="Arial" w:cs="Arial" w:eastAsia="Arial" w:hAnsi="Arial"/>
          <w:color w:val="1E2A35"/>
          <w:sz w:val="22"/>
          <w:szCs w:val="22"/>
        </w:rPr>
        <w:t xml:space="preserve">A 2024 scoping review in npj Digital Medicine found that 85% of pediatric sepsis prediction studies were single-center. This severely limits generalizability.</w:t>
      </w:r>
    </w:p>
    <w:p>
      <w:pPr>
        <w:pStyle w:val="ListParagraph"/>
        <w:numPr>
          <w:ilvl w:val="0"/>
          <w:numId w:val="2"/>
        </w:numPr>
        <w:spacing w:before="40" w:after="40"/>
      </w:pPr>
      <w:r>
        <w:rPr>
          <w:rFonts w:ascii="Arial" w:cs="Arial" w:eastAsia="Arial" w:hAnsi="Arial"/>
          <w:color w:val="1E2A35"/>
          <w:sz w:val="22"/>
          <w:szCs w:val="22"/>
        </w:rPr>
        <w:t xml:space="preserve">Most existing models use logistic regression — not advanced ML. Only a minority use deep learning, ensemble models, or neural networks.</w:t>
      </w:r>
    </w:p>
    <w:p>
      <w:pPr>
        <w:pStyle w:val="ListParagraph"/>
        <w:numPr>
          <w:ilvl w:val="0"/>
          <w:numId w:val="2"/>
        </w:numPr>
        <w:spacing w:before="40" w:after="40"/>
      </w:pPr>
      <w:r>
        <w:rPr>
          <w:rFonts w:ascii="Arial" w:cs="Arial" w:eastAsia="Arial" w:hAnsi="Arial"/>
          <w:color w:val="1E2A35"/>
          <w:sz w:val="22"/>
          <w:szCs w:val="22"/>
        </w:rPr>
        <w:t xml:space="preserve">Endpoint definitions vary widely across studies, making comparison and benchmarking difficult.</w:t>
      </w:r>
    </w:p>
    <w:p>
      <w:pPr>
        <w:pStyle w:val="ListParagraph"/>
        <w:numPr>
          <w:ilvl w:val="0"/>
          <w:numId w:val="2"/>
        </w:numPr>
        <w:spacing w:before="40" w:after="40"/>
      </w:pPr>
      <w:r>
        <w:rPr>
          <w:rFonts w:ascii="Arial" w:cs="Arial" w:eastAsia="Arial" w:hAnsi="Arial"/>
          <w:color w:val="1E2A35"/>
          <w:sz w:val="22"/>
          <w:szCs w:val="22"/>
        </w:rPr>
        <w:t xml:space="preserve">Neonatal sepsis lacks a universally accepted clinical definition, making model development challenging and novel.</w:t>
      </w:r>
    </w:p>
    <w:p>
      <w:pPr>
        <w:pStyle w:val="ListParagraph"/>
        <w:numPr>
          <w:ilvl w:val="0"/>
          <w:numId w:val="2"/>
        </w:numPr>
        <w:spacing w:before="40" w:after="40"/>
      </w:pPr>
      <w:r>
        <w:rPr>
          <w:rFonts w:ascii="Arial" w:cs="Arial" w:eastAsia="Arial" w:hAnsi="Arial"/>
          <w:color w:val="1E2A35"/>
          <w:sz w:val="22"/>
          <w:szCs w:val="22"/>
        </w:rPr>
        <w:t xml:space="preserve">Research in low-income and middle-income countries (LMICs), where the disease burden is highest, is nearly absent.</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Develop an ML model specifically for early-onset or late-onset neonatal sepsis using available datasets (PIC neonatal database, local hospital data). Compare multiple ML approaches and include XAI for interpretability. The combination of a pediatric focus + XAI + LMIC applicability is almost entirely unexplored.</w:t>
      </w:r>
    </w:p>
    <w:p>
      <w:pPr>
        <w:spacing w:before="80"/>
      </w:pPr>
      <w:r>
        <w:t xml:space="preserve"/>
      </w:r>
    </w:p>
    <w:p>
      <w:pPr>
        <w:pStyle w:val="Heading2"/>
        <w:spacing w:before="300" w:after="120"/>
      </w:pPr>
      <w:r>
        <w:rPr>
          <w:rFonts w:ascii="Arial" w:cs="Arial" w:eastAsia="Arial" w:hAnsi="Arial"/>
          <w:b/>
          <w:bCs/>
          <w:color w:val="1E2A35"/>
          <w:sz w:val="28"/>
          <w:szCs w:val="28"/>
        </w:rPr>
        <w:t xml:space="preserve">4.2 AI for Sepsis in Low-Resource / LMIC Settings</w:t>
      </w:r>
    </w:p>
    <w:p>
      <w:pPr>
        <w:spacing w:before="80" w:after="80"/>
      </w:pPr>
      <w:r>
        <w:rPr>
          <w:rFonts w:ascii="Arial" w:cs="Arial" w:eastAsia="Arial" w:hAnsi="Arial"/>
          <w:color w:val="1E2A35"/>
          <w:sz w:val="22"/>
          <w:szCs w:val="22"/>
        </w:rPr>
        <w:t xml:space="preserve">The vast majority of sepsis AI research is conducted using data from US, UK, and Chinese hospitals. However:</w:t>
      </w:r>
    </w:p>
    <w:p>
      <w:pPr>
        <w:pStyle w:val="ListParagraph"/>
        <w:numPr>
          <w:ilvl w:val="0"/>
          <w:numId w:val="2"/>
        </w:numPr>
        <w:spacing w:before="40" w:after="40"/>
      </w:pPr>
      <w:r>
        <w:rPr>
          <w:rFonts w:ascii="Arial" w:cs="Arial" w:eastAsia="Arial" w:hAnsi="Arial"/>
          <w:color w:val="1E2A35"/>
          <w:sz w:val="22"/>
          <w:szCs w:val="22"/>
        </w:rPr>
        <w:t xml:space="preserve">Countries in South Asia (including India) and sub-Saharan Africa carry a disproportionate share of the global sepsis burden.</w:t>
      </w:r>
    </w:p>
    <w:p>
      <w:pPr>
        <w:pStyle w:val="ListParagraph"/>
        <w:numPr>
          <w:ilvl w:val="0"/>
          <w:numId w:val="2"/>
        </w:numPr>
        <w:spacing w:before="40" w:after="40"/>
      </w:pPr>
      <w:r>
        <w:rPr>
          <w:rFonts w:ascii="Arial" w:cs="Arial" w:eastAsia="Arial" w:hAnsi="Arial"/>
          <w:color w:val="1E2A35"/>
          <w:sz w:val="22"/>
          <w:szCs w:val="22"/>
        </w:rPr>
        <w:t xml:space="preserve">Models trained on ICU data from high-resource hospitals fail to generalize to low-resource settings with different patient demographics, microbial profiles, and data quality.</w:t>
      </w:r>
    </w:p>
    <w:p>
      <w:pPr>
        <w:pStyle w:val="ListParagraph"/>
        <w:numPr>
          <w:ilvl w:val="0"/>
          <w:numId w:val="2"/>
        </w:numPr>
        <w:spacing w:before="40" w:after="40"/>
      </w:pPr>
      <w:r>
        <w:rPr>
          <w:rFonts w:ascii="Arial" w:cs="Arial" w:eastAsia="Arial" w:hAnsi="Arial"/>
          <w:color w:val="1E2A35"/>
          <w:sz w:val="22"/>
          <w:szCs w:val="22"/>
        </w:rPr>
        <w:t xml:space="preserve">A 2025 bibliometric analysis confirmed a stark disparity between publication volume and disease burden — regions most affected by sepsis publish the least research.</w:t>
      </w:r>
    </w:p>
    <w:p>
      <w:pPr>
        <w:pStyle w:val="ListParagraph"/>
        <w:numPr>
          <w:ilvl w:val="0"/>
          <w:numId w:val="2"/>
        </w:numPr>
        <w:spacing w:before="40" w:after="40"/>
      </w:pPr>
      <w:r>
        <w:rPr>
          <w:rFonts w:ascii="Arial" w:cs="Arial" w:eastAsia="Arial" w:hAnsi="Arial"/>
          <w:color w:val="1E2A35"/>
          <w:sz w:val="22"/>
          <w:szCs w:val="22"/>
        </w:rPr>
        <w:t xml:space="preserve">In LMICs, diagnostic infrastructure is limited, making it critical to develop ML models that work with minimal, low-cost inputs (e.g., complete blood count, basic vitals).</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Build a sepsis prediction model that uses only resource-limited inputs (basic vitals + CBC) and validate it on or design it for LMIC-like clinical conditions. This is directly relevant for India and would be highly novel. Alternatively, a review paper documenting this gap with a proposed framework would also be publishable.</w:t>
      </w:r>
    </w:p>
    <w:p>
      <w:pPr>
        <w:spacing w:before="80"/>
      </w:pPr>
      <w:r>
        <w:t xml:space="preserve"/>
      </w:r>
    </w:p>
    <w:p>
      <w:pPr>
        <w:pStyle w:val="Heading2"/>
        <w:spacing w:before="300" w:after="120"/>
      </w:pPr>
      <w:r>
        <w:rPr>
          <w:rFonts w:ascii="Arial" w:cs="Arial" w:eastAsia="Arial" w:hAnsi="Arial"/>
          <w:b/>
          <w:bCs/>
          <w:color w:val="1E2A35"/>
          <w:sz w:val="28"/>
          <w:szCs w:val="28"/>
        </w:rPr>
        <w:t xml:space="preserve">4.3 Explainable AI (XAI) in Sepsis</w:t>
      </w:r>
    </w:p>
    <w:p>
      <w:pPr>
        <w:spacing w:before="80" w:after="80"/>
      </w:pPr>
      <w:r>
        <w:rPr>
          <w:rFonts w:ascii="Arial" w:cs="Arial" w:eastAsia="Arial" w:hAnsi="Arial"/>
          <w:color w:val="1E2A35"/>
          <w:sz w:val="22"/>
          <w:szCs w:val="22"/>
        </w:rPr>
        <w:t xml:space="preserve">High-performing ML models — particularly deep learning and ensemble methods — are 'black boxes.' Clinicians cannot understand why a model made a specific prediction, which is a critical barrier to clinical adoption.</w:t>
      </w:r>
    </w:p>
    <w:p>
      <w:pPr>
        <w:pStyle w:val="ListParagraph"/>
        <w:numPr>
          <w:ilvl w:val="0"/>
          <w:numId w:val="2"/>
        </w:numPr>
        <w:spacing w:before="40" w:after="40"/>
      </w:pPr>
      <w:r>
        <w:rPr>
          <w:rFonts w:ascii="Arial" w:cs="Arial" w:eastAsia="Arial" w:hAnsi="Arial"/>
          <w:color w:val="1E2A35"/>
          <w:sz w:val="22"/>
          <w:szCs w:val="22"/>
        </w:rPr>
        <w:t xml:space="preserve">Multiple 2024-2025 reviews explicitly identify XAI as an 'insufficiently addressed' area in sepsis AI literature.</w:t>
      </w:r>
    </w:p>
    <w:p>
      <w:pPr>
        <w:pStyle w:val="ListParagraph"/>
        <w:numPr>
          <w:ilvl w:val="0"/>
          <w:numId w:val="2"/>
        </w:numPr>
        <w:spacing w:before="40" w:after="40"/>
      </w:pPr>
      <w:r>
        <w:rPr>
          <w:rFonts w:ascii="Arial" w:cs="Arial" w:eastAsia="Arial" w:hAnsi="Arial"/>
          <w:color w:val="1E2A35"/>
          <w:sz w:val="22"/>
          <w:szCs w:val="22"/>
        </w:rPr>
        <w:t xml:space="preserve">Methods like SHAP (Shapley Additive Explanations), LIME, and attention mechanisms are available but rarely integrated into clinical sepsis prediction models.</w:t>
      </w:r>
    </w:p>
    <w:p>
      <w:pPr>
        <w:pStyle w:val="ListParagraph"/>
        <w:numPr>
          <w:ilvl w:val="0"/>
          <w:numId w:val="2"/>
        </w:numPr>
        <w:spacing w:before="40" w:after="40"/>
      </w:pPr>
      <w:r>
        <w:rPr>
          <w:rFonts w:ascii="Arial" w:cs="Arial" w:eastAsia="Arial" w:hAnsi="Arial"/>
          <w:color w:val="1E2A35"/>
          <w:sz w:val="22"/>
          <w:szCs w:val="22"/>
        </w:rPr>
        <w:t xml:space="preserve">Even models that do use SHAP apply it post-hoc, offering only partial transparency — not true model interpretability.</w:t>
      </w:r>
    </w:p>
    <w:p>
      <w:pPr>
        <w:pStyle w:val="ListParagraph"/>
        <w:numPr>
          <w:ilvl w:val="0"/>
          <w:numId w:val="2"/>
        </w:numPr>
        <w:spacing w:before="40" w:after="40"/>
      </w:pPr>
      <w:r>
        <w:rPr>
          <w:rFonts w:ascii="Arial" w:cs="Arial" w:eastAsia="Arial" w:hAnsi="Arial"/>
          <w:color w:val="1E2A35"/>
          <w:sz w:val="22"/>
          <w:szCs w:val="22"/>
        </w:rPr>
        <w:t xml:space="preserve">The FDA's 2025 draft AI guidelines emphasize transparency and explainability, making this increasingly important from a regulatory perspective.</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Build a sepsis prediction model with SHAP or LIME integration and evaluate whether explanations are clinically meaningful (i.e., do top features align with what clinicians expect?). This makes for a very strong research paper with direct clinical relevance and a practical novelty.</w:t>
      </w:r>
    </w:p>
    <w:p>
      <w:pPr>
        <w:spacing w:before="80"/>
      </w:pPr>
      <w:r>
        <w:t xml:space="preserve"/>
      </w:r>
    </w:p>
    <w:p>
      <w:pPr>
        <w:pStyle w:val="Heading2"/>
        <w:spacing w:before="300" w:after="120"/>
      </w:pPr>
      <w:r>
        <w:rPr>
          <w:rFonts w:ascii="Arial" w:cs="Arial" w:eastAsia="Arial" w:hAnsi="Arial"/>
          <w:b/>
          <w:bCs/>
          <w:color w:val="1E2A35"/>
          <w:sz w:val="28"/>
          <w:szCs w:val="28"/>
        </w:rPr>
        <w:t xml:space="preserve">4.4 Algorithmic Fairness &amp; Bias in Sepsis Models</w:t>
      </w:r>
    </w:p>
    <w:p>
      <w:pPr>
        <w:spacing w:before="80" w:after="80"/>
      </w:pPr>
      <w:r>
        <w:rPr>
          <w:rFonts w:ascii="Arial" w:cs="Arial" w:eastAsia="Arial" w:hAnsi="Arial"/>
          <w:color w:val="1E2A35"/>
          <w:sz w:val="22"/>
          <w:szCs w:val="22"/>
        </w:rPr>
        <w:t xml:space="preserve">This is one of the most critically flagged yet underaddressed issues in the field:</w:t>
      </w:r>
    </w:p>
    <w:p>
      <w:pPr>
        <w:pStyle w:val="ListParagraph"/>
        <w:numPr>
          <w:ilvl w:val="0"/>
          <w:numId w:val="2"/>
        </w:numPr>
        <w:spacing w:before="40" w:after="40"/>
      </w:pPr>
      <w:r>
        <w:rPr>
          <w:rFonts w:ascii="Arial" w:cs="Arial" w:eastAsia="Arial" w:hAnsi="Arial"/>
          <w:color w:val="1E2A35"/>
          <w:sz w:val="22"/>
          <w:szCs w:val="22"/>
        </w:rPr>
        <w:t xml:space="preserve">Most sepsis ML studies do not report performance broken down by race, ethnicity, age, or socioeconomic group.</w:t>
      </w:r>
    </w:p>
    <w:p>
      <w:pPr>
        <w:pStyle w:val="ListParagraph"/>
        <w:numPr>
          <w:ilvl w:val="0"/>
          <w:numId w:val="2"/>
        </w:numPr>
        <w:spacing w:before="40" w:after="40"/>
      </w:pPr>
      <w:r>
        <w:rPr>
          <w:rFonts w:ascii="Arial" w:cs="Arial" w:eastAsia="Arial" w:hAnsi="Arial"/>
          <w:color w:val="1E2A35"/>
          <w:sz w:val="22"/>
          <w:szCs w:val="22"/>
        </w:rPr>
        <w:t xml:space="preserve">Models trained on data from majority-white, well-resourced hospital populations show significant performance drops when applied to minority groups.</w:t>
      </w:r>
    </w:p>
    <w:p>
      <w:pPr>
        <w:pStyle w:val="ListParagraph"/>
        <w:numPr>
          <w:ilvl w:val="0"/>
          <w:numId w:val="2"/>
        </w:numPr>
        <w:spacing w:before="40" w:after="40"/>
      </w:pPr>
      <w:r>
        <w:rPr>
          <w:rFonts w:ascii="Arial" w:cs="Arial" w:eastAsia="Arial" w:hAnsi="Arial"/>
          <w:color w:val="1E2A35"/>
          <w:sz w:val="22"/>
          <w:szCs w:val="22"/>
        </w:rPr>
        <w:t xml:space="preserve">A 2025 paper in the American Journal of Bioethics specifically analyzed ethics-based mitigation strategies for bias in sepsis prediction models, finding the literature severely lacking.</w:t>
      </w:r>
    </w:p>
    <w:p>
      <w:pPr>
        <w:pStyle w:val="ListParagraph"/>
        <w:numPr>
          <w:ilvl w:val="0"/>
          <w:numId w:val="2"/>
        </w:numPr>
        <w:spacing w:before="40" w:after="40"/>
      </w:pPr>
      <w:r>
        <w:rPr>
          <w:rFonts w:ascii="Arial" w:cs="Arial" w:eastAsia="Arial" w:hAnsi="Arial"/>
          <w:color w:val="1E2A35"/>
          <w:sz w:val="22"/>
          <w:szCs w:val="22"/>
        </w:rPr>
        <w:t xml:space="preserve">The risk of 'coding racism into sepsis care' has been documented in the pediatric setting (published in Journal of Pediatrics, 2022), and remains a growing concern.</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Audit an existing or newly built sepsis ML model for demographic fairness using metrics like equalized odds, demographic parity, or predictive rate parity. Propose mitigation strategies (reweighting, subgroup validation, fairness-aware training). This is a methodologically tractable and high-impact direction.</w:t>
      </w:r>
    </w:p>
    <w:p>
      <w:pPr>
        <w:spacing w:before="80"/>
      </w:pPr>
      <w:r>
        <w:t xml:space="preserve"/>
      </w:r>
    </w:p>
    <w:p>
      <w:pPr>
        <w:pStyle w:val="Heading2"/>
        <w:spacing w:before="300" w:after="120"/>
      </w:pPr>
      <w:r>
        <w:rPr>
          <w:rFonts w:ascii="Arial" w:cs="Arial" w:eastAsia="Arial" w:hAnsi="Arial"/>
          <w:b/>
          <w:bCs/>
          <w:color w:val="1E2A35"/>
          <w:sz w:val="28"/>
          <w:szCs w:val="28"/>
        </w:rPr>
        <w:t xml:space="preserve">4.5 Federated Learning for Multi-Hospital Sepsis Models</w:t>
      </w:r>
    </w:p>
    <w:p>
      <w:pPr>
        <w:spacing w:before="80" w:after="80"/>
      </w:pPr>
      <w:r>
        <w:rPr>
          <w:rFonts w:ascii="Arial" w:cs="Arial" w:eastAsia="Arial" w:hAnsi="Arial"/>
          <w:color w:val="1E2A35"/>
          <w:sz w:val="22"/>
          <w:szCs w:val="22"/>
        </w:rPr>
        <w:t xml:space="preserve">Patient data is siloed across hospitals due to privacy regulations. This severely limits the training data available for any single model. Federated learning (FL) offers a solution by training models across multiple hospitals without sharing raw data — but its application to sepsis is nascent:</w:t>
      </w:r>
    </w:p>
    <w:p>
      <w:pPr>
        <w:pStyle w:val="ListParagraph"/>
        <w:numPr>
          <w:ilvl w:val="0"/>
          <w:numId w:val="2"/>
        </w:numPr>
        <w:spacing w:before="40" w:after="40"/>
      </w:pPr>
      <w:r>
        <w:rPr>
          <w:rFonts w:ascii="Arial" w:cs="Arial" w:eastAsia="Arial" w:hAnsi="Arial"/>
          <w:color w:val="1E2A35"/>
          <w:sz w:val="22"/>
          <w:szCs w:val="22"/>
        </w:rPr>
        <w:t xml:space="preserve">A 2026 paper in Scientific Reports proposed one of the first hybrid federated learning + XAI frameworks for sepsis mortality prediction, highlighting how new this combination is.</w:t>
      </w:r>
    </w:p>
    <w:p>
      <w:pPr>
        <w:pStyle w:val="ListParagraph"/>
        <w:numPr>
          <w:ilvl w:val="0"/>
          <w:numId w:val="2"/>
        </w:numPr>
        <w:spacing w:before="40" w:after="40"/>
      </w:pPr>
      <w:r>
        <w:rPr>
          <w:rFonts w:ascii="Arial" w:cs="Arial" w:eastAsia="Arial" w:hAnsi="Arial"/>
          <w:color w:val="1E2A35"/>
          <w:sz w:val="22"/>
          <w:szCs w:val="22"/>
        </w:rPr>
        <w:t xml:space="preserve">FL in sepsis has not been benchmarked across Indian or South Asian hospital networks.</w:t>
      </w:r>
    </w:p>
    <w:p>
      <w:pPr>
        <w:pStyle w:val="ListParagraph"/>
        <w:numPr>
          <w:ilvl w:val="0"/>
          <w:numId w:val="2"/>
        </w:numPr>
        <w:spacing w:before="40" w:after="40"/>
      </w:pPr>
      <w:r>
        <w:rPr>
          <w:rFonts w:ascii="Arial" w:cs="Arial" w:eastAsia="Arial" w:hAnsi="Arial"/>
          <w:color w:val="1E2A35"/>
          <w:sz w:val="22"/>
          <w:szCs w:val="22"/>
        </w:rPr>
        <w:t xml:space="preserve">Combining FL with fairness constraints (to prevent bias propagation across nodes) is completely unexplored.</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Propose or simulate a federated learning framework for sepsis prediction using public multi-site datasets (MIMIC-IV + eICU). Evaluate whether FL models maintain performance comparable to centralized models. This is technically demanding but highly publishable.</w:t>
      </w:r>
    </w:p>
    <w:p>
      <w:pPr>
        <w:spacing w:before="80"/>
      </w:pPr>
      <w:r>
        <w:t xml:space="preserve"/>
      </w:r>
    </w:p>
    <w:p>
      <w:pPr>
        <w:pStyle w:val="Heading2"/>
        <w:spacing w:before="300" w:after="120"/>
      </w:pPr>
      <w:r>
        <w:rPr>
          <w:rFonts w:ascii="Arial" w:cs="Arial" w:eastAsia="Arial" w:hAnsi="Arial"/>
          <w:b/>
          <w:bCs/>
          <w:color w:val="1E2A35"/>
          <w:sz w:val="28"/>
          <w:szCs w:val="28"/>
        </w:rPr>
        <w:t xml:space="preserve">4.6 Antimicrobial Resistance (AMR) Prediction &amp; Antibiotic Stewardship</w:t>
      </w:r>
    </w:p>
    <w:p>
      <w:pPr>
        <w:spacing w:before="80" w:after="80"/>
      </w:pPr>
      <w:r>
        <w:rPr>
          <w:rFonts w:ascii="Arial" w:cs="Arial" w:eastAsia="Arial" w:hAnsi="Arial"/>
          <w:color w:val="1E2A35"/>
          <w:sz w:val="22"/>
          <w:szCs w:val="22"/>
        </w:rPr>
        <w:t xml:space="preserve">Sepsis and antimicrobial resistance are deeply intertwined. Overuse of broad-spectrum antibiotics in empirical sepsis treatment is accelerating resistance, while delayed targeted therapy worsens outcomes:</w:t>
      </w:r>
    </w:p>
    <w:p>
      <w:pPr>
        <w:pStyle w:val="ListParagraph"/>
        <w:numPr>
          <w:ilvl w:val="0"/>
          <w:numId w:val="2"/>
        </w:numPr>
        <w:spacing w:before="40" w:after="40"/>
      </w:pPr>
      <w:r>
        <w:rPr>
          <w:rFonts w:ascii="Arial" w:cs="Arial" w:eastAsia="Arial" w:hAnsi="Arial"/>
          <w:color w:val="1E2A35"/>
          <w:sz w:val="22"/>
          <w:szCs w:val="22"/>
        </w:rPr>
        <w:t xml:space="preserve">AI for predicting pathogen identity and resistance profiles from early clinical data is in very early stages.</w:t>
      </w:r>
    </w:p>
    <w:p>
      <w:pPr>
        <w:pStyle w:val="ListParagraph"/>
        <w:numPr>
          <w:ilvl w:val="0"/>
          <w:numId w:val="2"/>
        </w:numPr>
        <w:spacing w:before="40" w:after="40"/>
      </w:pPr>
      <w:r>
        <w:rPr>
          <w:rFonts w:ascii="Arial" w:cs="Arial" w:eastAsia="Arial" w:hAnsi="Arial"/>
          <w:color w:val="1E2A35"/>
          <w:sz w:val="22"/>
          <w:szCs w:val="22"/>
        </w:rPr>
        <w:t xml:space="preserve">Models that recommend optimal antibiotic regimens for sepsis patients based on local resistance patterns and patient features are rare.</w:t>
      </w:r>
    </w:p>
    <w:p>
      <w:pPr>
        <w:pStyle w:val="ListParagraph"/>
        <w:numPr>
          <w:ilvl w:val="0"/>
          <w:numId w:val="2"/>
        </w:numPr>
        <w:spacing w:before="40" w:after="40"/>
      </w:pPr>
      <w:r>
        <w:rPr>
          <w:rFonts w:ascii="Arial" w:cs="Arial" w:eastAsia="Arial" w:hAnsi="Arial"/>
          <w:color w:val="1E2A35"/>
          <w:sz w:val="22"/>
          <w:szCs w:val="22"/>
        </w:rPr>
        <w:t xml:space="preserve">In India and other LMICs, AMR is a national crisis. Research in this intersection is globally urgent.</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Build a model that predicts likelihood of antibiotic resistance in sepsis-causing pathogens based on patient risk factors and local epidemiology. This sits at the intersection of infectious disease, public health, and ML — a highly relevant angle for India.</w:t>
      </w:r>
    </w:p>
    <w:p>
      <w:pPr>
        <w:spacing w:before="80"/>
      </w:pPr>
      <w:r>
        <w:t xml:space="preserve"/>
      </w:r>
    </w:p>
    <w:p>
      <w:pPr>
        <w:pStyle w:val="Heading2"/>
        <w:spacing w:before="300" w:after="120"/>
      </w:pPr>
      <w:r>
        <w:rPr>
          <w:rFonts w:ascii="Arial" w:cs="Arial" w:eastAsia="Arial" w:hAnsi="Arial"/>
          <w:b/>
          <w:bCs/>
          <w:color w:val="1E2A35"/>
          <w:sz w:val="28"/>
          <w:szCs w:val="28"/>
        </w:rPr>
        <w:t xml:space="preserve">4.7 NLP &amp; LLMs on Unstructured Clinical Notes</w:t>
      </w:r>
    </w:p>
    <w:p>
      <w:pPr>
        <w:spacing w:before="80" w:after="80"/>
      </w:pPr>
      <w:r>
        <w:rPr>
          <w:rFonts w:ascii="Arial" w:cs="Arial" w:eastAsia="Arial" w:hAnsi="Arial"/>
          <w:color w:val="1E2A35"/>
          <w:sz w:val="22"/>
          <w:szCs w:val="22"/>
        </w:rPr>
        <w:t xml:space="preserve">The majority of sepsis AI models use only structured data (labs, vitals, demographics). However, clinical notes, physician observations, and nursing records contain rich, early diagnostic information that is largely untapped:</w:t>
      </w:r>
    </w:p>
    <w:p>
      <w:pPr>
        <w:pStyle w:val="ListParagraph"/>
        <w:numPr>
          <w:ilvl w:val="0"/>
          <w:numId w:val="2"/>
        </w:numPr>
        <w:spacing w:before="40" w:after="40"/>
      </w:pPr>
      <w:r>
        <w:rPr>
          <w:rFonts w:ascii="Arial" w:cs="Arial" w:eastAsia="Arial" w:hAnsi="Arial"/>
          <w:color w:val="1E2A35"/>
          <w:sz w:val="22"/>
          <w:szCs w:val="22"/>
        </w:rPr>
        <w:t xml:space="preserve">NLP-based models that extract sepsis risk signals from free-text clinical notes are rare, despite the existence of models in other conditions.</w:t>
      </w:r>
    </w:p>
    <w:p>
      <w:pPr>
        <w:pStyle w:val="ListParagraph"/>
        <w:numPr>
          <w:ilvl w:val="0"/>
          <w:numId w:val="2"/>
        </w:numPr>
        <w:spacing w:before="40" w:after="40"/>
      </w:pPr>
      <w:r>
        <w:rPr>
          <w:rFonts w:ascii="Arial" w:cs="Arial" w:eastAsia="Arial" w:hAnsi="Arial"/>
          <w:color w:val="1E2A35"/>
          <w:sz w:val="22"/>
          <w:szCs w:val="22"/>
        </w:rPr>
        <w:t xml:space="preserve">Large language model (LLM) applications to clinical notes for early sepsis detection is almost entirely unexplored as of 2025.</w:t>
      </w:r>
    </w:p>
    <w:p>
      <w:pPr>
        <w:pStyle w:val="ListParagraph"/>
        <w:numPr>
          <w:ilvl w:val="0"/>
          <w:numId w:val="2"/>
        </w:numPr>
        <w:spacing w:before="40" w:after="40"/>
      </w:pPr>
      <w:r>
        <w:rPr>
          <w:rFonts w:ascii="Arial" w:cs="Arial" w:eastAsia="Arial" w:hAnsi="Arial"/>
          <w:color w:val="1E2A35"/>
          <w:sz w:val="22"/>
          <w:szCs w:val="22"/>
        </w:rPr>
        <w:t xml:space="preserve">MIMIC-IV includes clinical notes and can be used for such research.</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Build a hybrid model that combines structured EHR features with NLP-extracted features from clinical notes (using BERT or a clinical LLM like BioGPT). Compare performance against structured-only models. This is methodologically novel and directly usable on public datasets.</w:t>
      </w:r>
    </w:p>
    <w:p>
      <w:pPr>
        <w:spacing w:before="80"/>
      </w:pPr>
      <w:r>
        <w:t xml:space="preserve"/>
      </w:r>
    </w:p>
    <w:p>
      <w:pPr>
        <w:pStyle w:val="Heading2"/>
        <w:spacing w:before="300" w:after="120"/>
      </w:pPr>
      <w:r>
        <w:rPr>
          <w:rFonts w:ascii="Arial" w:cs="Arial" w:eastAsia="Arial" w:hAnsi="Arial"/>
          <w:b/>
          <w:bCs/>
          <w:color w:val="1E2A35"/>
          <w:sz w:val="28"/>
          <w:szCs w:val="28"/>
        </w:rPr>
        <w:t xml:space="preserve">4.8 Post-Sepsis Long-Term Outcome Prediction</w:t>
      </w:r>
    </w:p>
    <w:p>
      <w:pPr>
        <w:spacing w:before="80" w:after="80"/>
      </w:pPr>
      <w:r>
        <w:rPr>
          <w:rFonts w:ascii="Arial" w:cs="Arial" w:eastAsia="Arial" w:hAnsi="Arial"/>
          <w:color w:val="1E2A35"/>
          <w:sz w:val="22"/>
          <w:szCs w:val="22"/>
        </w:rPr>
        <w:t xml:space="preserve">Most sepsis AI research focuses on in-hospital outcomes (mortality, ICU stay length). Long-term outcomes are severely underresearched:</w:t>
      </w:r>
    </w:p>
    <w:p>
      <w:pPr>
        <w:pStyle w:val="ListParagraph"/>
        <w:numPr>
          <w:ilvl w:val="0"/>
          <w:numId w:val="2"/>
        </w:numPr>
        <w:spacing w:before="40" w:after="40"/>
      </w:pPr>
      <w:r>
        <w:rPr>
          <w:rFonts w:ascii="Arial" w:cs="Arial" w:eastAsia="Arial" w:hAnsi="Arial"/>
          <w:color w:val="1E2A35"/>
          <w:sz w:val="22"/>
          <w:szCs w:val="22"/>
        </w:rPr>
        <w:t xml:space="preserve">Post-sepsis syndrome — including cognitive impairment, PTSD, physical disability — affects a large fraction of survivors.</w:t>
      </w:r>
    </w:p>
    <w:p>
      <w:pPr>
        <w:pStyle w:val="ListParagraph"/>
        <w:numPr>
          <w:ilvl w:val="0"/>
          <w:numId w:val="2"/>
        </w:numPr>
        <w:spacing w:before="40" w:after="40"/>
      </w:pPr>
      <w:r>
        <w:rPr>
          <w:rFonts w:ascii="Arial" w:cs="Arial" w:eastAsia="Arial" w:hAnsi="Arial"/>
          <w:color w:val="1E2A35"/>
          <w:sz w:val="22"/>
          <w:szCs w:val="22"/>
        </w:rPr>
        <w:t xml:space="preserve">Neurodevelopmental outcomes in neonatal sepsis survivors are explicitly cited as 'underexplored despite their importance to public health' in a 2025 bibliometric analysis.</w:t>
      </w:r>
    </w:p>
    <w:p>
      <w:pPr>
        <w:pStyle w:val="ListParagraph"/>
        <w:numPr>
          <w:ilvl w:val="0"/>
          <w:numId w:val="2"/>
        </w:numPr>
        <w:spacing w:before="40" w:after="40"/>
      </w:pPr>
      <w:r>
        <w:rPr>
          <w:rFonts w:ascii="Arial" w:cs="Arial" w:eastAsia="Arial" w:hAnsi="Arial"/>
          <w:color w:val="1E2A35"/>
          <w:sz w:val="22"/>
          <w:szCs w:val="22"/>
        </w:rPr>
        <w:t xml:space="preserve">Predicting which patients are at risk of long-term disability or readmission would have enormous clinical utility.</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Research Opportunity: Use longitudinal hospital data to predict 30-day readmission or 90-day functional outcomes in sepsis survivors using ML. This requires access to follow-up data, which may be available through MIMIC-IV or through a hospital collaboration.</w:t>
      </w:r>
    </w:p>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5. Recommended Research Directions for Your Paper</w:t>
      </w:r>
    </w:p>
    <w:p>
      <w:pPr>
        <w:spacing w:before="80" w:after="80"/>
      </w:pPr>
      <w:r>
        <w:rPr>
          <w:rFonts w:ascii="Arial" w:cs="Arial" w:eastAsia="Arial" w:hAnsi="Arial"/>
          <w:color w:val="1E2A35"/>
          <w:sz w:val="22"/>
          <w:szCs w:val="22"/>
        </w:rPr>
        <w:t xml:space="preserve">Based on the gap analysis above, the following directions are most suitable for a student research team (feasible, novel, publishable):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000"/>
        <w:gridCol w:w="2160"/>
      </w:tblGrid>
      <w:tr>
        <w:tc>
          <w:tcPr>
            <w:tcW w:type="dxa" w:w="400"/>
            <w:tcBorders>
              <w:top w:val="none"/>
              <w:left w:val="none"/>
              <w:bottom w:val="none"/>
              <w:right w:val="none"/>
            </w:tcBorders>
            <w:shd w:fill="1A6B8A"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none"/>
              <w:left w:val="none"/>
              <w:bottom w:val="none"/>
              <w:right w:val="none"/>
            </w:tcBorders>
            <w:shd w:fill="1A6B8A" w:val="clear"/>
            <w:tcMar>
              <w:top w:type="dxa" w:w="80"/>
              <w:left w:type="dxa" w:w="100"/>
              <w:bottom w:type="dxa" w:w="80"/>
              <w:right w:type="dxa" w:w="100"/>
            </w:tcMar>
          </w:tcPr>
          <w:p>
            <w:r>
              <w:rPr>
                <w:rFonts w:ascii="Arial" w:cs="Arial" w:eastAsia="Arial" w:hAnsi="Arial"/>
                <w:b/>
                <w:bCs/>
                <w:color w:val="FFFFFF"/>
                <w:sz w:val="20"/>
                <w:szCs w:val="20"/>
              </w:rPr>
              <w:t xml:space="preserve">Direction</w:t>
            </w:r>
          </w:p>
        </w:tc>
        <w:tc>
          <w:tcPr>
            <w:tcW w:type="dxa" w:w="4000"/>
            <w:tcBorders>
              <w:top w:val="none"/>
              <w:left w:val="none"/>
              <w:bottom w:val="none"/>
              <w:right w:val="none"/>
            </w:tcBorders>
            <w:shd w:fill="1A6B8A" w:val="clear"/>
            <w:tcMar>
              <w:top w:type="dxa" w:w="80"/>
              <w:left w:type="dxa" w:w="100"/>
              <w:bottom w:type="dxa" w:w="80"/>
              <w:right w:type="dxa" w:w="100"/>
            </w:tcMar>
          </w:tcPr>
          <w:p>
            <w:r>
              <w:rPr>
                <w:rFonts w:ascii="Arial" w:cs="Arial" w:eastAsia="Arial" w:hAnsi="Arial"/>
                <w:b/>
                <w:bCs/>
                <w:color w:val="FFFFFF"/>
                <w:sz w:val="20"/>
                <w:szCs w:val="20"/>
              </w:rPr>
              <w:t xml:space="preserve">Why it's good for you</w:t>
            </w:r>
          </w:p>
        </w:tc>
        <w:tc>
          <w:tcPr>
            <w:tcW w:type="dxa" w:w="2160"/>
            <w:tcBorders>
              <w:top w:val="none"/>
              <w:left w:val="none"/>
              <w:bottom w:val="none"/>
              <w:right w:val="none"/>
            </w:tcBorders>
            <w:shd w:fill="1A6B8A" w:val="clear"/>
            <w:tcMar>
              <w:top w:type="dxa" w:w="80"/>
              <w:left w:type="dxa" w:w="100"/>
              <w:bottom w:type="dxa" w:w="80"/>
              <w:right w:type="dxa" w:w="100"/>
            </w:tcMar>
          </w:tcPr>
          <w:p>
            <w:r>
              <w:rPr>
                <w:rFonts w:ascii="Arial" w:cs="Arial" w:eastAsia="Arial" w:hAnsi="Arial"/>
                <w:b/>
                <w:bCs/>
                <w:color w:val="FFFFFF"/>
                <w:sz w:val="20"/>
                <w:szCs w:val="20"/>
              </w:rPr>
              <w:t xml:space="preserve">Difficulty</w:t>
            </w:r>
          </w:p>
        </w:tc>
      </w:tr>
      <w:tr>
        <w:tc>
          <w:tcPr>
            <w:tcW w:type="dxa" w:w="4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1</w:t>
            </w:r>
          </w:p>
        </w:tc>
        <w:tc>
          <w:tcPr>
            <w:tcW w:type="dxa" w:w="28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Neonatal Sepsis ML with XAI</w:t>
            </w:r>
          </w:p>
        </w:tc>
        <w:tc>
          <w:tcPr>
            <w:tcW w:type="dxa" w:w="40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MIMIC/PIC datasets are public. Neonatal focus + XAI = very novel combination. Teacher's healthcare background is a direct fit.</w:t>
            </w:r>
          </w:p>
        </w:tc>
        <w:tc>
          <w:tcPr>
            <w:tcW w:type="dxa" w:w="216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Medium</w:t>
            </w:r>
          </w:p>
        </w:tc>
      </w:tr>
      <w:tr>
        <w:tc>
          <w:tcPr>
            <w:tcW w:type="dxa" w:w="4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2</w:t>
            </w:r>
          </w:p>
        </w:tc>
        <w:tc>
          <w:tcPr>
            <w:tcW w:type="dxa" w:w="28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Sepsis Prediction for Low-Resource Settings (India Context)</w:t>
            </w:r>
          </w:p>
        </w:tc>
        <w:tc>
          <w:tcPr>
            <w:tcW w:type="dxa" w:w="40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Highly relevant locally. Uses minimal inputs (CBC + vitals). Strong societal impact angle for scholarship applications.</w:t>
            </w:r>
          </w:p>
        </w:tc>
        <w:tc>
          <w:tcPr>
            <w:tcW w:type="dxa" w:w="216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Low-Medium</w:t>
            </w:r>
          </w:p>
        </w:tc>
      </w:tr>
      <w:tr>
        <w:tc>
          <w:tcPr>
            <w:tcW w:type="dxa" w:w="4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3</w:t>
            </w:r>
          </w:p>
        </w:tc>
        <w:tc>
          <w:tcPr>
            <w:tcW w:type="dxa" w:w="28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Fairness/Bias Audit of Sepsis ML Model</w:t>
            </w:r>
          </w:p>
        </w:tc>
        <w:tc>
          <w:tcPr>
            <w:tcW w:type="dxa" w:w="40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Can be done on an existing model or one you build. Active ethical debate in literature. Clear novelty.</w:t>
            </w:r>
          </w:p>
        </w:tc>
        <w:tc>
          <w:tcPr>
            <w:tcW w:type="dxa" w:w="216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Medium</w:t>
            </w:r>
          </w:p>
        </w:tc>
      </w:tr>
      <w:tr>
        <w:tc>
          <w:tcPr>
            <w:tcW w:type="dxa" w:w="4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4</w:t>
            </w:r>
          </w:p>
        </w:tc>
        <w:tc>
          <w:tcPr>
            <w:tcW w:type="dxa" w:w="28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XAI Integration in Sepsis Prediction (SHAP Analysis)</w:t>
            </w:r>
          </w:p>
        </w:tc>
        <w:tc>
          <w:tcPr>
            <w:tcW w:type="dxa" w:w="400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Technically tractable. Strong clinical relevance. Good for demonstrating depth of understanding.</w:t>
            </w:r>
          </w:p>
        </w:tc>
        <w:tc>
          <w:tcPr>
            <w:tcW w:type="dxa" w:w="2160"/>
            <w:tcBorders>
              <w:top w:val="single" w:color="DDDDDD" w:sz="1"/>
              <w:left w:val="none"/>
              <w:bottom w:val="single" w:color="DDDDDD" w:sz="1"/>
              <w:right w:val="none"/>
            </w:tcBorders>
            <w:shd w:fill="FFFFFF" w:val="clear"/>
            <w:tcMar>
              <w:top w:type="dxa" w:w="80"/>
              <w:left w:type="dxa" w:w="100"/>
              <w:bottom w:type="dxa" w:w="80"/>
              <w:right w:type="dxa" w:w="100"/>
            </w:tcMar>
          </w:tcPr>
          <w:p>
            <w:r>
              <w:rPr>
                <w:rFonts w:ascii="Arial" w:cs="Arial" w:eastAsia="Arial" w:hAnsi="Arial"/>
                <w:color w:val="1E2A35"/>
                <w:sz w:val="20"/>
                <w:szCs w:val="20"/>
              </w:rPr>
              <w:t xml:space="preserve">Medium</w:t>
            </w:r>
          </w:p>
        </w:tc>
      </w:tr>
      <w:tr>
        <w:tc>
          <w:tcPr>
            <w:tcW w:type="dxa" w:w="4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5</w:t>
            </w:r>
          </w:p>
        </w:tc>
        <w:tc>
          <w:tcPr>
            <w:tcW w:type="dxa" w:w="28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NLP + Structured Data Hybrid Sepsis Model</w:t>
            </w:r>
          </w:p>
        </w:tc>
        <w:tc>
          <w:tcPr>
            <w:tcW w:type="dxa" w:w="400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Methodologically cutting-edge. Uses public MIMIC-IV notes data. High publishability.</w:t>
            </w:r>
          </w:p>
        </w:tc>
        <w:tc>
          <w:tcPr>
            <w:tcW w:type="dxa" w:w="2160"/>
            <w:tcBorders>
              <w:top w:val="single" w:color="DDDDDD" w:sz="1"/>
              <w:left w:val="none"/>
              <w:bottom w:val="single" w:color="DDDDDD" w:sz="1"/>
              <w:right w:val="none"/>
            </w:tcBorders>
            <w:shd w:fill="F5FBFD" w:val="clear"/>
            <w:tcMar>
              <w:top w:type="dxa" w:w="80"/>
              <w:left w:type="dxa" w:w="100"/>
              <w:bottom w:type="dxa" w:w="80"/>
              <w:right w:type="dxa" w:w="100"/>
            </w:tcMar>
          </w:tcPr>
          <w:p>
            <w:r>
              <w:rPr>
                <w:rFonts w:ascii="Arial" w:cs="Arial" w:eastAsia="Arial" w:hAnsi="Arial"/>
                <w:color w:val="1E2A35"/>
                <w:sz w:val="20"/>
                <w:szCs w:val="20"/>
              </w:rPr>
              <w:t xml:space="preserve">Medium-Hard</w:t>
            </w:r>
          </w:p>
        </w:tc>
      </w:tr>
    </w:tbl>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6. Available Datasets for Research</w:t>
      </w:r>
    </w:p>
    <w:p>
      <w:pPr>
        <w:spacing w:before="80" w:after="80"/>
      </w:pPr>
      <w:r>
        <w:rPr>
          <w:rFonts w:ascii="Arial" w:cs="Arial" w:eastAsia="Arial" w:hAnsi="Arial"/>
          <w:color w:val="1E2A35"/>
          <w:sz w:val="22"/>
          <w:szCs w:val="22"/>
        </w:rPr>
        <w:t xml:space="preserve">All the following datasets are publicly available and commonly used in sepsis AI research. Your team can begin immediately:</w:t>
      </w:r>
    </w:p>
    <w:p>
      <w:pPr>
        <w:spacing w:before="80"/>
      </w:pPr>
      <w:r>
        <w:t xml:space="preserve"/>
      </w:r>
    </w:p>
    <w:p>
      <w:pPr>
        <w:pStyle w:val="ListParagraph"/>
        <w:numPr>
          <w:ilvl w:val="0"/>
          <w:numId w:val="2"/>
        </w:numPr>
        <w:spacing w:before="40" w:after="40"/>
      </w:pPr>
      <w:r>
        <w:rPr>
          <w:rFonts w:ascii="Arial" w:cs="Arial" w:eastAsia="Arial" w:hAnsi="Arial"/>
          <w:color w:val="1E2A35"/>
          <w:sz w:val="22"/>
          <w:szCs w:val="22"/>
        </w:rPr>
        <w:t xml:space="preserve">MIMIC-IV — Medical Information Mart for Intensive Care (Beth Israel Deaconess, Boston). The gold standard. Contains ICU data, labs, vitals, clinical notes, and demographics. Requires PhysioNet credentialing (free, ~1 week).</w:t>
      </w:r>
    </w:p>
    <w:p>
      <w:pPr>
        <w:pStyle w:val="ListParagraph"/>
        <w:numPr>
          <w:ilvl w:val="0"/>
          <w:numId w:val="2"/>
        </w:numPr>
        <w:spacing w:before="40" w:after="40"/>
      </w:pPr>
      <w:r>
        <w:rPr>
          <w:rFonts w:ascii="Arial" w:cs="Arial" w:eastAsia="Arial" w:hAnsi="Arial"/>
          <w:color w:val="1E2A35"/>
          <w:sz w:val="22"/>
          <w:szCs w:val="22"/>
        </w:rPr>
        <w:t xml:space="preserve">eICU Collaborative Research Database — Multi-center ICU data from 200+ US hospitals. Ideal for external validation and fairness studies.</w:t>
      </w:r>
    </w:p>
    <w:p>
      <w:pPr>
        <w:pStyle w:val="ListParagraph"/>
        <w:numPr>
          <w:ilvl w:val="0"/>
          <w:numId w:val="2"/>
        </w:numPr>
        <w:spacing w:before="40" w:after="40"/>
      </w:pPr>
      <w:r>
        <w:rPr>
          <w:rFonts w:ascii="Arial" w:cs="Arial" w:eastAsia="Arial" w:hAnsi="Arial"/>
          <w:color w:val="1E2A35"/>
          <w:sz w:val="22"/>
          <w:szCs w:val="22"/>
        </w:rPr>
        <w:t xml:space="preserve">PhysioNet Challenge Datasets — Multiple annual competitions on early sepsis prediction. Well-curated and benchmarked.</w:t>
      </w:r>
    </w:p>
    <w:p>
      <w:pPr>
        <w:pStyle w:val="ListParagraph"/>
        <w:numPr>
          <w:ilvl w:val="0"/>
          <w:numId w:val="2"/>
        </w:numPr>
        <w:spacing w:before="40" w:after="40"/>
      </w:pPr>
      <w:r>
        <w:rPr>
          <w:rFonts w:ascii="Arial" w:cs="Arial" w:eastAsia="Arial" w:hAnsi="Arial"/>
          <w:color w:val="1E2A35"/>
          <w:sz w:val="22"/>
          <w:szCs w:val="22"/>
        </w:rPr>
        <w:t xml:space="preserve">PIC (Paediatric Intensive Care) Database — Chinese pediatric ICU database, available on PhysioNet. One of the few publicly available neonatal/pediatric sepsis datasets.</w:t>
      </w:r>
    </w:p>
    <w:p>
      <w:pPr>
        <w:pStyle w:val="ListParagraph"/>
        <w:numPr>
          <w:ilvl w:val="0"/>
          <w:numId w:val="2"/>
        </w:numPr>
        <w:spacing w:before="40" w:after="40"/>
      </w:pPr>
      <w:r>
        <w:rPr>
          <w:rFonts w:ascii="Arial" w:cs="Arial" w:eastAsia="Arial" w:hAnsi="Arial"/>
          <w:color w:val="1E2A35"/>
          <w:sz w:val="22"/>
          <w:szCs w:val="22"/>
        </w:rPr>
        <w:t xml:space="preserve">CHoRUS/AIM-AHEAD Dataset — Recently used in 2025 research for sepsis prediction using OMOP common data model formatting.</w:t>
      </w:r>
    </w:p>
    <w:p>
      <w:pPr>
        <w:spacing w:before="80"/>
      </w:pPr>
      <w:r>
        <w:t xml:space="preserve"/>
      </w:r>
    </w:p>
    <w:p>
      <w:pPr>
        <w:pBdr>
          <w:top w:val="single" w:color="1A6B8A" w:sz="2"/>
          <w:bottom w:val="single" w:color="1A6B8A" w:sz="2"/>
          <w:left w:val="thick" w:color="1A6B8A" w:sz="12"/>
          <w:right w:val="single" w:color="1A6B8A" w:sz="2"/>
        </w:pBdr>
        <w:shd w:fill="E8F4F8" w:val="clear"/>
        <w:spacing w:before="120" w:after="120"/>
        <w:ind w:left="360" w:right="360"/>
      </w:pPr>
      <w:r>
        <w:rPr>
          <w:rFonts w:ascii="Arial" w:cs="Arial" w:eastAsia="Arial" w:hAnsi="Arial"/>
          <w:i/>
          <w:iCs/>
          <w:color w:val="1E2A35"/>
          <w:sz w:val="22"/>
          <w:szCs w:val="22"/>
        </w:rPr>
        <w:t xml:space="preserve">Getting Started: Register at physionet.org and complete the required human subjects training (usually a 30-minute CITI course). MIMIC-IV access is granted within days to weeks.</w:t>
      </w:r>
    </w:p>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7. At-a-Glance Gap Summary</w:t>
      </w:r>
    </w:p>
    <w:p>
      <w:pPr>
        <w:spacing w:before="80" w:after="80"/>
      </w:pPr>
      <w:r>
        <w:rPr>
          <w:rFonts w:ascii="Arial" w:cs="Arial" w:eastAsia="Arial" w:hAnsi="Arial"/>
          <w:color w:val="1E2A35"/>
          <w:sz w:val="22"/>
          <w:szCs w:val="22"/>
        </w:rPr>
        <w:t xml:space="preserve">The table below summarizes all identified research gaps and opportunities: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Research Area</w:t>
            </w:r>
          </w:p>
        </w:tc>
        <w:tc>
          <w:tcPr>
            <w:tcW w:type="dxa" w:w="7160"/>
            <w:tcBorders>
              <w:top w:val="none" w:color="FFFFFF" w:sz="0"/>
              <w:left w:val="none" w:color="FFFFFF" w:sz="0"/>
              <w:bottom w:val="none" w:color="FFFFFF" w:sz="0"/>
              <w:right w:val="none" w:color="FFFFFF" w:sz="0"/>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Why It's a Gap &amp; Opportunity</w:t>
            </w:r>
          </w:p>
        </w:tc>
      </w:tr>
      <w:tr>
        <w:tc>
          <w:tcPr>
            <w:tcW w:type="dxa" w:w="220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b/>
                <w:bCs/>
                <w:color w:val="1A6B8A"/>
                <w:sz w:val="20"/>
                <w:szCs w:val="20"/>
              </w:rPr>
              <w:t xml:space="preserve">Neonatal &amp; Pediatric Sepsis</w:t>
            </w:r>
          </w:p>
        </w:tc>
        <w:tc>
          <w:tcPr>
            <w:tcW w:type="dxa" w:w="716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color w:val="1E2A35"/>
                <w:sz w:val="20"/>
                <w:szCs w:val="20"/>
              </w:rPr>
              <w:t xml:space="preserve">85% of studies are single-center, adult-focused. Neonatal sepsis has no universal definition. Prediction models for NICU and pediatric ED are severely underdeveloped, especially for LMICs.</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Low-Resource / LMIC Settings</w:t>
            </w:r>
          </w:p>
        </w:tc>
        <w:tc>
          <w:tcPr>
            <w:tcW w:type="dxa" w:w="71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color w:val="1E2A35"/>
                <w:sz w:val="20"/>
                <w:szCs w:val="20"/>
              </w:rPr>
              <w:t xml:space="preserve">The US, UK, China dominate research output, but 99% of neonatal sepsis deaths occur in LMICs. AI models trained on ICU data from high-resource hospitals fail to generalize.</w:t>
            </w:r>
          </w:p>
        </w:tc>
      </w:tr>
      <w:tr>
        <w:tc>
          <w:tcPr>
            <w:tcW w:type="dxa" w:w="220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b/>
                <w:bCs/>
                <w:color w:val="1A6B8A"/>
                <w:sz w:val="20"/>
                <w:szCs w:val="20"/>
              </w:rPr>
              <w:t xml:space="preserve">Explainable AI (XAI)</w:t>
            </w:r>
          </w:p>
        </w:tc>
        <w:tc>
          <w:tcPr>
            <w:tcW w:type="dxa" w:w="716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color w:val="1E2A35"/>
                <w:sz w:val="20"/>
                <w:szCs w:val="20"/>
              </w:rPr>
              <w:t xml:space="preserve">Most high-performing models (deep learning, XGBoost) are black boxes. XAI integration (SHAP, LIME, attention maps) is rare. Clinician trust depends on interpretability.</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Algorithmic Fairness &amp; Bias</w:t>
            </w:r>
          </w:p>
        </w:tc>
        <w:tc>
          <w:tcPr>
            <w:tcW w:type="dxa" w:w="71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color w:val="1E2A35"/>
                <w:sz w:val="20"/>
                <w:szCs w:val="20"/>
              </w:rPr>
              <w:t xml:space="preserve">Models rarely report demographic performance gaps. Data from minority/underrepresented groups is sparse. Racial, ethnic, and socioeconomic bias in prediction models is a documented, unaddressed issue.</w:t>
            </w:r>
          </w:p>
        </w:tc>
      </w:tr>
      <w:tr>
        <w:tc>
          <w:tcPr>
            <w:tcW w:type="dxa" w:w="220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b/>
                <w:bCs/>
                <w:color w:val="1A6B8A"/>
                <w:sz w:val="20"/>
                <w:szCs w:val="20"/>
              </w:rPr>
              <w:t xml:space="preserve">Federated Learning for Privacy</w:t>
            </w:r>
          </w:p>
        </w:tc>
        <w:tc>
          <w:tcPr>
            <w:tcW w:type="dxa" w:w="716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color w:val="1E2A35"/>
                <w:sz w:val="20"/>
                <w:szCs w:val="20"/>
              </w:rPr>
              <w:t xml:space="preserve">Clinical data is siloed. Federated learning allows multi-hospital model training without sharing raw data — but applications to sepsis are nascent and limited.</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Antimicrobial Resistance (AMR) Prediction</w:t>
            </w:r>
          </w:p>
        </w:tc>
        <w:tc>
          <w:tcPr>
            <w:tcW w:type="dxa" w:w="71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color w:val="1E2A35"/>
                <w:sz w:val="20"/>
                <w:szCs w:val="20"/>
              </w:rPr>
              <w:t xml:space="preserve">AI for predicting pathogen resistance and guiding antibiotic selection is early-stage. Overprescription due to poor early diagnosis is a global crisis.</w:t>
            </w:r>
          </w:p>
        </w:tc>
      </w:tr>
      <w:tr>
        <w:tc>
          <w:tcPr>
            <w:tcW w:type="dxa" w:w="220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b/>
                <w:bCs/>
                <w:color w:val="1A6B8A"/>
                <w:sz w:val="20"/>
                <w:szCs w:val="20"/>
              </w:rPr>
              <w:t xml:space="preserve">Wearable &amp; IoT Monitoring</w:t>
            </w:r>
          </w:p>
        </w:tc>
        <w:tc>
          <w:tcPr>
            <w:tcW w:type="dxa" w:w="716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color w:val="1E2A35"/>
                <w:sz w:val="20"/>
                <w:szCs w:val="20"/>
              </w:rPr>
              <w:t xml:space="preserve">Continuous, non-invasive sepsis monitoring using wearables is largely unexplored. Most models still rely on lab results, which are delayed and resource-intensive.</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Post-Sepsis Long-Term Outcomes</w:t>
            </w:r>
          </w:p>
        </w:tc>
        <w:tc>
          <w:tcPr>
            <w:tcW w:type="dxa" w:w="71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color w:val="1E2A35"/>
                <w:sz w:val="20"/>
                <w:szCs w:val="20"/>
              </w:rPr>
              <w:t xml:space="preserve">Neurodevelopmental outcomes in neonatal sepsis survivors and long-term morbidity post-sepsis in adults are severely underresearched.</w:t>
            </w:r>
          </w:p>
        </w:tc>
      </w:tr>
      <w:tr>
        <w:tc>
          <w:tcPr>
            <w:tcW w:type="dxa" w:w="220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b/>
                <w:bCs/>
                <w:color w:val="1A6B8A"/>
                <w:sz w:val="20"/>
                <w:szCs w:val="20"/>
              </w:rPr>
              <w:t xml:space="preserve">NLP on Clinical Notes</w:t>
            </w:r>
          </w:p>
        </w:tc>
        <w:tc>
          <w:tcPr>
            <w:tcW w:type="dxa" w:w="7160"/>
            <w:tcBorders>
              <w:top w:val="single" w:color="DDDDDD" w:sz="1"/>
              <w:left w:val="none" w:color="FFFFFF" w:sz="0"/>
              <w:bottom w:val="single" w:color="DDDDDD" w:sz="1"/>
              <w:right w:val="none" w:color="FFFFFF" w:sz="0"/>
            </w:tcBorders>
            <w:shd w:fill="F5FBFD" w:val="clear"/>
            <w:tcMar>
              <w:top w:type="dxa" w:w="80"/>
              <w:left w:type="dxa" w:w="120"/>
              <w:bottom w:type="dxa" w:w="80"/>
              <w:right w:type="dxa" w:w="120"/>
            </w:tcMar>
          </w:tcPr>
          <w:p>
            <w:r>
              <w:rPr>
                <w:rFonts w:ascii="Arial" w:cs="Arial" w:eastAsia="Arial" w:hAnsi="Arial"/>
                <w:color w:val="1E2A35"/>
                <w:sz w:val="20"/>
                <w:szCs w:val="20"/>
              </w:rPr>
              <w:t xml:space="preserve">Most models use structured EHR data. Rich unstructured clinical notes carry early warning signals. NLP/LLM-based extraction from free text is underutilized in sepsis.</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Reinforcement Learning for Treatment</w:t>
            </w:r>
          </w:p>
        </w:tc>
        <w:tc>
          <w:tcPr>
            <w:tcW w:type="dxa" w:w="71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Arial" w:cs="Arial" w:eastAsia="Arial" w:hAnsi="Arial"/>
                <w:color w:val="1E2A35"/>
                <w:sz w:val="20"/>
                <w:szCs w:val="20"/>
              </w:rPr>
              <w:t xml:space="preserve">AI for dynamic, adaptive treatment decisions (e.g., vasopressor dosing, fluid resuscitation) in septic shock is very early-stage with few validated models.</w:t>
            </w:r>
          </w:p>
        </w:tc>
      </w:tr>
    </w:tbl>
    <w:p>
      <w:pPr>
        <w:spacing w:before="160"/>
      </w:pPr>
      <w:r>
        <w:t xml:space="preserve"/>
      </w:r>
    </w:p>
    <w:p>
      <w:pPr>
        <w:pStyle w:val="Heading1"/>
        <w:pBdr>
          <w:bottom w:val="single" w:color="1A6B8A" w:sz="4" w:space="4"/>
        </w:pBdr>
        <w:spacing w:before="400" w:after="200"/>
      </w:pPr>
      <w:r>
        <w:rPr>
          <w:rFonts w:ascii="Arial" w:cs="Arial" w:eastAsia="Arial" w:hAnsi="Arial"/>
          <w:b/>
          <w:bCs/>
          <w:color w:val="1A6B8A"/>
          <w:sz w:val="36"/>
          <w:szCs w:val="36"/>
        </w:rPr>
        <w:t xml:space="preserve">8. Key References</w:t>
      </w:r>
    </w:p>
    <w:p>
      <w:pPr>
        <w:spacing w:before="80" w:after="80"/>
      </w:pPr>
      <w:r>
        <w:rPr>
          <w:rFonts w:ascii="Arial" w:cs="Arial" w:eastAsia="Arial" w:hAnsi="Arial"/>
          <w:color w:val="1E2A35"/>
          <w:sz w:val="22"/>
          <w:szCs w:val="22"/>
        </w:rPr>
        <w:t xml:space="preserve">The following peer-reviewed papers were used in compiling this report. All are open-access and can be read in full:</w:t>
      </w:r>
    </w:p>
    <w:p>
      <w:pPr>
        <w:spacing w:before="80"/>
      </w:pPr>
      <w:r>
        <w:t xml:space="preserve"/>
      </w:r>
    </w:p>
    <w:p>
      <w:pPr>
        <w:pStyle w:val="ListParagraph"/>
        <w:numPr>
          <w:ilvl w:val="0"/>
          <w:numId w:val="2"/>
        </w:numPr>
        <w:spacing w:before="40" w:after="40"/>
      </w:pPr>
      <w:r>
        <w:rPr>
          <w:rFonts w:ascii="Arial" w:cs="Arial" w:eastAsia="Arial" w:hAnsi="Arial"/>
          <w:color w:val="1E2A35"/>
          <w:sz w:val="22"/>
          <w:szCs w:val="22"/>
        </w:rPr>
        <w:t xml:space="preserve">Li et al. (2025). Harnessing artificial intelligence in sepsis care: advances in early detection, personalized treatment, and real-time monitoring. Frontiers in Medicine. doi:10.3389/fmed.2024.1510792</w:t>
      </w:r>
    </w:p>
    <w:p>
      <w:pPr>
        <w:pStyle w:val="ListParagraph"/>
        <w:numPr>
          <w:ilvl w:val="0"/>
          <w:numId w:val="2"/>
        </w:numPr>
        <w:spacing w:before="40" w:after="40"/>
      </w:pPr>
      <w:r>
        <w:rPr>
          <w:rFonts w:ascii="Arial" w:cs="Arial" w:eastAsia="Arial" w:hAnsi="Arial"/>
          <w:color w:val="1E2A35"/>
          <w:sz w:val="22"/>
          <w:szCs w:val="22"/>
        </w:rPr>
        <w:t xml:space="preserve">Stylianides et al. (2025). AI Advances in ICU with an Emphasis on Sepsis Prediction: An Overview. Machine Learning and Knowledge Extraction. doi:10.3390/make7010006</w:t>
      </w:r>
    </w:p>
    <w:p>
      <w:pPr>
        <w:pStyle w:val="ListParagraph"/>
        <w:numPr>
          <w:ilvl w:val="0"/>
          <w:numId w:val="2"/>
        </w:numPr>
        <w:spacing w:before="40" w:after="40"/>
      </w:pPr>
      <w:r>
        <w:rPr>
          <w:rFonts w:ascii="Arial" w:cs="Arial" w:eastAsia="Arial" w:hAnsi="Arial"/>
          <w:color w:val="1E2A35"/>
          <w:sz w:val="22"/>
          <w:szCs w:val="22"/>
        </w:rPr>
        <w:t xml:space="preserve">Schuetz et al. (2025). Transforming sepsis management: AI-driven innovations in early detection and tailored therapies. Critical Care. doi:10.1186/s13054-025-05588-0</w:t>
      </w:r>
    </w:p>
    <w:p>
      <w:pPr>
        <w:pStyle w:val="ListParagraph"/>
        <w:numPr>
          <w:ilvl w:val="0"/>
          <w:numId w:val="2"/>
        </w:numPr>
        <w:spacing w:before="40" w:after="40"/>
      </w:pPr>
      <w:r>
        <w:rPr>
          <w:rFonts w:ascii="Arial" w:cs="Arial" w:eastAsia="Arial" w:hAnsi="Arial"/>
          <w:color w:val="1E2A35"/>
          <w:sz w:val="22"/>
          <w:szCs w:val="22"/>
        </w:rPr>
        <w:t xml:space="preserve">Bosman et al. (2024). A scoping review on pediatric sepsis prediction technologies in healthcare. npj Digital Medicine. doi:10.1038/s41746-024-01361-9</w:t>
      </w:r>
    </w:p>
    <w:p>
      <w:pPr>
        <w:pStyle w:val="ListParagraph"/>
        <w:numPr>
          <w:ilvl w:val="0"/>
          <w:numId w:val="2"/>
        </w:numPr>
        <w:spacing w:before="40" w:after="40"/>
      </w:pPr>
      <w:r>
        <w:rPr>
          <w:rFonts w:ascii="Arial" w:cs="Arial" w:eastAsia="Arial" w:hAnsi="Arial"/>
          <w:color w:val="1E2A35"/>
          <w:sz w:val="22"/>
          <w:szCs w:val="22"/>
        </w:rPr>
        <w:t xml:space="preserve">Riahi et al. (2025). Exploring the Potentials of Artificial Intelligence in Sepsis Management in the ICU. Critical Care Research and Practice. doi:10.1155/ccrp/9031137</w:t>
      </w:r>
    </w:p>
    <w:p>
      <w:pPr>
        <w:pStyle w:val="ListParagraph"/>
        <w:numPr>
          <w:ilvl w:val="0"/>
          <w:numId w:val="2"/>
        </w:numPr>
        <w:spacing w:before="40" w:after="40"/>
      </w:pPr>
      <w:r>
        <w:rPr>
          <w:rFonts w:ascii="Arial" w:cs="Arial" w:eastAsia="Arial" w:hAnsi="Arial"/>
          <w:color w:val="1E2A35"/>
          <w:sz w:val="22"/>
          <w:szCs w:val="22"/>
        </w:rPr>
        <w:t xml:space="preserve">Khoushabar &amp; Ghafariasl (2026). Optimizing sepsis mortality prediction using hybrid federated learning and explainable AI framework. Scientific Reports. doi:10.1038/s41598-026-36245-3</w:t>
      </w:r>
    </w:p>
    <w:p>
      <w:pPr>
        <w:pStyle w:val="ListParagraph"/>
        <w:numPr>
          <w:ilvl w:val="0"/>
          <w:numId w:val="2"/>
        </w:numPr>
        <w:spacing w:before="40" w:after="40"/>
      </w:pPr>
      <w:r>
        <w:rPr>
          <w:rFonts w:ascii="Arial" w:cs="Arial" w:eastAsia="Arial" w:hAnsi="Arial"/>
          <w:color w:val="1E2A35"/>
          <w:sz w:val="22"/>
          <w:szCs w:val="22"/>
        </w:rPr>
        <w:t xml:space="preserve">Brooks et al. (2025). Mitigating Bias in Machine Learning Models with Ethics-Based Initiatives: The Case of Sepsis. American Journal of Bioethics.</w:t>
      </w:r>
    </w:p>
    <w:p>
      <w:pPr>
        <w:pStyle w:val="ListParagraph"/>
        <w:numPr>
          <w:ilvl w:val="0"/>
          <w:numId w:val="2"/>
        </w:numPr>
        <w:spacing w:before="40" w:after="40"/>
      </w:pPr>
      <w:r>
        <w:rPr>
          <w:rFonts w:ascii="Arial" w:cs="Arial" w:eastAsia="Arial" w:hAnsi="Arial"/>
          <w:color w:val="1E2A35"/>
          <w:sz w:val="22"/>
          <w:szCs w:val="22"/>
        </w:rPr>
        <w:t xml:space="preserve">Various Authors (2025). Clinical prediction models to diagnose neonatal sepsis in LMICs: a scoping review. BMJ Global Health. doi:10.1136/bmjgh-2024-017582</w:t>
      </w:r>
    </w:p>
    <w:p>
      <w:pPr>
        <w:pStyle w:val="ListParagraph"/>
        <w:numPr>
          <w:ilvl w:val="0"/>
          <w:numId w:val="2"/>
        </w:numPr>
        <w:spacing w:before="40" w:after="40"/>
      </w:pPr>
      <w:r>
        <w:rPr>
          <w:rFonts w:ascii="Arial" w:cs="Arial" w:eastAsia="Arial" w:hAnsi="Arial"/>
          <w:color w:val="1E2A35"/>
          <w:sz w:val="22"/>
          <w:szCs w:val="22"/>
        </w:rPr>
        <w:t xml:space="preserve">Lin et al. (2025). AI-Driven Innovations for Early Sepsis Detection by Combining Predictive Accuracy With Blood Count Analysis. JMIR. doi:10.2196/56155</w:t>
      </w:r>
    </w:p>
    <w:p>
      <w:pPr>
        <w:pStyle w:val="ListParagraph"/>
        <w:numPr>
          <w:ilvl w:val="0"/>
          <w:numId w:val="2"/>
        </w:numPr>
        <w:spacing w:before="40" w:after="40"/>
      </w:pPr>
      <w:r>
        <w:rPr>
          <w:rFonts w:ascii="Arial" w:cs="Arial" w:eastAsia="Arial" w:hAnsi="Arial"/>
          <w:color w:val="1E2A35"/>
          <w:sz w:val="22"/>
          <w:szCs w:val="22"/>
        </w:rPr>
        <w:t xml:space="preserve">Patel et al. (2025). Global Trends in Neonatal Sepsis: A Scopus Bibliometric Analysis 2015–2025. IntechOpen.</w:t>
      </w:r>
    </w:p>
    <w:p>
      <w:pPr>
        <w:spacing w:before="160"/>
      </w:pPr>
      <w:r>
        <w:t xml:space="preserve"/>
      </w:r>
    </w:p>
    <w:p>
      <w:pPr>
        <w:spacing w:before="200"/>
        <w:jc w:val="center"/>
      </w:pPr>
      <w:r>
        <w:rPr>
          <w:rFonts w:ascii="Arial" w:cs="Arial" w:eastAsia="Arial" w:hAnsi="Arial"/>
          <w:i/>
          <w:iCs/>
          <w:color w:val="666666"/>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4" w:space="4"/>
      </w:pBdr>
      <w:tabs>
        <w:tab w:val="right" w:pos="9360"/>
      </w:tabs>
    </w:pPr>
    <w:r>
      <w:rPr>
        <w:rFonts w:ascii="Arial" w:cs="Arial" w:eastAsia="Arial" w:hAnsi="Arial"/>
        <w:color w:val="666666"/>
        <w:sz w:val="16"/>
        <w:szCs w:val="16"/>
      </w:rPr>
      <w:t xml:space="preserve">Compiled February 2026 | Based on literature from PubMed, PMC, NEJM AI, Nature Digital Medicine, Frontiers, MDPI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4" w:space="4"/>
      </w:pBdr>
      <w:tabs>
        <w:tab w:val="right" w:pos="9360"/>
      </w:tabs>
    </w:pPr>
    <w:r>
      <w:rPr>
        <w:rFonts w:ascii="Arial" w:cs="Arial" w:eastAsia="Arial" w:hAnsi="Arial"/>
        <w:color w:val="1A6B8A"/>
        <w:sz w:val="18"/>
        <w:szCs w:val="18"/>
      </w:rPr>
      <w:t xml:space="preserve">AI/ML in Sepsis Research — Opportunity Landscape Report</w:t>
    </w:r>
    <w:r>
      <w:rPr>
        <w:rFonts w:ascii="Arial" w:cs="Arial" w:eastAsia="Arial" w:hAnsi="Arial"/>
        <w:sz w:val="18"/>
        <w:szCs w:val="18"/>
      </w:rPr>
      <w:t xml:space="preserve">	</w:t>
    </w:r>
    <w:r>
      <w:rPr>
        <w:rFonts w:ascii="Arial" w:cs="Arial" w:eastAsia="Arial" w:hAnsi="Arial"/>
        <w:color w:val="666666"/>
        <w:sz w:val="18"/>
        <w:szCs w:val="18"/>
      </w:rPr>
      <w:t xml:space="preserve">Confidential — For Academic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6B8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E2A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2026-02-26T08:43:06.058Z</dcterms:created>
  <dcterms:modified xsi:type="dcterms:W3CDTF">2026-02-26T08:43:06.059Z</dcterms:modified>
</cp:coreProperties>
</file>

<file path=docProps/custom.xml><?xml version="1.0" encoding="utf-8"?>
<Properties xmlns="http://schemas.openxmlformats.org/officeDocument/2006/custom-properties" xmlns:vt="http://schemas.openxmlformats.org/officeDocument/2006/docPropsVTypes"/>
</file>