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Theme &amp; Block Consistency Audit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Semantic color, surface, radius, control, and component consistency across the Payload website builder</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Codex</w:t>
            </w:r>
          </w:p>
          <w:p w14:paraId="00000007">
            <w:pPr>
              <w:spacing w:after="0" w:line="240" w:lineRule="auto"/>
              <w:rPr>
                <w:color w:val="666666"/>
              </w:rPr>
            </w:pPr>
            <w:r>
              <w:rPr>
                <w:color w:val="666666"/>
                <w:rtl w:val="0"/>
              </w:rPr>
              <w:t xml:space="preserve">August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Audit Health Score: 13/20 (Acceptable; significant work needed). The codebase has a credible semantic foundation: five scoped theme presets, shared section and card surface resolvers, a zero-safe radius scale, reusable content actions, and 91 passing focused contracts. The remaining risk is not absence of a design system; it is incomplete enforcement at the points where blocks compose supporting text, status colors, tabs, and specialized controls.</w:t>
      </w:r>
    </w:p>
    <w:p w14:paraId="00000019">
      <w:pPr>
        <w:rPr/>
      </w:pPr>
      <w:r>
        <w:rPr>
          <w:rtl w:val="0"/>
        </w:rPr>
        <w:t xml:space="preserve">The audit verified five P1 issues, four P2 issues, and two P3 observations. Release-priority work is contrast correction for muted and success states, removal of mode-dependent colors from fixed overlays, a keyboard-operable Services 21 selector, and a single surface-aware tab contract. No P0 blocker was found. The recommended direction is a role-based component system per deployment, not a multi-tenant theme marketplace.</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Strength. The core theme architecture is real rather than cosmetic: background/foreground, card, primary, secondary, accent, border, ring, and radius tokens are scoped per theme and mode.</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Risk. Several blocks bypass or partially duplicate shared presentation contracts, so similar elements can diverge in state color, active treatment, density, or surface awareness.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Priority. Repair semantic contrast first, consolidate Tabs and Action roles second, then enforce the system with a theme-and-block visual matrix.</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Scope covered the five theme files, global token bridge, custom surface CSS, shared block appearance/card/action/tab helpers, UI primitives, approximately 200 block source files, 53 Page-compatible blocks, generated block thumbnails, and focused integration contracts. The audit concentrated on visitor-facing blocks; Payload Admin-specific colors were treated as a separate product surface.</w:t>
      </w:r>
    </w:p>
    <w:p w14:paraId="00000020">
      <w:pPr>
        <w:rPr/>
      </w:pPr>
      <w:r>
        <w:rPr>
          <w:rtl w:val="0"/>
        </w:rPr>
        <w:t xml:space="preserve">Method combined deterministic anti-pattern scanning, source inventory, semantic contrast calculations from the repository OKLCH helper, representative thumbnail review, and focused tests. A live browser pass was attempted, but the browser runtime reported no available browser; responsive and dark-mode conclusions therefore use code and contract evidence rather than interactive screenshots.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theme system passes its currently asserted pairs, but those tests omit important real compositions. On muted surfaces, muted-foreground measures 4.34:1 in Default light, 4.41:1 in Sunset light, 4.41:1 in Blue light, and 4.48:1 in SNMIH light. Timeline completed steps use success with white text; that pair measures 3.07:1 in global dark, 4.09:1 in SNMIH light, and 2.93:1 in SNMIH dark. These are WCAG AA failures for normal text and icons carrying state.</w:t>
      </w:r>
    </w:p>
    <w:p w14:paraId="00000023">
      <w:pPr>
        <w:pStyle w:val="Heading2"/>
        <w:rPr/>
      </w:pPr>
      <w:r>
        <w:rPr>
          <w:rtl w:val="0"/>
        </w:rPr>
        <w:t xml:space="preserve">Context and conditions</w:t>
      </w:r>
    </w:p>
    <w:p w14:paraId="00000024">
      <w:pPr>
        <w:rPr/>
      </w:pPr>
      <w:r>
        <w:rPr>
          <w:rtl w:val="0"/>
        </w:rPr>
        <w:t xml:space="preserve">The strongest shared contracts are blockAppearance.ts, cardSurface.ts, ContentActions, Button, and contentTabRail.ts. However, card secondary copy still relies on 70-75% foreground alpha, fixed light overlays sometimes use a success token that changes with website mode, Tabs Content maintains a parallel four-variant implementation, and Services 21 duplicates button variants instead of consuming the common action resolver.</w:t>
      </w:r>
    </w:p>
    <w:p w14:paraId="00000025">
      <w:pPr>
        <w:pStyle w:val="Heading2"/>
        <w:rPr/>
      </w:pPr>
      <w:r>
        <w:rPr>
          <w:rtl w:val="0"/>
        </w:rPr>
        <w:t xml:space="preserve">Patterns in the evidence</w:t>
      </w:r>
    </w:p>
    <w:p w14:paraId="00000026">
      <w:pPr>
        <w:rPr/>
      </w:pPr>
      <w:r>
        <w:rPr>
          <w:rtl w:val="0"/>
        </w:rPr>
        <w:t xml:space="preserve">Visual evidence shows a coherent editorial rhythm, but component semantics are not yet explicit enough. Tabs share a family resemblance while varying rail fill, padding, alignment, and surface behavior. Cards follow theme radius mechanically, yet there is no role contract distinguishing panel, card, control, pill, media frame, and status badge. That makes consistency dependent on each block author choosing the same Tailwind scale.</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Do not redesign all 53 blocks individually. Stabilize a small semantic primitive layer, migrate the outliers, and make automated theme matrices the gate that prevents future drift.</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If these gaps remain, each new block can appear correct in the default screenshot while failing on a brand surface, a dark theme, or keyboard interaction. The cost grows combinatorially because every local exception must be reviewed across five themes, two modes, multiple surfaces, and responsive states.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System area</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Verified 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Product 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Color &amp; state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Muted/supporting and success pairs are not fully contrast-safe.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Dark mode can make status or secondary content unreadable.</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Components</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Tabs and specialized actions use parallel contracts.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Similar controls can drift in geometry, state, and focus behavior.</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Governance</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Tests validate token files more than rendered compositions.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Regressions can pass CI until a particular block/theme combination is viewed.</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Implement in three bounded phases. Preserve the incumbent editorial identity and the one-client-per-deployment model; the objective is predictable composition, not additional editor choices.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Repair semantic contrast.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Add explicit success-foreground and surface-supporting tokens; remove white from Timeline success states; keep fixed overlay colors independent of website mode; expand contrast tests to muted, status, overlay, and alpha-composited supporting pairs.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Consolidate component roles.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Create surface-aware TabRail/Tab, Action, StatusBadge, CardFrame, FormControl, and IconButton contracts. Migrate Tabs Content, Services 21, Quote ratings, Timeline status, and compact card actions before touching stable blocks.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Establish a visual contract.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Add a development Theme Lab that renders primitives across all five themes and both modes. Run screenshot and keyboard checks for the client-approved 18-block vocabulary, plus source/parity smoke coverage for the advanced library. Finish with a live browser pass at phone and desktop widths.</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The current system is close to an industry-standard foundation because it already has semantic ownership and strong registration tests. The next improvement should make those semantics complete and unavoidable: authors choose a role and surface, while the system supplies foreground, background, border, radius, state, and focus behavior.</w:t>
      </w:r>
    </w:p>
    <w:p w14:paraId="0000003F">
      <w:pPr>
        <w:rPr/>
      </w:pPr>
      <w:r>
        <w:rPr>
          <w:rtl w:val="0"/>
        </w:rPr>
        <w:t xml:space="preserve">After the three phases, every client deployment can lock its active theme with confidence while retaining the same approved block vocabulary. This strengthens single-client delivery without adding tenant switching, marketplaces, or per-page visual-system fragmentation.</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Audit scores: Accessibility 2/4; Performance 3/4; Responsive Design 3/4; Theming 3/4; Implementation Integrity 2/4. Total 13/20. Positive evidence includes semantic section/card surfaces, zero-safe radius scaling, shared content actions, accessible tab keyboard patterns in most blocks, reduced-motion work, and comprehensive generated thumbnails.</w:t>
      </w:r>
    </w:p>
    <w:p w14:paraId="00000043">
      <w:pPr>
        <w:rPr/>
      </w:pPr>
      <w:r>
        <w:rPr>
          <w:rtl w:val="0"/>
        </w:rPr>
        <w:t xml:space="preserve">Priority locations: Timeline Component line 49; Leadership Profiles Component line 155; Services 21 component lines 132-151; cardSurface lines 32, 46, and 137; contentTabRail lines 9-25; TabsContentClient lines 97-170; Services21 block wrapper lines 40-52; QuoteBlock line 44; and theme-contracts test contrast pair list lines 8-17.</w:t>
      </w:r>
    </w:p>
    <w:bookmarkStart w:colFirst="0" w:colLast="0" w:name="bookmark=id.nnk1eebni0ji" w:id="10"/>
    <w:bookmarkEnd w:id="10"/>
    <w:p w14:paraId="00000044">
      <w:pPr>
        <w:pStyle w:val="Heading2"/>
        <w:rPr/>
      </w:pPr>
      <w:r>
        <w:rPr>
          <w:rtl w:val="0"/>
        </w:rPr>
        <w:t xml:space="preserve">Source placeholders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Repository source: src/styles/globals.css, src/styles/themes/*.css, and src/styles/custom.css.</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Shared contracts: src/blocks/shared/{blockAppearance,cardSurface,contentTabRail,contentStyles}.ts and src/components/{ContentActions,ui/button}.tsx.</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Verification: 91 focused integration tests passed; deterministic detector returned two advisory findings (Quote side accent and Inter usage).</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Visual evidence: retained block thumbnails for Tabs Content, Academic Programmes, Fee Structure, News &amp; Events Tabs, Contact 33, and Icon Grid.</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Verification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The retained reference, its embedded fonts, image, styles, tables, headers, footers, and section geometry were preserved. Live browser inspection and DOCX PNG rendering were unavailable in this environment and should be completed before treating the report as a final visual sign-off.</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Theme &amp; Block Consistency Audit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August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