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07712F" w:rsidRPr="0007712F" w:rsidRDefault="0007712F" w:rsidP="0007712F">
      <w:pPr>
        <w:spacing w:after="0" w:line="240" w:lineRule="auto"/>
        <w:rPr>
          <w:rFonts w:eastAsia="Times New Roman" w:cstheme="minorHAnsi"/>
          <w:sz w:val="24"/>
          <w:szCs w:val="24"/>
          <w:lang w:eastAsia="en-IN"/>
        </w:rPr>
      </w:pPr>
      <w:r w:rsidRPr="0007712F">
        <w:rPr>
          <w:rFonts w:eastAsia="Times New Roman" w:cstheme="minorHAnsi"/>
          <w:sz w:val="24"/>
          <w:szCs w:val="24"/>
          <w:lang w:eastAsia="en-IN"/>
        </w:rPr>
        <w:pict>
          <v:rect id="_x0000_i1025" style="width:0;height:1.5pt" o:hralign="center" o:hrstd="t" o:hr="t" fillcolor="#a0a0a0" stroked="f"/>
        </w:pict>
      </w:r>
    </w:p>
    <w:p w:rsidR="0007712F" w:rsidRPr="0007712F" w:rsidRDefault="0007712F" w:rsidP="0007712F">
      <w:pPr>
        <w:spacing w:before="100" w:beforeAutospacing="1" w:after="100" w:afterAutospacing="1" w:line="240" w:lineRule="auto"/>
        <w:outlineLvl w:val="0"/>
        <w:rPr>
          <w:rFonts w:eastAsia="Times New Roman" w:cstheme="minorHAnsi"/>
          <w:b/>
          <w:bCs/>
          <w:kern w:val="36"/>
          <w:sz w:val="48"/>
          <w:szCs w:val="48"/>
          <w:lang w:eastAsia="en-IN"/>
        </w:rPr>
      </w:pPr>
      <w:r w:rsidRPr="0007712F">
        <w:rPr>
          <w:rFonts w:eastAsia="Times New Roman" w:cstheme="minorHAnsi"/>
          <w:b/>
          <w:bCs/>
          <w:kern w:val="36"/>
          <w:sz w:val="48"/>
          <w:szCs w:val="48"/>
          <w:lang w:eastAsia="en-IN"/>
        </w:rPr>
        <w:t>Executive Summary – Master Circular on Housing Finance</w:t>
      </w:r>
    </w:p>
    <w:p w:rsidR="0007712F" w:rsidRPr="0007712F" w:rsidRDefault="0007712F" w:rsidP="0007712F">
      <w:pPr>
        <w:spacing w:after="0" w:line="240" w:lineRule="auto"/>
        <w:rPr>
          <w:rFonts w:eastAsia="Times New Roman" w:cstheme="minorHAnsi"/>
          <w:sz w:val="24"/>
          <w:szCs w:val="24"/>
          <w:lang w:eastAsia="en-IN"/>
        </w:rPr>
      </w:pPr>
      <w:r w:rsidRPr="0007712F">
        <w:rPr>
          <w:rFonts w:eastAsia="Times New Roman" w:cstheme="minorHAnsi"/>
          <w:sz w:val="24"/>
          <w:szCs w:val="24"/>
          <w:lang w:eastAsia="en-IN"/>
        </w:rPr>
        <w:pict>
          <v:rect id="_x0000_i1026" style="width:0;height:1.5pt" o:hralign="center" o:hrstd="t" o:hr="t" fillcolor="#a0a0a0" stroked="f"/>
        </w:pict>
      </w:r>
    </w:p>
    <w:p w:rsidR="0007712F" w:rsidRPr="0007712F" w:rsidRDefault="0007712F" w:rsidP="0007712F">
      <w:pPr>
        <w:spacing w:before="100" w:beforeAutospacing="1" w:after="100" w:afterAutospacing="1" w:line="240" w:lineRule="auto"/>
        <w:outlineLvl w:val="1"/>
        <w:rPr>
          <w:rFonts w:eastAsia="Times New Roman" w:cstheme="minorHAnsi"/>
          <w:b/>
          <w:bCs/>
          <w:sz w:val="36"/>
          <w:szCs w:val="36"/>
          <w:lang w:eastAsia="en-IN"/>
        </w:rPr>
      </w:pPr>
      <w:r w:rsidRPr="0007712F">
        <w:rPr>
          <w:rFonts w:eastAsia="Times New Roman" w:cstheme="minorHAnsi"/>
          <w:b/>
          <w:bCs/>
          <w:sz w:val="36"/>
          <w:szCs w:val="36"/>
          <w:lang w:eastAsia="en-IN"/>
        </w:rPr>
        <w:t>Circular Number and Issue Date</w:t>
      </w:r>
    </w:p>
    <w:p w:rsidR="0007712F" w:rsidRPr="0007712F" w:rsidRDefault="0007712F" w:rsidP="0007712F">
      <w:p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b/>
          <w:bCs/>
          <w:sz w:val="24"/>
          <w:szCs w:val="24"/>
          <w:lang w:eastAsia="en-IN"/>
        </w:rPr>
        <w:t xml:space="preserve">RBI/2024-25/11 | </w:t>
      </w:r>
      <w:proofErr w:type="gramStart"/>
      <w:r w:rsidRPr="0007712F">
        <w:rPr>
          <w:rFonts w:eastAsia="Times New Roman" w:cstheme="minorHAnsi"/>
          <w:b/>
          <w:bCs/>
          <w:sz w:val="24"/>
          <w:szCs w:val="24"/>
          <w:lang w:eastAsia="en-IN"/>
        </w:rPr>
        <w:t>DOR.CRE.REC.No.</w:t>
      </w:r>
      <w:proofErr w:type="gramEnd"/>
      <w:r w:rsidRPr="0007712F">
        <w:rPr>
          <w:rFonts w:eastAsia="Times New Roman" w:cstheme="minorHAnsi"/>
          <w:b/>
          <w:bCs/>
          <w:sz w:val="24"/>
          <w:szCs w:val="24"/>
          <w:lang w:eastAsia="en-IN"/>
        </w:rPr>
        <w:t>07/08.12.001/2024-25</w:t>
      </w:r>
      <w:r w:rsidRPr="0007712F">
        <w:rPr>
          <w:rFonts w:eastAsia="Times New Roman" w:cstheme="minorHAnsi"/>
          <w:sz w:val="24"/>
          <w:szCs w:val="24"/>
          <w:lang w:eastAsia="en-IN"/>
        </w:rPr>
        <w:br/>
      </w:r>
      <w:r w:rsidRPr="0007712F">
        <w:rPr>
          <w:rFonts w:eastAsia="Times New Roman" w:cstheme="minorHAnsi"/>
          <w:b/>
          <w:bCs/>
          <w:sz w:val="24"/>
          <w:szCs w:val="24"/>
          <w:lang w:eastAsia="en-IN"/>
        </w:rPr>
        <w:t>Date of Issue:</w:t>
      </w:r>
      <w:r w:rsidRPr="0007712F">
        <w:rPr>
          <w:rFonts w:eastAsia="Times New Roman" w:cstheme="minorHAnsi"/>
          <w:sz w:val="24"/>
          <w:szCs w:val="24"/>
          <w:lang w:eastAsia="en-IN"/>
        </w:rPr>
        <w:t xml:space="preserve"> April 02, 2024</w:t>
      </w:r>
    </w:p>
    <w:p w:rsidR="0007712F" w:rsidRPr="0007712F" w:rsidRDefault="0007712F" w:rsidP="0007712F">
      <w:pPr>
        <w:spacing w:after="0" w:line="240" w:lineRule="auto"/>
        <w:rPr>
          <w:rFonts w:eastAsia="Times New Roman" w:cstheme="minorHAnsi"/>
          <w:sz w:val="24"/>
          <w:szCs w:val="24"/>
          <w:lang w:eastAsia="en-IN"/>
        </w:rPr>
      </w:pPr>
      <w:r w:rsidRPr="0007712F">
        <w:rPr>
          <w:rFonts w:eastAsia="Times New Roman" w:cstheme="minorHAnsi"/>
          <w:sz w:val="24"/>
          <w:szCs w:val="24"/>
          <w:lang w:eastAsia="en-IN"/>
        </w:rPr>
        <w:pict>
          <v:rect id="_x0000_i1027" style="width:0;height:1.5pt" o:hralign="center" o:hrstd="t" o:hr="t" fillcolor="#a0a0a0" stroked="f"/>
        </w:pict>
      </w:r>
    </w:p>
    <w:p w:rsidR="0007712F" w:rsidRPr="0007712F" w:rsidRDefault="0007712F" w:rsidP="0007712F">
      <w:pPr>
        <w:spacing w:before="100" w:beforeAutospacing="1" w:after="100" w:afterAutospacing="1" w:line="240" w:lineRule="auto"/>
        <w:outlineLvl w:val="1"/>
        <w:rPr>
          <w:rFonts w:eastAsia="Times New Roman" w:cstheme="minorHAnsi"/>
          <w:b/>
          <w:bCs/>
          <w:sz w:val="36"/>
          <w:szCs w:val="36"/>
          <w:lang w:eastAsia="en-IN"/>
        </w:rPr>
      </w:pPr>
      <w:r w:rsidRPr="0007712F">
        <w:rPr>
          <w:rFonts w:eastAsia="Times New Roman" w:cstheme="minorHAnsi"/>
          <w:b/>
          <w:bCs/>
          <w:sz w:val="36"/>
          <w:szCs w:val="36"/>
          <w:lang w:eastAsia="en-IN"/>
        </w:rPr>
        <w:t>Introduction and Objective</w:t>
      </w:r>
    </w:p>
    <w:p w:rsidR="0007712F" w:rsidRPr="0007712F" w:rsidRDefault="0007712F" w:rsidP="0007712F">
      <w:p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The Reserve Bank of India (RBI) has issued this Master Circular to consolidate and rationalize all existing regulatory instructions pertaining to housing finance for Scheduled Commercial Banks. The circular provides a unified framework covering loan eligibility, prudential norms, exposure limits, risk management, and fair lending practices. Its primary objective is to ensure consistency in credit appraisal, strengthen risk controls in real estate lending, and safeguard borrower interests. The circular also reinforces compliance with statutory requirements related to property legality, construction approvals, and end-use of funds. While largely consolidative in nature, it enhances regulatory clarity and operational discipline. It serves as a comprehensive reference point for all housing finance-related activities.</w:t>
      </w:r>
    </w:p>
    <w:p w:rsidR="0007712F" w:rsidRPr="0007712F" w:rsidRDefault="0007712F" w:rsidP="0007712F">
      <w:pPr>
        <w:spacing w:after="0" w:line="240" w:lineRule="auto"/>
        <w:rPr>
          <w:rFonts w:eastAsia="Times New Roman" w:cstheme="minorHAnsi"/>
          <w:sz w:val="24"/>
          <w:szCs w:val="24"/>
          <w:lang w:eastAsia="en-IN"/>
        </w:rPr>
      </w:pPr>
      <w:r w:rsidRPr="0007712F">
        <w:rPr>
          <w:rFonts w:eastAsia="Times New Roman" w:cstheme="minorHAnsi"/>
          <w:sz w:val="24"/>
          <w:szCs w:val="24"/>
          <w:lang w:eastAsia="en-IN"/>
        </w:rPr>
        <w:pict>
          <v:rect id="_x0000_i1028" style="width:0;height:1.5pt" o:hralign="center" o:hrstd="t" o:hr="t" fillcolor="#a0a0a0" stroked="f"/>
        </w:pict>
      </w:r>
    </w:p>
    <w:p w:rsidR="0007712F" w:rsidRPr="0007712F" w:rsidRDefault="0007712F" w:rsidP="0007712F">
      <w:pPr>
        <w:spacing w:before="100" w:beforeAutospacing="1" w:after="100" w:afterAutospacing="1" w:line="240" w:lineRule="auto"/>
        <w:outlineLvl w:val="1"/>
        <w:rPr>
          <w:rFonts w:eastAsia="Times New Roman" w:cstheme="minorHAnsi"/>
          <w:b/>
          <w:bCs/>
          <w:sz w:val="36"/>
          <w:szCs w:val="36"/>
          <w:lang w:eastAsia="en-IN"/>
        </w:rPr>
      </w:pPr>
      <w:r w:rsidRPr="0007712F">
        <w:rPr>
          <w:rFonts w:eastAsia="Times New Roman" w:cstheme="minorHAnsi"/>
          <w:b/>
          <w:bCs/>
          <w:sz w:val="36"/>
          <w:szCs w:val="36"/>
          <w:lang w:eastAsia="en-IN"/>
        </w:rPr>
        <w:t>Key Changes</w:t>
      </w:r>
    </w:p>
    <w:p w:rsidR="0007712F" w:rsidRPr="0007712F" w:rsidRDefault="0007712F" w:rsidP="0007712F">
      <w:pPr>
        <w:numPr>
          <w:ilvl w:val="0"/>
          <w:numId w:val="1"/>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Consolidation of all previous RBI circulars on housing finance into a single master document </w:t>
      </w:r>
    </w:p>
    <w:p w:rsidR="0007712F" w:rsidRPr="0007712F" w:rsidRDefault="0007712F" w:rsidP="0007712F">
      <w:pPr>
        <w:numPr>
          <w:ilvl w:val="0"/>
          <w:numId w:val="1"/>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Reinforcement of </w:t>
      </w:r>
      <w:r w:rsidRPr="0007712F">
        <w:rPr>
          <w:rFonts w:eastAsia="Times New Roman" w:cstheme="minorHAnsi"/>
          <w:b/>
          <w:bCs/>
          <w:sz w:val="24"/>
          <w:szCs w:val="24"/>
          <w:lang w:eastAsia="en-IN"/>
        </w:rPr>
        <w:t>Loan-to-Value (LTV) ratio norms</w:t>
      </w:r>
      <w:r w:rsidRPr="0007712F">
        <w:rPr>
          <w:rFonts w:eastAsia="Times New Roman" w:cstheme="minorHAnsi"/>
          <w:sz w:val="24"/>
          <w:szCs w:val="24"/>
          <w:lang w:eastAsia="en-IN"/>
        </w:rPr>
        <w:t xml:space="preserve"> and </w:t>
      </w:r>
      <w:r w:rsidRPr="0007712F">
        <w:rPr>
          <w:rFonts w:eastAsia="Times New Roman" w:cstheme="minorHAnsi"/>
          <w:b/>
          <w:bCs/>
          <w:sz w:val="24"/>
          <w:szCs w:val="24"/>
          <w:lang w:eastAsia="en-IN"/>
        </w:rPr>
        <w:t>risk weight application</w:t>
      </w:r>
      <w:r w:rsidRPr="0007712F">
        <w:rPr>
          <w:rFonts w:eastAsia="Times New Roman" w:cstheme="minorHAnsi"/>
          <w:sz w:val="24"/>
          <w:szCs w:val="24"/>
          <w:lang w:eastAsia="en-IN"/>
        </w:rPr>
        <w:t xml:space="preserve"> </w:t>
      </w:r>
    </w:p>
    <w:p w:rsidR="0007712F" w:rsidRPr="0007712F" w:rsidRDefault="0007712F" w:rsidP="0007712F">
      <w:pPr>
        <w:numPr>
          <w:ilvl w:val="0"/>
          <w:numId w:val="1"/>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Strengthened due diligence requirements for: </w:t>
      </w:r>
    </w:p>
    <w:p w:rsidR="0007712F" w:rsidRPr="0007712F" w:rsidRDefault="0007712F" w:rsidP="0007712F">
      <w:pPr>
        <w:numPr>
          <w:ilvl w:val="1"/>
          <w:numId w:val="1"/>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Property legality and approvals </w:t>
      </w:r>
    </w:p>
    <w:p w:rsidR="0007712F" w:rsidRPr="0007712F" w:rsidRDefault="0007712F" w:rsidP="0007712F">
      <w:pPr>
        <w:numPr>
          <w:ilvl w:val="1"/>
          <w:numId w:val="1"/>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Builder credentials and project compliance </w:t>
      </w:r>
    </w:p>
    <w:p w:rsidR="0007712F" w:rsidRPr="0007712F" w:rsidRDefault="0007712F" w:rsidP="0007712F">
      <w:pPr>
        <w:numPr>
          <w:ilvl w:val="0"/>
          <w:numId w:val="1"/>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Mandatory enforcement of </w:t>
      </w:r>
      <w:r w:rsidRPr="0007712F">
        <w:rPr>
          <w:rFonts w:eastAsia="Times New Roman" w:cstheme="minorHAnsi"/>
          <w:b/>
          <w:bCs/>
          <w:sz w:val="24"/>
          <w:szCs w:val="24"/>
          <w:lang w:eastAsia="en-IN"/>
        </w:rPr>
        <w:t>stage-wise loan disbursement</w:t>
      </w:r>
      <w:r w:rsidRPr="0007712F">
        <w:rPr>
          <w:rFonts w:eastAsia="Times New Roman" w:cstheme="minorHAnsi"/>
          <w:sz w:val="24"/>
          <w:szCs w:val="24"/>
          <w:lang w:eastAsia="en-IN"/>
        </w:rPr>
        <w:t xml:space="preserve"> linked to construction progress </w:t>
      </w:r>
    </w:p>
    <w:p w:rsidR="0007712F" w:rsidRPr="0007712F" w:rsidRDefault="0007712F" w:rsidP="0007712F">
      <w:pPr>
        <w:numPr>
          <w:ilvl w:val="0"/>
          <w:numId w:val="1"/>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Restrictions on financing: </w:t>
      </w:r>
    </w:p>
    <w:p w:rsidR="0007712F" w:rsidRPr="0007712F" w:rsidRDefault="0007712F" w:rsidP="0007712F">
      <w:pPr>
        <w:numPr>
          <w:ilvl w:val="1"/>
          <w:numId w:val="1"/>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Unauthorized constructions </w:t>
      </w:r>
    </w:p>
    <w:p w:rsidR="0007712F" w:rsidRPr="0007712F" w:rsidRDefault="0007712F" w:rsidP="0007712F">
      <w:pPr>
        <w:numPr>
          <w:ilvl w:val="1"/>
          <w:numId w:val="1"/>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Speculative or non-productive real estate activities </w:t>
      </w:r>
    </w:p>
    <w:p w:rsidR="0007712F" w:rsidRPr="0007712F" w:rsidRDefault="0007712F" w:rsidP="0007712F">
      <w:pPr>
        <w:numPr>
          <w:ilvl w:val="0"/>
          <w:numId w:val="1"/>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Clarification on inclusion/exclusion of </w:t>
      </w:r>
      <w:r w:rsidRPr="0007712F">
        <w:rPr>
          <w:rFonts w:eastAsia="Times New Roman" w:cstheme="minorHAnsi"/>
          <w:b/>
          <w:bCs/>
          <w:sz w:val="24"/>
          <w:szCs w:val="24"/>
          <w:lang w:eastAsia="en-IN"/>
        </w:rPr>
        <w:t>stamp duty and registration charges</w:t>
      </w:r>
      <w:r w:rsidRPr="0007712F">
        <w:rPr>
          <w:rFonts w:eastAsia="Times New Roman" w:cstheme="minorHAnsi"/>
          <w:sz w:val="24"/>
          <w:szCs w:val="24"/>
          <w:lang w:eastAsia="en-IN"/>
        </w:rPr>
        <w:t xml:space="preserve"> in property valuation </w:t>
      </w:r>
    </w:p>
    <w:p w:rsidR="0007712F" w:rsidRPr="0007712F" w:rsidRDefault="0007712F" w:rsidP="0007712F">
      <w:pPr>
        <w:numPr>
          <w:ilvl w:val="0"/>
          <w:numId w:val="1"/>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lastRenderedPageBreak/>
        <w:t xml:space="preserve">Alignment with </w:t>
      </w:r>
      <w:r w:rsidRPr="0007712F">
        <w:rPr>
          <w:rFonts w:eastAsia="Times New Roman" w:cstheme="minorHAnsi"/>
          <w:b/>
          <w:bCs/>
          <w:sz w:val="24"/>
          <w:szCs w:val="24"/>
          <w:lang w:eastAsia="en-IN"/>
        </w:rPr>
        <w:t>Priority Sector Lending (PSL)</w:t>
      </w:r>
      <w:r w:rsidRPr="0007712F">
        <w:rPr>
          <w:rFonts w:eastAsia="Times New Roman" w:cstheme="minorHAnsi"/>
          <w:sz w:val="24"/>
          <w:szCs w:val="24"/>
          <w:lang w:eastAsia="en-IN"/>
        </w:rPr>
        <w:t xml:space="preserve"> and </w:t>
      </w:r>
      <w:r w:rsidRPr="0007712F">
        <w:rPr>
          <w:rFonts w:eastAsia="Times New Roman" w:cstheme="minorHAnsi"/>
          <w:b/>
          <w:bCs/>
          <w:sz w:val="24"/>
          <w:szCs w:val="24"/>
          <w:lang w:eastAsia="en-IN"/>
        </w:rPr>
        <w:t>Commercial Real Estate (CRE)</w:t>
      </w:r>
      <w:r w:rsidRPr="0007712F">
        <w:rPr>
          <w:rFonts w:eastAsia="Times New Roman" w:cstheme="minorHAnsi"/>
          <w:sz w:val="24"/>
          <w:szCs w:val="24"/>
          <w:lang w:eastAsia="en-IN"/>
        </w:rPr>
        <w:t xml:space="preserve"> exposure norms </w:t>
      </w:r>
    </w:p>
    <w:p w:rsidR="0007712F" w:rsidRPr="0007712F" w:rsidRDefault="0007712F" w:rsidP="0007712F">
      <w:pPr>
        <w:numPr>
          <w:ilvl w:val="0"/>
          <w:numId w:val="1"/>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Emphasis on borrower transparency, documentation, and fair lending practices </w:t>
      </w:r>
    </w:p>
    <w:p w:rsidR="0007712F" w:rsidRPr="0007712F" w:rsidRDefault="0007712F" w:rsidP="0007712F">
      <w:pPr>
        <w:spacing w:after="0" w:line="240" w:lineRule="auto"/>
        <w:rPr>
          <w:rFonts w:eastAsia="Times New Roman" w:cstheme="minorHAnsi"/>
          <w:sz w:val="24"/>
          <w:szCs w:val="24"/>
          <w:lang w:eastAsia="en-IN"/>
        </w:rPr>
      </w:pPr>
      <w:r w:rsidRPr="0007712F">
        <w:rPr>
          <w:rFonts w:eastAsia="Times New Roman" w:cstheme="minorHAnsi"/>
          <w:sz w:val="24"/>
          <w:szCs w:val="24"/>
          <w:lang w:eastAsia="en-IN"/>
        </w:rPr>
        <w:pict>
          <v:rect id="_x0000_i1029" style="width:0;height:1.5pt" o:hralign="center" o:hrstd="t" o:hr="t" fillcolor="#a0a0a0" stroked="f"/>
        </w:pict>
      </w:r>
    </w:p>
    <w:p w:rsidR="0007712F" w:rsidRPr="0007712F" w:rsidRDefault="0007712F" w:rsidP="0007712F">
      <w:pPr>
        <w:spacing w:before="100" w:beforeAutospacing="1" w:after="100" w:afterAutospacing="1" w:line="240" w:lineRule="auto"/>
        <w:outlineLvl w:val="1"/>
        <w:rPr>
          <w:rFonts w:eastAsia="Times New Roman" w:cstheme="minorHAnsi"/>
          <w:b/>
          <w:bCs/>
          <w:sz w:val="36"/>
          <w:szCs w:val="36"/>
          <w:lang w:eastAsia="en-IN"/>
        </w:rPr>
      </w:pPr>
      <w:r w:rsidRPr="0007712F">
        <w:rPr>
          <w:rFonts w:eastAsia="Times New Roman" w:cstheme="minorHAnsi"/>
          <w:b/>
          <w:bCs/>
          <w:sz w:val="36"/>
          <w:szCs w:val="36"/>
          <w:lang w:eastAsia="en-IN"/>
        </w:rPr>
        <w:t>Applicability</w:t>
      </w:r>
    </w:p>
    <w:p w:rsidR="0007712F" w:rsidRPr="0007712F" w:rsidRDefault="0007712F" w:rsidP="0007712F">
      <w:pPr>
        <w:spacing w:before="100" w:beforeAutospacing="1" w:after="100" w:afterAutospacing="1" w:line="240" w:lineRule="auto"/>
        <w:outlineLvl w:val="2"/>
        <w:rPr>
          <w:rFonts w:eastAsia="Times New Roman" w:cstheme="minorHAnsi"/>
          <w:b/>
          <w:bCs/>
          <w:sz w:val="27"/>
          <w:szCs w:val="27"/>
          <w:lang w:eastAsia="en-IN"/>
        </w:rPr>
      </w:pPr>
      <w:r w:rsidRPr="0007712F">
        <w:rPr>
          <w:rFonts w:eastAsia="Times New Roman" w:cstheme="minorHAnsi"/>
          <w:b/>
          <w:bCs/>
          <w:sz w:val="27"/>
          <w:szCs w:val="27"/>
          <w:lang w:eastAsia="en-IN"/>
        </w:rPr>
        <w:t>Organizations Impacted</w:t>
      </w:r>
    </w:p>
    <w:p w:rsidR="0007712F" w:rsidRPr="0007712F" w:rsidRDefault="0007712F" w:rsidP="0007712F">
      <w:pPr>
        <w:numPr>
          <w:ilvl w:val="0"/>
          <w:numId w:val="2"/>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Scheduled Commercial Banks (excluding Regional Rural Banks) </w:t>
      </w:r>
    </w:p>
    <w:p w:rsidR="0007712F" w:rsidRPr="0007712F" w:rsidRDefault="0007712F" w:rsidP="0007712F">
      <w:pPr>
        <w:spacing w:before="100" w:beforeAutospacing="1" w:after="100" w:afterAutospacing="1" w:line="240" w:lineRule="auto"/>
        <w:outlineLvl w:val="2"/>
        <w:rPr>
          <w:rFonts w:eastAsia="Times New Roman" w:cstheme="minorHAnsi"/>
          <w:b/>
          <w:bCs/>
          <w:sz w:val="27"/>
          <w:szCs w:val="27"/>
          <w:lang w:eastAsia="en-IN"/>
        </w:rPr>
      </w:pPr>
      <w:r w:rsidRPr="0007712F">
        <w:rPr>
          <w:rFonts w:eastAsia="Times New Roman" w:cstheme="minorHAnsi"/>
          <w:b/>
          <w:bCs/>
          <w:sz w:val="27"/>
          <w:szCs w:val="27"/>
          <w:lang w:eastAsia="en-IN"/>
        </w:rPr>
        <w:t>Processes Impacted</w:t>
      </w:r>
    </w:p>
    <w:p w:rsidR="0007712F" w:rsidRPr="0007712F" w:rsidRDefault="0007712F" w:rsidP="0007712F">
      <w:pPr>
        <w:numPr>
          <w:ilvl w:val="0"/>
          <w:numId w:val="3"/>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b/>
          <w:bCs/>
          <w:sz w:val="24"/>
          <w:szCs w:val="24"/>
          <w:lang w:eastAsia="en-IN"/>
        </w:rPr>
        <w:t>Loan Origination:</w:t>
      </w:r>
      <w:r w:rsidRPr="0007712F">
        <w:rPr>
          <w:rFonts w:eastAsia="Times New Roman" w:cstheme="minorHAnsi"/>
          <w:sz w:val="24"/>
          <w:szCs w:val="24"/>
          <w:lang w:eastAsia="en-IN"/>
        </w:rPr>
        <w:t xml:space="preserve"> Enhanced borrower and property due diligence </w:t>
      </w:r>
    </w:p>
    <w:p w:rsidR="0007712F" w:rsidRPr="0007712F" w:rsidRDefault="0007712F" w:rsidP="0007712F">
      <w:pPr>
        <w:numPr>
          <w:ilvl w:val="0"/>
          <w:numId w:val="3"/>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b/>
          <w:bCs/>
          <w:sz w:val="24"/>
          <w:szCs w:val="24"/>
          <w:lang w:eastAsia="en-IN"/>
        </w:rPr>
        <w:t>Credit Appraisal:</w:t>
      </w:r>
      <w:r w:rsidRPr="0007712F">
        <w:rPr>
          <w:rFonts w:eastAsia="Times New Roman" w:cstheme="minorHAnsi"/>
          <w:sz w:val="24"/>
          <w:szCs w:val="24"/>
          <w:lang w:eastAsia="en-IN"/>
        </w:rPr>
        <w:t xml:space="preserve"> Strict LTV and risk weight enforcement </w:t>
      </w:r>
    </w:p>
    <w:p w:rsidR="0007712F" w:rsidRPr="0007712F" w:rsidRDefault="0007712F" w:rsidP="0007712F">
      <w:pPr>
        <w:numPr>
          <w:ilvl w:val="0"/>
          <w:numId w:val="3"/>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b/>
          <w:bCs/>
          <w:sz w:val="24"/>
          <w:szCs w:val="24"/>
          <w:lang w:eastAsia="en-IN"/>
        </w:rPr>
        <w:t>Loan Disbursement:</w:t>
      </w:r>
      <w:r w:rsidRPr="0007712F">
        <w:rPr>
          <w:rFonts w:eastAsia="Times New Roman" w:cstheme="minorHAnsi"/>
          <w:sz w:val="24"/>
          <w:szCs w:val="24"/>
          <w:lang w:eastAsia="en-IN"/>
        </w:rPr>
        <w:t xml:space="preserve"> Stage-based disbursement controls </w:t>
      </w:r>
    </w:p>
    <w:p w:rsidR="0007712F" w:rsidRPr="0007712F" w:rsidRDefault="0007712F" w:rsidP="0007712F">
      <w:pPr>
        <w:numPr>
          <w:ilvl w:val="0"/>
          <w:numId w:val="3"/>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b/>
          <w:bCs/>
          <w:sz w:val="24"/>
          <w:szCs w:val="24"/>
          <w:lang w:eastAsia="en-IN"/>
        </w:rPr>
        <w:t>Compliance &amp; Audit:</w:t>
      </w:r>
      <w:r w:rsidRPr="0007712F">
        <w:rPr>
          <w:rFonts w:eastAsia="Times New Roman" w:cstheme="minorHAnsi"/>
          <w:sz w:val="24"/>
          <w:szCs w:val="24"/>
          <w:lang w:eastAsia="en-IN"/>
        </w:rPr>
        <w:t xml:space="preserve"> Documentation validation and reporting </w:t>
      </w:r>
    </w:p>
    <w:p w:rsidR="0007712F" w:rsidRPr="0007712F" w:rsidRDefault="0007712F" w:rsidP="0007712F">
      <w:pPr>
        <w:numPr>
          <w:ilvl w:val="0"/>
          <w:numId w:val="3"/>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b/>
          <w:bCs/>
          <w:sz w:val="24"/>
          <w:szCs w:val="24"/>
          <w:lang w:eastAsia="en-IN"/>
        </w:rPr>
        <w:t>Legal &amp; Technical Verification:</w:t>
      </w:r>
      <w:r w:rsidRPr="0007712F">
        <w:rPr>
          <w:rFonts w:eastAsia="Times New Roman" w:cstheme="minorHAnsi"/>
          <w:sz w:val="24"/>
          <w:szCs w:val="24"/>
          <w:lang w:eastAsia="en-IN"/>
        </w:rPr>
        <w:t xml:space="preserve"> Property title and approval checks </w:t>
      </w:r>
    </w:p>
    <w:p w:rsidR="0007712F" w:rsidRPr="0007712F" w:rsidRDefault="0007712F" w:rsidP="0007712F">
      <w:pPr>
        <w:spacing w:before="100" w:beforeAutospacing="1" w:after="100" w:afterAutospacing="1" w:line="240" w:lineRule="auto"/>
        <w:outlineLvl w:val="2"/>
        <w:rPr>
          <w:rFonts w:eastAsia="Times New Roman" w:cstheme="minorHAnsi"/>
          <w:b/>
          <w:bCs/>
          <w:sz w:val="27"/>
          <w:szCs w:val="27"/>
          <w:lang w:eastAsia="en-IN"/>
        </w:rPr>
      </w:pPr>
      <w:r w:rsidRPr="0007712F">
        <w:rPr>
          <w:rFonts w:eastAsia="Times New Roman" w:cstheme="minorHAnsi"/>
          <w:b/>
          <w:bCs/>
          <w:sz w:val="27"/>
          <w:szCs w:val="27"/>
          <w:lang w:eastAsia="en-IN"/>
        </w:rPr>
        <w:t>Departments Impacted</w:t>
      </w:r>
    </w:p>
    <w:p w:rsidR="0007712F" w:rsidRPr="0007712F" w:rsidRDefault="0007712F" w:rsidP="0007712F">
      <w:pPr>
        <w:numPr>
          <w:ilvl w:val="0"/>
          <w:numId w:val="4"/>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Credit, Risk Management, Compliance, Operations, Legal, IT, Customer Service </w:t>
      </w:r>
    </w:p>
    <w:p w:rsidR="0007712F" w:rsidRPr="0007712F" w:rsidRDefault="0007712F" w:rsidP="0007712F">
      <w:pPr>
        <w:spacing w:after="0" w:line="240" w:lineRule="auto"/>
        <w:rPr>
          <w:rFonts w:eastAsia="Times New Roman" w:cstheme="minorHAnsi"/>
          <w:sz w:val="24"/>
          <w:szCs w:val="24"/>
          <w:lang w:eastAsia="en-IN"/>
        </w:rPr>
      </w:pPr>
      <w:r w:rsidRPr="0007712F">
        <w:rPr>
          <w:rFonts w:eastAsia="Times New Roman" w:cstheme="minorHAnsi"/>
          <w:sz w:val="24"/>
          <w:szCs w:val="24"/>
          <w:lang w:eastAsia="en-IN"/>
        </w:rPr>
        <w:pict>
          <v:rect id="_x0000_i1030" style="width:0;height:1.5pt" o:hralign="center" o:hrstd="t" o:hr="t" fillcolor="#a0a0a0" stroked="f"/>
        </w:pict>
      </w:r>
    </w:p>
    <w:p w:rsidR="0007712F" w:rsidRPr="0007712F" w:rsidRDefault="0007712F" w:rsidP="0007712F">
      <w:pPr>
        <w:spacing w:before="100" w:beforeAutospacing="1" w:after="100" w:afterAutospacing="1" w:line="240" w:lineRule="auto"/>
        <w:outlineLvl w:val="1"/>
        <w:rPr>
          <w:rFonts w:eastAsia="Times New Roman" w:cstheme="minorHAnsi"/>
          <w:b/>
          <w:bCs/>
          <w:sz w:val="36"/>
          <w:szCs w:val="36"/>
          <w:lang w:eastAsia="en-IN"/>
        </w:rPr>
      </w:pPr>
      <w:r w:rsidRPr="0007712F">
        <w:rPr>
          <w:rFonts w:eastAsia="Times New Roman" w:cstheme="minorHAnsi"/>
          <w:b/>
          <w:bCs/>
          <w:sz w:val="36"/>
          <w:szCs w:val="36"/>
          <w:lang w:eastAsia="en-IN"/>
        </w:rPr>
        <w:t>Risks of Non-Compliance</w:t>
      </w:r>
    </w:p>
    <w:p w:rsidR="0007712F" w:rsidRPr="0007712F" w:rsidRDefault="0007712F" w:rsidP="0007712F">
      <w:pPr>
        <w:spacing w:before="100" w:beforeAutospacing="1" w:after="100" w:afterAutospacing="1" w:line="240" w:lineRule="auto"/>
        <w:outlineLvl w:val="2"/>
        <w:rPr>
          <w:rFonts w:eastAsia="Times New Roman" w:cstheme="minorHAnsi"/>
          <w:b/>
          <w:bCs/>
          <w:sz w:val="27"/>
          <w:szCs w:val="27"/>
          <w:lang w:eastAsia="en-IN"/>
        </w:rPr>
      </w:pPr>
      <w:r w:rsidRPr="0007712F">
        <w:rPr>
          <w:rFonts w:eastAsia="Times New Roman" w:cstheme="minorHAnsi"/>
          <w:b/>
          <w:bCs/>
          <w:sz w:val="27"/>
          <w:szCs w:val="27"/>
          <w:lang w:eastAsia="en-IN"/>
        </w:rPr>
        <w:t>Qualitative Risks</w:t>
      </w:r>
    </w:p>
    <w:p w:rsidR="0007712F" w:rsidRPr="0007712F" w:rsidRDefault="0007712F" w:rsidP="0007712F">
      <w:pPr>
        <w:numPr>
          <w:ilvl w:val="0"/>
          <w:numId w:val="5"/>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Regulatory action by RBI, including penalties and supervisory restrictions </w:t>
      </w:r>
    </w:p>
    <w:p w:rsidR="0007712F" w:rsidRPr="0007712F" w:rsidRDefault="0007712F" w:rsidP="0007712F">
      <w:pPr>
        <w:numPr>
          <w:ilvl w:val="0"/>
          <w:numId w:val="5"/>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Reputational damage due to financing non-compliant or unauthorized properties </w:t>
      </w:r>
    </w:p>
    <w:p w:rsidR="0007712F" w:rsidRPr="0007712F" w:rsidRDefault="0007712F" w:rsidP="0007712F">
      <w:pPr>
        <w:numPr>
          <w:ilvl w:val="0"/>
          <w:numId w:val="5"/>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Increased legal disputes arising from borrower or builder non-compliance </w:t>
      </w:r>
    </w:p>
    <w:p w:rsidR="0007712F" w:rsidRPr="0007712F" w:rsidRDefault="0007712F" w:rsidP="0007712F">
      <w:pPr>
        <w:numPr>
          <w:ilvl w:val="0"/>
          <w:numId w:val="5"/>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Weak governance perception impacting stakeholder confidence </w:t>
      </w:r>
    </w:p>
    <w:p w:rsidR="0007712F" w:rsidRPr="0007712F" w:rsidRDefault="0007712F" w:rsidP="0007712F">
      <w:pPr>
        <w:spacing w:before="100" w:beforeAutospacing="1" w:after="100" w:afterAutospacing="1" w:line="240" w:lineRule="auto"/>
        <w:outlineLvl w:val="2"/>
        <w:rPr>
          <w:rFonts w:eastAsia="Times New Roman" w:cstheme="minorHAnsi"/>
          <w:b/>
          <w:bCs/>
          <w:sz w:val="27"/>
          <w:szCs w:val="27"/>
          <w:lang w:eastAsia="en-IN"/>
        </w:rPr>
      </w:pPr>
      <w:r w:rsidRPr="0007712F">
        <w:rPr>
          <w:rFonts w:eastAsia="Times New Roman" w:cstheme="minorHAnsi"/>
          <w:b/>
          <w:bCs/>
          <w:sz w:val="27"/>
          <w:szCs w:val="27"/>
          <w:lang w:eastAsia="en-IN"/>
        </w:rPr>
        <w:t>Quantitative Risks</w:t>
      </w:r>
    </w:p>
    <w:p w:rsidR="0007712F" w:rsidRPr="0007712F" w:rsidRDefault="0007712F" w:rsidP="0007712F">
      <w:pPr>
        <w:numPr>
          <w:ilvl w:val="0"/>
          <w:numId w:val="6"/>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Increase in </w:t>
      </w:r>
      <w:r w:rsidRPr="0007712F">
        <w:rPr>
          <w:rFonts w:eastAsia="Times New Roman" w:cstheme="minorHAnsi"/>
          <w:b/>
          <w:bCs/>
          <w:sz w:val="24"/>
          <w:szCs w:val="24"/>
          <w:lang w:eastAsia="en-IN"/>
        </w:rPr>
        <w:t>Non-Performing Assets (NPAs)</w:t>
      </w:r>
      <w:r w:rsidRPr="0007712F">
        <w:rPr>
          <w:rFonts w:eastAsia="Times New Roman" w:cstheme="minorHAnsi"/>
          <w:sz w:val="24"/>
          <w:szCs w:val="24"/>
          <w:lang w:eastAsia="en-IN"/>
        </w:rPr>
        <w:t xml:space="preserve"> due to poor credit appraisal </w:t>
      </w:r>
    </w:p>
    <w:p w:rsidR="0007712F" w:rsidRPr="0007712F" w:rsidRDefault="0007712F" w:rsidP="0007712F">
      <w:pPr>
        <w:numPr>
          <w:ilvl w:val="0"/>
          <w:numId w:val="6"/>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Capital adequacy impact due to incorrect </w:t>
      </w:r>
      <w:r w:rsidRPr="0007712F">
        <w:rPr>
          <w:rFonts w:eastAsia="Times New Roman" w:cstheme="minorHAnsi"/>
          <w:b/>
          <w:bCs/>
          <w:sz w:val="24"/>
          <w:szCs w:val="24"/>
          <w:lang w:eastAsia="en-IN"/>
        </w:rPr>
        <w:t>risk weight assignment</w:t>
      </w:r>
      <w:r w:rsidRPr="0007712F">
        <w:rPr>
          <w:rFonts w:eastAsia="Times New Roman" w:cstheme="minorHAnsi"/>
          <w:sz w:val="24"/>
          <w:szCs w:val="24"/>
          <w:lang w:eastAsia="en-IN"/>
        </w:rPr>
        <w:t xml:space="preserve"> </w:t>
      </w:r>
    </w:p>
    <w:p w:rsidR="0007712F" w:rsidRPr="0007712F" w:rsidRDefault="0007712F" w:rsidP="0007712F">
      <w:pPr>
        <w:numPr>
          <w:ilvl w:val="0"/>
          <w:numId w:val="6"/>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Financial losses from: </w:t>
      </w:r>
    </w:p>
    <w:p w:rsidR="0007712F" w:rsidRPr="0007712F" w:rsidRDefault="0007712F" w:rsidP="0007712F">
      <w:pPr>
        <w:numPr>
          <w:ilvl w:val="1"/>
          <w:numId w:val="6"/>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Project delays or non-completion </w:t>
      </w:r>
    </w:p>
    <w:p w:rsidR="0007712F" w:rsidRPr="0007712F" w:rsidRDefault="0007712F" w:rsidP="0007712F">
      <w:pPr>
        <w:numPr>
          <w:ilvl w:val="1"/>
          <w:numId w:val="6"/>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Diversion or misuse of funds </w:t>
      </w:r>
    </w:p>
    <w:p w:rsidR="0007712F" w:rsidRPr="0007712F" w:rsidRDefault="0007712F" w:rsidP="0007712F">
      <w:pPr>
        <w:numPr>
          <w:ilvl w:val="0"/>
          <w:numId w:val="6"/>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Higher provisioning requirements for real estate exposure </w:t>
      </w:r>
    </w:p>
    <w:p w:rsidR="0007712F" w:rsidRPr="0007712F" w:rsidRDefault="0007712F" w:rsidP="0007712F">
      <w:pPr>
        <w:spacing w:after="0" w:line="240" w:lineRule="auto"/>
        <w:rPr>
          <w:rFonts w:eastAsia="Times New Roman" w:cstheme="minorHAnsi"/>
          <w:sz w:val="24"/>
          <w:szCs w:val="24"/>
          <w:lang w:eastAsia="en-IN"/>
        </w:rPr>
      </w:pPr>
      <w:r w:rsidRPr="0007712F">
        <w:rPr>
          <w:rFonts w:eastAsia="Times New Roman" w:cstheme="minorHAnsi"/>
          <w:sz w:val="24"/>
          <w:szCs w:val="24"/>
          <w:lang w:eastAsia="en-IN"/>
        </w:rPr>
        <w:pict>
          <v:rect id="_x0000_i1031" style="width:0;height:1.5pt" o:hralign="center" o:hrstd="t" o:hr="t" fillcolor="#a0a0a0" stroked="f"/>
        </w:pict>
      </w:r>
    </w:p>
    <w:p w:rsidR="0007712F" w:rsidRPr="0007712F" w:rsidRDefault="0007712F" w:rsidP="0007712F">
      <w:pPr>
        <w:spacing w:before="100" w:beforeAutospacing="1" w:after="100" w:afterAutospacing="1" w:line="240" w:lineRule="auto"/>
        <w:outlineLvl w:val="1"/>
        <w:rPr>
          <w:rFonts w:eastAsia="Times New Roman" w:cstheme="minorHAnsi"/>
          <w:b/>
          <w:bCs/>
          <w:sz w:val="36"/>
          <w:szCs w:val="36"/>
          <w:lang w:eastAsia="en-IN"/>
        </w:rPr>
      </w:pPr>
      <w:r w:rsidRPr="0007712F">
        <w:rPr>
          <w:rFonts w:eastAsia="Times New Roman" w:cstheme="minorHAnsi"/>
          <w:b/>
          <w:bCs/>
          <w:sz w:val="36"/>
          <w:szCs w:val="36"/>
          <w:lang w:eastAsia="en-IN"/>
        </w:rPr>
        <w:lastRenderedPageBreak/>
        <w:t>Immediate Actions</w:t>
      </w:r>
    </w:p>
    <w:p w:rsidR="0007712F" w:rsidRPr="0007712F" w:rsidRDefault="0007712F" w:rsidP="0007712F">
      <w:pPr>
        <w:spacing w:before="100" w:beforeAutospacing="1" w:after="100" w:afterAutospacing="1" w:line="240" w:lineRule="auto"/>
        <w:outlineLvl w:val="2"/>
        <w:rPr>
          <w:rFonts w:eastAsia="Times New Roman" w:cstheme="minorHAnsi"/>
          <w:b/>
          <w:bCs/>
          <w:sz w:val="27"/>
          <w:szCs w:val="27"/>
          <w:lang w:eastAsia="en-IN"/>
        </w:rPr>
      </w:pPr>
      <w:r w:rsidRPr="0007712F">
        <w:rPr>
          <w:rFonts w:eastAsia="Times New Roman" w:cstheme="minorHAnsi"/>
          <w:b/>
          <w:bCs/>
          <w:sz w:val="27"/>
          <w:szCs w:val="27"/>
          <w:lang w:eastAsia="en-IN"/>
        </w:rPr>
        <w:t>Action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3"/>
        <w:gridCol w:w="884"/>
        <w:gridCol w:w="1120"/>
        <w:gridCol w:w="2199"/>
      </w:tblGrid>
      <w:tr w:rsidR="0007712F" w:rsidRPr="0007712F" w:rsidTr="0007712F">
        <w:trPr>
          <w:tblHeader/>
          <w:tblCellSpacing w:w="15" w:type="dxa"/>
        </w:trPr>
        <w:tc>
          <w:tcPr>
            <w:tcW w:w="0" w:type="auto"/>
            <w:vAlign w:val="center"/>
            <w:hideMark/>
          </w:tcPr>
          <w:p w:rsidR="0007712F" w:rsidRPr="0007712F" w:rsidRDefault="0007712F" w:rsidP="0007712F">
            <w:pPr>
              <w:spacing w:after="0" w:line="240" w:lineRule="auto"/>
              <w:jc w:val="center"/>
              <w:rPr>
                <w:rFonts w:eastAsia="Times New Roman" w:cstheme="minorHAnsi"/>
                <w:b/>
                <w:bCs/>
                <w:sz w:val="24"/>
                <w:szCs w:val="24"/>
                <w:lang w:eastAsia="en-IN"/>
              </w:rPr>
            </w:pPr>
            <w:r w:rsidRPr="0007712F">
              <w:rPr>
                <w:rFonts w:eastAsia="Times New Roman" w:cstheme="minorHAnsi"/>
                <w:b/>
                <w:bCs/>
                <w:sz w:val="24"/>
                <w:szCs w:val="24"/>
                <w:lang w:eastAsia="en-IN"/>
              </w:rPr>
              <w:t>Action Area</w:t>
            </w:r>
          </w:p>
        </w:tc>
        <w:tc>
          <w:tcPr>
            <w:tcW w:w="0" w:type="auto"/>
            <w:vAlign w:val="center"/>
            <w:hideMark/>
          </w:tcPr>
          <w:p w:rsidR="0007712F" w:rsidRPr="0007712F" w:rsidRDefault="0007712F" w:rsidP="0007712F">
            <w:pPr>
              <w:spacing w:after="0" w:line="240" w:lineRule="auto"/>
              <w:jc w:val="center"/>
              <w:rPr>
                <w:rFonts w:eastAsia="Times New Roman" w:cstheme="minorHAnsi"/>
                <w:b/>
                <w:bCs/>
                <w:sz w:val="24"/>
                <w:szCs w:val="24"/>
                <w:lang w:eastAsia="en-IN"/>
              </w:rPr>
            </w:pPr>
            <w:r w:rsidRPr="0007712F">
              <w:rPr>
                <w:rFonts w:eastAsia="Times New Roman" w:cstheme="minorHAnsi"/>
                <w:b/>
                <w:bCs/>
                <w:sz w:val="24"/>
                <w:szCs w:val="24"/>
                <w:lang w:eastAsia="en-IN"/>
              </w:rPr>
              <w:t>Priority</w:t>
            </w:r>
          </w:p>
        </w:tc>
        <w:tc>
          <w:tcPr>
            <w:tcW w:w="0" w:type="auto"/>
            <w:vAlign w:val="center"/>
            <w:hideMark/>
          </w:tcPr>
          <w:p w:rsidR="0007712F" w:rsidRPr="0007712F" w:rsidRDefault="0007712F" w:rsidP="0007712F">
            <w:pPr>
              <w:spacing w:after="0" w:line="240" w:lineRule="auto"/>
              <w:jc w:val="center"/>
              <w:rPr>
                <w:rFonts w:eastAsia="Times New Roman" w:cstheme="minorHAnsi"/>
                <w:b/>
                <w:bCs/>
                <w:sz w:val="24"/>
                <w:szCs w:val="24"/>
                <w:lang w:eastAsia="en-IN"/>
              </w:rPr>
            </w:pPr>
            <w:r w:rsidRPr="0007712F">
              <w:rPr>
                <w:rFonts w:eastAsia="Times New Roman" w:cstheme="minorHAnsi"/>
                <w:b/>
                <w:bCs/>
                <w:sz w:val="24"/>
                <w:szCs w:val="24"/>
                <w:lang w:eastAsia="en-IN"/>
              </w:rPr>
              <w:t>Timeline</w:t>
            </w:r>
          </w:p>
        </w:tc>
        <w:tc>
          <w:tcPr>
            <w:tcW w:w="0" w:type="auto"/>
            <w:vAlign w:val="center"/>
            <w:hideMark/>
          </w:tcPr>
          <w:p w:rsidR="0007712F" w:rsidRPr="0007712F" w:rsidRDefault="0007712F" w:rsidP="0007712F">
            <w:pPr>
              <w:spacing w:after="0" w:line="240" w:lineRule="auto"/>
              <w:jc w:val="center"/>
              <w:rPr>
                <w:rFonts w:eastAsia="Times New Roman" w:cstheme="minorHAnsi"/>
                <w:b/>
                <w:bCs/>
                <w:sz w:val="24"/>
                <w:szCs w:val="24"/>
                <w:lang w:eastAsia="en-IN"/>
              </w:rPr>
            </w:pPr>
            <w:r w:rsidRPr="0007712F">
              <w:rPr>
                <w:rFonts w:eastAsia="Times New Roman" w:cstheme="minorHAnsi"/>
                <w:b/>
                <w:bCs/>
                <w:sz w:val="24"/>
                <w:szCs w:val="24"/>
                <w:lang w:eastAsia="en-IN"/>
              </w:rPr>
              <w:t>Responsible Function</w:t>
            </w:r>
          </w:p>
        </w:tc>
      </w:tr>
      <w:tr w:rsidR="0007712F" w:rsidRPr="0007712F" w:rsidTr="0007712F">
        <w:trPr>
          <w:tblCellSpacing w:w="15" w:type="dxa"/>
        </w:trPr>
        <w:tc>
          <w:tcPr>
            <w:tcW w:w="0" w:type="auto"/>
            <w:vAlign w:val="center"/>
            <w:hideMark/>
          </w:tcPr>
          <w:p w:rsidR="0007712F" w:rsidRPr="0007712F" w:rsidRDefault="0007712F" w:rsidP="0007712F">
            <w:pPr>
              <w:spacing w:after="0" w:line="240" w:lineRule="auto"/>
              <w:rPr>
                <w:rFonts w:eastAsia="Times New Roman" w:cstheme="minorHAnsi"/>
                <w:sz w:val="24"/>
                <w:szCs w:val="24"/>
                <w:lang w:eastAsia="en-IN"/>
              </w:rPr>
            </w:pPr>
            <w:r w:rsidRPr="0007712F">
              <w:rPr>
                <w:rFonts w:eastAsia="Times New Roman" w:cstheme="minorHAnsi"/>
                <w:sz w:val="24"/>
                <w:szCs w:val="24"/>
                <w:lang w:eastAsia="en-IN"/>
              </w:rPr>
              <w:t>Policy Alignment with RBI Guidelines</w:t>
            </w:r>
          </w:p>
        </w:tc>
        <w:tc>
          <w:tcPr>
            <w:tcW w:w="0" w:type="auto"/>
            <w:vAlign w:val="center"/>
            <w:hideMark/>
          </w:tcPr>
          <w:p w:rsidR="0007712F" w:rsidRPr="0007712F" w:rsidRDefault="0007712F" w:rsidP="0007712F">
            <w:pPr>
              <w:spacing w:after="0" w:line="240" w:lineRule="auto"/>
              <w:rPr>
                <w:rFonts w:eastAsia="Times New Roman" w:cstheme="minorHAnsi"/>
                <w:sz w:val="24"/>
                <w:szCs w:val="24"/>
                <w:lang w:eastAsia="en-IN"/>
              </w:rPr>
            </w:pPr>
            <w:r w:rsidRPr="0007712F">
              <w:rPr>
                <w:rFonts w:eastAsia="Times New Roman" w:cstheme="minorHAnsi"/>
                <w:sz w:val="24"/>
                <w:szCs w:val="24"/>
                <w:lang w:eastAsia="en-IN"/>
              </w:rPr>
              <w:t>High</w:t>
            </w:r>
          </w:p>
        </w:tc>
        <w:tc>
          <w:tcPr>
            <w:tcW w:w="0" w:type="auto"/>
            <w:vAlign w:val="center"/>
            <w:hideMark/>
          </w:tcPr>
          <w:p w:rsidR="0007712F" w:rsidRPr="0007712F" w:rsidRDefault="0007712F" w:rsidP="0007712F">
            <w:pPr>
              <w:spacing w:after="0" w:line="240" w:lineRule="auto"/>
              <w:rPr>
                <w:rFonts w:eastAsia="Times New Roman" w:cstheme="minorHAnsi"/>
                <w:sz w:val="24"/>
                <w:szCs w:val="24"/>
                <w:lang w:eastAsia="en-IN"/>
              </w:rPr>
            </w:pPr>
            <w:r w:rsidRPr="0007712F">
              <w:rPr>
                <w:rFonts w:eastAsia="Times New Roman" w:cstheme="minorHAnsi"/>
                <w:sz w:val="24"/>
                <w:szCs w:val="24"/>
                <w:lang w:eastAsia="en-IN"/>
              </w:rPr>
              <w:t>Immediate</w:t>
            </w:r>
          </w:p>
        </w:tc>
        <w:tc>
          <w:tcPr>
            <w:tcW w:w="0" w:type="auto"/>
            <w:vAlign w:val="center"/>
            <w:hideMark/>
          </w:tcPr>
          <w:p w:rsidR="0007712F" w:rsidRPr="0007712F" w:rsidRDefault="0007712F" w:rsidP="0007712F">
            <w:pPr>
              <w:spacing w:after="0" w:line="240" w:lineRule="auto"/>
              <w:rPr>
                <w:rFonts w:eastAsia="Times New Roman" w:cstheme="minorHAnsi"/>
                <w:sz w:val="24"/>
                <w:szCs w:val="24"/>
                <w:lang w:eastAsia="en-IN"/>
              </w:rPr>
            </w:pPr>
            <w:r w:rsidRPr="0007712F">
              <w:rPr>
                <w:rFonts w:eastAsia="Times New Roman" w:cstheme="minorHAnsi"/>
                <w:sz w:val="24"/>
                <w:szCs w:val="24"/>
                <w:lang w:eastAsia="en-IN"/>
              </w:rPr>
              <w:t>Compliance / Risk</w:t>
            </w:r>
          </w:p>
        </w:tc>
      </w:tr>
      <w:tr w:rsidR="0007712F" w:rsidRPr="0007712F" w:rsidTr="0007712F">
        <w:trPr>
          <w:tblCellSpacing w:w="15" w:type="dxa"/>
        </w:trPr>
        <w:tc>
          <w:tcPr>
            <w:tcW w:w="0" w:type="auto"/>
            <w:vAlign w:val="center"/>
            <w:hideMark/>
          </w:tcPr>
          <w:p w:rsidR="0007712F" w:rsidRPr="0007712F" w:rsidRDefault="0007712F" w:rsidP="0007712F">
            <w:pPr>
              <w:spacing w:after="0" w:line="240" w:lineRule="auto"/>
              <w:rPr>
                <w:rFonts w:eastAsia="Times New Roman" w:cstheme="minorHAnsi"/>
                <w:sz w:val="24"/>
                <w:szCs w:val="24"/>
                <w:lang w:eastAsia="en-IN"/>
              </w:rPr>
            </w:pPr>
            <w:r w:rsidRPr="0007712F">
              <w:rPr>
                <w:rFonts w:eastAsia="Times New Roman" w:cstheme="minorHAnsi"/>
                <w:sz w:val="24"/>
                <w:szCs w:val="24"/>
                <w:lang w:eastAsia="en-IN"/>
              </w:rPr>
              <w:t>Strengthening Credit Appraisal Controls</w:t>
            </w:r>
          </w:p>
        </w:tc>
        <w:tc>
          <w:tcPr>
            <w:tcW w:w="0" w:type="auto"/>
            <w:vAlign w:val="center"/>
            <w:hideMark/>
          </w:tcPr>
          <w:p w:rsidR="0007712F" w:rsidRPr="0007712F" w:rsidRDefault="0007712F" w:rsidP="0007712F">
            <w:pPr>
              <w:spacing w:after="0" w:line="240" w:lineRule="auto"/>
              <w:rPr>
                <w:rFonts w:eastAsia="Times New Roman" w:cstheme="minorHAnsi"/>
                <w:sz w:val="24"/>
                <w:szCs w:val="24"/>
                <w:lang w:eastAsia="en-IN"/>
              </w:rPr>
            </w:pPr>
            <w:r w:rsidRPr="0007712F">
              <w:rPr>
                <w:rFonts w:eastAsia="Times New Roman" w:cstheme="minorHAnsi"/>
                <w:sz w:val="24"/>
                <w:szCs w:val="24"/>
                <w:lang w:eastAsia="en-IN"/>
              </w:rPr>
              <w:t>High</w:t>
            </w:r>
          </w:p>
        </w:tc>
        <w:tc>
          <w:tcPr>
            <w:tcW w:w="0" w:type="auto"/>
            <w:vAlign w:val="center"/>
            <w:hideMark/>
          </w:tcPr>
          <w:p w:rsidR="0007712F" w:rsidRPr="0007712F" w:rsidRDefault="0007712F" w:rsidP="0007712F">
            <w:pPr>
              <w:spacing w:after="0" w:line="240" w:lineRule="auto"/>
              <w:rPr>
                <w:rFonts w:eastAsia="Times New Roman" w:cstheme="minorHAnsi"/>
                <w:sz w:val="24"/>
                <w:szCs w:val="24"/>
                <w:lang w:eastAsia="en-IN"/>
              </w:rPr>
            </w:pPr>
            <w:r w:rsidRPr="0007712F">
              <w:rPr>
                <w:rFonts w:eastAsia="Times New Roman" w:cstheme="minorHAnsi"/>
                <w:sz w:val="24"/>
                <w:szCs w:val="24"/>
                <w:lang w:eastAsia="en-IN"/>
              </w:rPr>
              <w:t>2–4 weeks</w:t>
            </w:r>
          </w:p>
        </w:tc>
        <w:tc>
          <w:tcPr>
            <w:tcW w:w="0" w:type="auto"/>
            <w:vAlign w:val="center"/>
            <w:hideMark/>
          </w:tcPr>
          <w:p w:rsidR="0007712F" w:rsidRPr="0007712F" w:rsidRDefault="0007712F" w:rsidP="0007712F">
            <w:pPr>
              <w:spacing w:after="0" w:line="240" w:lineRule="auto"/>
              <w:rPr>
                <w:rFonts w:eastAsia="Times New Roman" w:cstheme="minorHAnsi"/>
                <w:sz w:val="24"/>
                <w:szCs w:val="24"/>
                <w:lang w:eastAsia="en-IN"/>
              </w:rPr>
            </w:pPr>
            <w:r w:rsidRPr="0007712F">
              <w:rPr>
                <w:rFonts w:eastAsia="Times New Roman" w:cstheme="minorHAnsi"/>
                <w:sz w:val="24"/>
                <w:szCs w:val="24"/>
                <w:lang w:eastAsia="en-IN"/>
              </w:rPr>
              <w:t>Credit</w:t>
            </w:r>
          </w:p>
        </w:tc>
      </w:tr>
      <w:tr w:rsidR="0007712F" w:rsidRPr="0007712F" w:rsidTr="0007712F">
        <w:trPr>
          <w:tblCellSpacing w:w="15" w:type="dxa"/>
        </w:trPr>
        <w:tc>
          <w:tcPr>
            <w:tcW w:w="0" w:type="auto"/>
            <w:vAlign w:val="center"/>
            <w:hideMark/>
          </w:tcPr>
          <w:p w:rsidR="0007712F" w:rsidRPr="0007712F" w:rsidRDefault="0007712F" w:rsidP="0007712F">
            <w:pPr>
              <w:spacing w:after="0" w:line="240" w:lineRule="auto"/>
              <w:rPr>
                <w:rFonts w:eastAsia="Times New Roman" w:cstheme="minorHAnsi"/>
                <w:sz w:val="24"/>
                <w:szCs w:val="24"/>
                <w:lang w:eastAsia="en-IN"/>
              </w:rPr>
            </w:pPr>
            <w:r w:rsidRPr="0007712F">
              <w:rPr>
                <w:rFonts w:eastAsia="Times New Roman" w:cstheme="minorHAnsi"/>
                <w:sz w:val="24"/>
                <w:szCs w:val="24"/>
                <w:lang w:eastAsia="en-IN"/>
              </w:rPr>
              <w:t>Documentation &amp; Due Diligence Enhancement</w:t>
            </w:r>
          </w:p>
        </w:tc>
        <w:tc>
          <w:tcPr>
            <w:tcW w:w="0" w:type="auto"/>
            <w:vAlign w:val="center"/>
            <w:hideMark/>
          </w:tcPr>
          <w:p w:rsidR="0007712F" w:rsidRPr="0007712F" w:rsidRDefault="0007712F" w:rsidP="0007712F">
            <w:pPr>
              <w:spacing w:after="0" w:line="240" w:lineRule="auto"/>
              <w:rPr>
                <w:rFonts w:eastAsia="Times New Roman" w:cstheme="minorHAnsi"/>
                <w:sz w:val="24"/>
                <w:szCs w:val="24"/>
                <w:lang w:eastAsia="en-IN"/>
              </w:rPr>
            </w:pPr>
            <w:r w:rsidRPr="0007712F">
              <w:rPr>
                <w:rFonts w:eastAsia="Times New Roman" w:cstheme="minorHAnsi"/>
                <w:sz w:val="24"/>
                <w:szCs w:val="24"/>
                <w:lang w:eastAsia="en-IN"/>
              </w:rPr>
              <w:t>High</w:t>
            </w:r>
          </w:p>
        </w:tc>
        <w:tc>
          <w:tcPr>
            <w:tcW w:w="0" w:type="auto"/>
            <w:vAlign w:val="center"/>
            <w:hideMark/>
          </w:tcPr>
          <w:p w:rsidR="0007712F" w:rsidRPr="0007712F" w:rsidRDefault="0007712F" w:rsidP="0007712F">
            <w:pPr>
              <w:spacing w:after="0" w:line="240" w:lineRule="auto"/>
              <w:rPr>
                <w:rFonts w:eastAsia="Times New Roman" w:cstheme="minorHAnsi"/>
                <w:sz w:val="24"/>
                <w:szCs w:val="24"/>
                <w:lang w:eastAsia="en-IN"/>
              </w:rPr>
            </w:pPr>
            <w:r w:rsidRPr="0007712F">
              <w:rPr>
                <w:rFonts w:eastAsia="Times New Roman" w:cstheme="minorHAnsi"/>
                <w:sz w:val="24"/>
                <w:szCs w:val="24"/>
                <w:lang w:eastAsia="en-IN"/>
              </w:rPr>
              <w:t>Immediate</w:t>
            </w:r>
          </w:p>
        </w:tc>
        <w:tc>
          <w:tcPr>
            <w:tcW w:w="0" w:type="auto"/>
            <w:vAlign w:val="center"/>
            <w:hideMark/>
          </w:tcPr>
          <w:p w:rsidR="0007712F" w:rsidRPr="0007712F" w:rsidRDefault="0007712F" w:rsidP="0007712F">
            <w:pPr>
              <w:spacing w:after="0" w:line="240" w:lineRule="auto"/>
              <w:rPr>
                <w:rFonts w:eastAsia="Times New Roman" w:cstheme="minorHAnsi"/>
                <w:sz w:val="24"/>
                <w:szCs w:val="24"/>
                <w:lang w:eastAsia="en-IN"/>
              </w:rPr>
            </w:pPr>
            <w:r w:rsidRPr="0007712F">
              <w:rPr>
                <w:rFonts w:eastAsia="Times New Roman" w:cstheme="minorHAnsi"/>
                <w:sz w:val="24"/>
                <w:szCs w:val="24"/>
                <w:lang w:eastAsia="en-IN"/>
              </w:rPr>
              <w:t>Operations / Legal</w:t>
            </w:r>
          </w:p>
        </w:tc>
      </w:tr>
      <w:tr w:rsidR="0007712F" w:rsidRPr="0007712F" w:rsidTr="0007712F">
        <w:trPr>
          <w:tblCellSpacing w:w="15" w:type="dxa"/>
        </w:trPr>
        <w:tc>
          <w:tcPr>
            <w:tcW w:w="0" w:type="auto"/>
            <w:vAlign w:val="center"/>
            <w:hideMark/>
          </w:tcPr>
          <w:p w:rsidR="0007712F" w:rsidRPr="0007712F" w:rsidRDefault="0007712F" w:rsidP="0007712F">
            <w:pPr>
              <w:spacing w:after="0" w:line="240" w:lineRule="auto"/>
              <w:rPr>
                <w:rFonts w:eastAsia="Times New Roman" w:cstheme="minorHAnsi"/>
                <w:sz w:val="24"/>
                <w:szCs w:val="24"/>
                <w:lang w:eastAsia="en-IN"/>
              </w:rPr>
            </w:pPr>
            <w:r w:rsidRPr="0007712F">
              <w:rPr>
                <w:rFonts w:eastAsia="Times New Roman" w:cstheme="minorHAnsi"/>
                <w:sz w:val="24"/>
                <w:szCs w:val="24"/>
                <w:lang w:eastAsia="en-IN"/>
              </w:rPr>
              <w:t>System Validation (LTV, Risk Weights)</w:t>
            </w:r>
          </w:p>
        </w:tc>
        <w:tc>
          <w:tcPr>
            <w:tcW w:w="0" w:type="auto"/>
            <w:vAlign w:val="center"/>
            <w:hideMark/>
          </w:tcPr>
          <w:p w:rsidR="0007712F" w:rsidRPr="0007712F" w:rsidRDefault="0007712F" w:rsidP="0007712F">
            <w:pPr>
              <w:spacing w:after="0" w:line="240" w:lineRule="auto"/>
              <w:rPr>
                <w:rFonts w:eastAsia="Times New Roman" w:cstheme="minorHAnsi"/>
                <w:sz w:val="24"/>
                <w:szCs w:val="24"/>
                <w:lang w:eastAsia="en-IN"/>
              </w:rPr>
            </w:pPr>
            <w:r w:rsidRPr="0007712F">
              <w:rPr>
                <w:rFonts w:eastAsia="Times New Roman" w:cstheme="minorHAnsi"/>
                <w:sz w:val="24"/>
                <w:szCs w:val="24"/>
                <w:lang w:eastAsia="en-IN"/>
              </w:rPr>
              <w:t>Medium</w:t>
            </w:r>
          </w:p>
        </w:tc>
        <w:tc>
          <w:tcPr>
            <w:tcW w:w="0" w:type="auto"/>
            <w:vAlign w:val="center"/>
            <w:hideMark/>
          </w:tcPr>
          <w:p w:rsidR="0007712F" w:rsidRPr="0007712F" w:rsidRDefault="0007712F" w:rsidP="0007712F">
            <w:pPr>
              <w:spacing w:after="0" w:line="240" w:lineRule="auto"/>
              <w:rPr>
                <w:rFonts w:eastAsia="Times New Roman" w:cstheme="minorHAnsi"/>
                <w:sz w:val="24"/>
                <w:szCs w:val="24"/>
                <w:lang w:eastAsia="en-IN"/>
              </w:rPr>
            </w:pPr>
            <w:r w:rsidRPr="0007712F">
              <w:rPr>
                <w:rFonts w:eastAsia="Times New Roman" w:cstheme="minorHAnsi"/>
                <w:sz w:val="24"/>
                <w:szCs w:val="24"/>
                <w:lang w:eastAsia="en-IN"/>
              </w:rPr>
              <w:t>4–6 weeks</w:t>
            </w:r>
          </w:p>
        </w:tc>
        <w:tc>
          <w:tcPr>
            <w:tcW w:w="0" w:type="auto"/>
            <w:vAlign w:val="center"/>
            <w:hideMark/>
          </w:tcPr>
          <w:p w:rsidR="0007712F" w:rsidRPr="0007712F" w:rsidRDefault="0007712F" w:rsidP="0007712F">
            <w:pPr>
              <w:spacing w:after="0" w:line="240" w:lineRule="auto"/>
              <w:rPr>
                <w:rFonts w:eastAsia="Times New Roman" w:cstheme="minorHAnsi"/>
                <w:sz w:val="24"/>
                <w:szCs w:val="24"/>
                <w:lang w:eastAsia="en-IN"/>
              </w:rPr>
            </w:pPr>
            <w:r w:rsidRPr="0007712F">
              <w:rPr>
                <w:rFonts w:eastAsia="Times New Roman" w:cstheme="minorHAnsi"/>
                <w:sz w:val="24"/>
                <w:szCs w:val="24"/>
                <w:lang w:eastAsia="en-IN"/>
              </w:rPr>
              <w:t>IT</w:t>
            </w:r>
          </w:p>
        </w:tc>
      </w:tr>
      <w:tr w:rsidR="0007712F" w:rsidRPr="0007712F" w:rsidTr="0007712F">
        <w:trPr>
          <w:tblCellSpacing w:w="15" w:type="dxa"/>
        </w:trPr>
        <w:tc>
          <w:tcPr>
            <w:tcW w:w="0" w:type="auto"/>
            <w:vAlign w:val="center"/>
            <w:hideMark/>
          </w:tcPr>
          <w:p w:rsidR="0007712F" w:rsidRPr="0007712F" w:rsidRDefault="0007712F" w:rsidP="0007712F">
            <w:pPr>
              <w:spacing w:after="0" w:line="240" w:lineRule="auto"/>
              <w:rPr>
                <w:rFonts w:eastAsia="Times New Roman" w:cstheme="minorHAnsi"/>
                <w:sz w:val="24"/>
                <w:szCs w:val="24"/>
                <w:lang w:eastAsia="en-IN"/>
              </w:rPr>
            </w:pPr>
            <w:r w:rsidRPr="0007712F">
              <w:rPr>
                <w:rFonts w:eastAsia="Times New Roman" w:cstheme="minorHAnsi"/>
                <w:sz w:val="24"/>
                <w:szCs w:val="24"/>
                <w:lang w:eastAsia="en-IN"/>
              </w:rPr>
              <w:t>Staff Training &amp; Awareness</w:t>
            </w:r>
          </w:p>
        </w:tc>
        <w:tc>
          <w:tcPr>
            <w:tcW w:w="0" w:type="auto"/>
            <w:vAlign w:val="center"/>
            <w:hideMark/>
          </w:tcPr>
          <w:p w:rsidR="0007712F" w:rsidRPr="0007712F" w:rsidRDefault="0007712F" w:rsidP="0007712F">
            <w:pPr>
              <w:spacing w:after="0" w:line="240" w:lineRule="auto"/>
              <w:rPr>
                <w:rFonts w:eastAsia="Times New Roman" w:cstheme="minorHAnsi"/>
                <w:sz w:val="24"/>
                <w:szCs w:val="24"/>
                <w:lang w:eastAsia="en-IN"/>
              </w:rPr>
            </w:pPr>
            <w:r w:rsidRPr="0007712F">
              <w:rPr>
                <w:rFonts w:eastAsia="Times New Roman" w:cstheme="minorHAnsi"/>
                <w:sz w:val="24"/>
                <w:szCs w:val="24"/>
                <w:lang w:eastAsia="en-IN"/>
              </w:rPr>
              <w:t>Medium</w:t>
            </w:r>
          </w:p>
        </w:tc>
        <w:tc>
          <w:tcPr>
            <w:tcW w:w="0" w:type="auto"/>
            <w:vAlign w:val="center"/>
            <w:hideMark/>
          </w:tcPr>
          <w:p w:rsidR="0007712F" w:rsidRPr="0007712F" w:rsidRDefault="0007712F" w:rsidP="0007712F">
            <w:pPr>
              <w:spacing w:after="0" w:line="240" w:lineRule="auto"/>
              <w:rPr>
                <w:rFonts w:eastAsia="Times New Roman" w:cstheme="minorHAnsi"/>
                <w:sz w:val="24"/>
                <w:szCs w:val="24"/>
                <w:lang w:eastAsia="en-IN"/>
              </w:rPr>
            </w:pPr>
            <w:r w:rsidRPr="0007712F">
              <w:rPr>
                <w:rFonts w:eastAsia="Times New Roman" w:cstheme="minorHAnsi"/>
                <w:sz w:val="24"/>
                <w:szCs w:val="24"/>
                <w:lang w:eastAsia="en-IN"/>
              </w:rPr>
              <w:t>2–3 weeks</w:t>
            </w:r>
          </w:p>
        </w:tc>
        <w:tc>
          <w:tcPr>
            <w:tcW w:w="0" w:type="auto"/>
            <w:vAlign w:val="center"/>
            <w:hideMark/>
          </w:tcPr>
          <w:p w:rsidR="0007712F" w:rsidRPr="0007712F" w:rsidRDefault="0007712F" w:rsidP="0007712F">
            <w:pPr>
              <w:spacing w:after="0" w:line="240" w:lineRule="auto"/>
              <w:rPr>
                <w:rFonts w:eastAsia="Times New Roman" w:cstheme="minorHAnsi"/>
                <w:sz w:val="24"/>
                <w:szCs w:val="24"/>
                <w:lang w:eastAsia="en-IN"/>
              </w:rPr>
            </w:pPr>
            <w:r w:rsidRPr="0007712F">
              <w:rPr>
                <w:rFonts w:eastAsia="Times New Roman" w:cstheme="minorHAnsi"/>
                <w:sz w:val="24"/>
                <w:szCs w:val="24"/>
                <w:lang w:eastAsia="en-IN"/>
              </w:rPr>
              <w:t>HR / Compliance</w:t>
            </w:r>
          </w:p>
        </w:tc>
      </w:tr>
    </w:tbl>
    <w:p w:rsidR="0007712F" w:rsidRPr="0007712F" w:rsidRDefault="0007712F" w:rsidP="0007712F">
      <w:pPr>
        <w:spacing w:after="0" w:line="240" w:lineRule="auto"/>
        <w:rPr>
          <w:rFonts w:eastAsia="Times New Roman" w:cstheme="minorHAnsi"/>
          <w:sz w:val="24"/>
          <w:szCs w:val="24"/>
          <w:lang w:eastAsia="en-IN"/>
        </w:rPr>
      </w:pPr>
      <w:r w:rsidRPr="0007712F">
        <w:rPr>
          <w:rFonts w:eastAsia="Times New Roman" w:cstheme="minorHAnsi"/>
          <w:sz w:val="24"/>
          <w:szCs w:val="24"/>
          <w:lang w:eastAsia="en-IN"/>
        </w:rPr>
        <w:pict>
          <v:rect id="_x0000_i1032" style="width:0;height:1.5pt" o:hralign="center" o:hrstd="t" o:hr="t" fillcolor="#a0a0a0" stroked="f"/>
        </w:pict>
      </w:r>
    </w:p>
    <w:p w:rsidR="0007712F" w:rsidRPr="0007712F" w:rsidRDefault="0007712F" w:rsidP="0007712F">
      <w:pPr>
        <w:spacing w:before="100" w:beforeAutospacing="1" w:after="100" w:afterAutospacing="1" w:line="240" w:lineRule="auto"/>
        <w:outlineLvl w:val="2"/>
        <w:rPr>
          <w:rFonts w:eastAsia="Times New Roman" w:cstheme="minorHAnsi"/>
          <w:b/>
          <w:bCs/>
          <w:sz w:val="27"/>
          <w:szCs w:val="27"/>
          <w:lang w:eastAsia="en-IN"/>
        </w:rPr>
      </w:pPr>
      <w:r w:rsidRPr="0007712F">
        <w:rPr>
          <w:rFonts w:eastAsia="Times New Roman" w:cstheme="minorHAnsi"/>
          <w:b/>
          <w:bCs/>
          <w:sz w:val="27"/>
          <w:szCs w:val="27"/>
          <w:lang w:eastAsia="en-IN"/>
        </w:rPr>
        <w:t>Action Details</w:t>
      </w:r>
    </w:p>
    <w:p w:rsidR="0007712F" w:rsidRPr="0007712F" w:rsidRDefault="0007712F" w:rsidP="0007712F">
      <w:pPr>
        <w:numPr>
          <w:ilvl w:val="0"/>
          <w:numId w:val="7"/>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b/>
          <w:bCs/>
          <w:sz w:val="24"/>
          <w:szCs w:val="24"/>
          <w:lang w:eastAsia="en-IN"/>
        </w:rPr>
        <w:t>Policy Alignment:</w:t>
      </w:r>
      <w:r w:rsidRPr="0007712F">
        <w:rPr>
          <w:rFonts w:eastAsia="Times New Roman" w:cstheme="minorHAnsi"/>
          <w:sz w:val="24"/>
          <w:szCs w:val="24"/>
          <w:lang w:eastAsia="en-IN"/>
        </w:rPr>
        <w:t xml:space="preserve"> Review and update housing finance policies to ensure full alignment with RBI guidelines </w:t>
      </w:r>
    </w:p>
    <w:p w:rsidR="0007712F" w:rsidRPr="0007712F" w:rsidRDefault="0007712F" w:rsidP="0007712F">
      <w:pPr>
        <w:numPr>
          <w:ilvl w:val="0"/>
          <w:numId w:val="7"/>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b/>
          <w:bCs/>
          <w:sz w:val="24"/>
          <w:szCs w:val="24"/>
          <w:lang w:eastAsia="en-IN"/>
        </w:rPr>
        <w:t>Credit Controls:</w:t>
      </w:r>
      <w:r w:rsidRPr="0007712F">
        <w:rPr>
          <w:rFonts w:eastAsia="Times New Roman" w:cstheme="minorHAnsi"/>
          <w:sz w:val="24"/>
          <w:szCs w:val="24"/>
          <w:lang w:eastAsia="en-IN"/>
        </w:rPr>
        <w:t xml:space="preserve"> Implement strict validation for LTV ratios, borrower eligibility, and property approvals </w:t>
      </w:r>
    </w:p>
    <w:p w:rsidR="0007712F" w:rsidRPr="0007712F" w:rsidRDefault="0007712F" w:rsidP="0007712F">
      <w:pPr>
        <w:numPr>
          <w:ilvl w:val="0"/>
          <w:numId w:val="7"/>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b/>
          <w:bCs/>
          <w:sz w:val="24"/>
          <w:szCs w:val="24"/>
          <w:lang w:eastAsia="en-IN"/>
        </w:rPr>
        <w:t>Documentation Strengthening:</w:t>
      </w:r>
      <w:r w:rsidRPr="0007712F">
        <w:rPr>
          <w:rFonts w:eastAsia="Times New Roman" w:cstheme="minorHAnsi"/>
          <w:sz w:val="24"/>
          <w:szCs w:val="24"/>
          <w:lang w:eastAsia="en-IN"/>
        </w:rPr>
        <w:t xml:space="preserve"> Ensure mandatory collection of sanctioned plans, affidavits, and certifications </w:t>
      </w:r>
    </w:p>
    <w:p w:rsidR="0007712F" w:rsidRPr="0007712F" w:rsidRDefault="0007712F" w:rsidP="0007712F">
      <w:pPr>
        <w:numPr>
          <w:ilvl w:val="0"/>
          <w:numId w:val="7"/>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b/>
          <w:bCs/>
          <w:sz w:val="24"/>
          <w:szCs w:val="24"/>
          <w:lang w:eastAsia="en-IN"/>
        </w:rPr>
        <w:t>Disbursement Controls:</w:t>
      </w:r>
      <w:r w:rsidRPr="0007712F">
        <w:rPr>
          <w:rFonts w:eastAsia="Times New Roman" w:cstheme="minorHAnsi"/>
          <w:sz w:val="24"/>
          <w:szCs w:val="24"/>
          <w:lang w:eastAsia="en-IN"/>
        </w:rPr>
        <w:t xml:space="preserve"> Enforce stage-wise disbursement linked to verified construction progress </w:t>
      </w:r>
    </w:p>
    <w:p w:rsidR="0007712F" w:rsidRPr="0007712F" w:rsidRDefault="0007712F" w:rsidP="0007712F">
      <w:pPr>
        <w:numPr>
          <w:ilvl w:val="0"/>
          <w:numId w:val="7"/>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b/>
          <w:bCs/>
          <w:sz w:val="24"/>
          <w:szCs w:val="24"/>
          <w:lang w:eastAsia="en-IN"/>
        </w:rPr>
        <w:t>Monitoring &amp; Audit:</w:t>
      </w:r>
      <w:r w:rsidRPr="0007712F">
        <w:rPr>
          <w:rFonts w:eastAsia="Times New Roman" w:cstheme="minorHAnsi"/>
          <w:sz w:val="24"/>
          <w:szCs w:val="24"/>
          <w:lang w:eastAsia="en-IN"/>
        </w:rPr>
        <w:t xml:space="preserve"> Strengthen post-disbursement monitoring and internal audit mechanisms </w:t>
      </w:r>
    </w:p>
    <w:p w:rsidR="0007712F" w:rsidRPr="0007712F" w:rsidRDefault="0007712F" w:rsidP="0007712F">
      <w:pPr>
        <w:spacing w:after="0" w:line="240" w:lineRule="auto"/>
        <w:rPr>
          <w:rFonts w:eastAsia="Times New Roman" w:cstheme="minorHAnsi"/>
          <w:sz w:val="24"/>
          <w:szCs w:val="24"/>
          <w:lang w:eastAsia="en-IN"/>
        </w:rPr>
      </w:pPr>
      <w:r w:rsidRPr="0007712F">
        <w:rPr>
          <w:rFonts w:eastAsia="Times New Roman" w:cstheme="minorHAnsi"/>
          <w:sz w:val="24"/>
          <w:szCs w:val="24"/>
          <w:lang w:eastAsia="en-IN"/>
        </w:rPr>
        <w:pict>
          <v:rect id="_x0000_i1033" style="width:0;height:1.5pt" o:hralign="center" o:hrstd="t" o:hr="t" fillcolor="#a0a0a0" stroked="f"/>
        </w:pict>
      </w:r>
    </w:p>
    <w:p w:rsidR="0007712F" w:rsidRPr="0007712F" w:rsidRDefault="0007712F" w:rsidP="0007712F">
      <w:pPr>
        <w:spacing w:before="100" w:beforeAutospacing="1" w:after="100" w:afterAutospacing="1" w:line="240" w:lineRule="auto"/>
        <w:outlineLvl w:val="1"/>
        <w:rPr>
          <w:rFonts w:eastAsia="Times New Roman" w:cstheme="minorHAnsi"/>
          <w:b/>
          <w:bCs/>
          <w:sz w:val="36"/>
          <w:szCs w:val="36"/>
          <w:lang w:eastAsia="en-IN"/>
        </w:rPr>
      </w:pPr>
      <w:r w:rsidRPr="0007712F">
        <w:rPr>
          <w:rFonts w:eastAsia="Times New Roman" w:cstheme="minorHAnsi"/>
          <w:b/>
          <w:bCs/>
          <w:sz w:val="36"/>
          <w:szCs w:val="36"/>
          <w:lang w:eastAsia="en-IN"/>
        </w:rPr>
        <w:t>Organizational Impact</w:t>
      </w:r>
    </w:p>
    <w:p w:rsidR="0007712F" w:rsidRPr="0007712F" w:rsidRDefault="0007712F" w:rsidP="0007712F">
      <w:pPr>
        <w:spacing w:before="100" w:beforeAutospacing="1" w:after="100" w:afterAutospacing="1" w:line="240" w:lineRule="auto"/>
        <w:outlineLvl w:val="2"/>
        <w:rPr>
          <w:rFonts w:eastAsia="Times New Roman" w:cstheme="minorHAnsi"/>
          <w:b/>
          <w:bCs/>
          <w:sz w:val="27"/>
          <w:szCs w:val="27"/>
          <w:lang w:eastAsia="en-IN"/>
        </w:rPr>
      </w:pPr>
      <w:r w:rsidRPr="0007712F">
        <w:rPr>
          <w:rFonts w:eastAsia="Times New Roman" w:cstheme="minorHAnsi"/>
          <w:b/>
          <w:bCs/>
          <w:sz w:val="27"/>
          <w:szCs w:val="27"/>
          <w:lang w:eastAsia="en-IN"/>
        </w:rPr>
        <w:t>Business Impact</w:t>
      </w:r>
    </w:p>
    <w:p w:rsidR="0007712F" w:rsidRPr="0007712F" w:rsidRDefault="0007712F" w:rsidP="0007712F">
      <w:pPr>
        <w:numPr>
          <w:ilvl w:val="0"/>
          <w:numId w:val="8"/>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More stringent credit norms may moderately impact loan growth but will significantly improve asset quality </w:t>
      </w:r>
    </w:p>
    <w:p w:rsidR="0007712F" w:rsidRPr="0007712F" w:rsidRDefault="0007712F" w:rsidP="0007712F">
      <w:pPr>
        <w:numPr>
          <w:ilvl w:val="0"/>
          <w:numId w:val="8"/>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Reduced exposure to high-risk real estate and speculative financing </w:t>
      </w:r>
    </w:p>
    <w:p w:rsidR="0007712F" w:rsidRPr="0007712F" w:rsidRDefault="0007712F" w:rsidP="0007712F">
      <w:pPr>
        <w:spacing w:before="100" w:beforeAutospacing="1" w:after="100" w:afterAutospacing="1" w:line="240" w:lineRule="auto"/>
        <w:outlineLvl w:val="2"/>
        <w:rPr>
          <w:rFonts w:eastAsia="Times New Roman" w:cstheme="minorHAnsi"/>
          <w:b/>
          <w:bCs/>
          <w:sz w:val="27"/>
          <w:szCs w:val="27"/>
          <w:lang w:eastAsia="en-IN"/>
        </w:rPr>
      </w:pPr>
      <w:r w:rsidRPr="0007712F">
        <w:rPr>
          <w:rFonts w:eastAsia="Times New Roman" w:cstheme="minorHAnsi"/>
          <w:b/>
          <w:bCs/>
          <w:sz w:val="27"/>
          <w:szCs w:val="27"/>
          <w:lang w:eastAsia="en-IN"/>
        </w:rPr>
        <w:t>Customer Impact</w:t>
      </w:r>
    </w:p>
    <w:p w:rsidR="0007712F" w:rsidRPr="0007712F" w:rsidRDefault="0007712F" w:rsidP="0007712F">
      <w:pPr>
        <w:numPr>
          <w:ilvl w:val="0"/>
          <w:numId w:val="9"/>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Increased documentation and verification requirements </w:t>
      </w:r>
    </w:p>
    <w:p w:rsidR="0007712F" w:rsidRPr="0007712F" w:rsidRDefault="0007712F" w:rsidP="0007712F">
      <w:pPr>
        <w:numPr>
          <w:ilvl w:val="0"/>
          <w:numId w:val="9"/>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Improved transparency and protection against project-related risks </w:t>
      </w:r>
    </w:p>
    <w:p w:rsidR="0007712F" w:rsidRPr="0007712F" w:rsidRDefault="0007712F" w:rsidP="0007712F">
      <w:pPr>
        <w:spacing w:before="100" w:beforeAutospacing="1" w:after="100" w:afterAutospacing="1" w:line="240" w:lineRule="auto"/>
        <w:outlineLvl w:val="2"/>
        <w:rPr>
          <w:rFonts w:eastAsia="Times New Roman" w:cstheme="minorHAnsi"/>
          <w:b/>
          <w:bCs/>
          <w:sz w:val="27"/>
          <w:szCs w:val="27"/>
          <w:lang w:eastAsia="en-IN"/>
        </w:rPr>
      </w:pPr>
      <w:r w:rsidRPr="0007712F">
        <w:rPr>
          <w:rFonts w:eastAsia="Times New Roman" w:cstheme="minorHAnsi"/>
          <w:b/>
          <w:bCs/>
          <w:sz w:val="27"/>
          <w:szCs w:val="27"/>
          <w:lang w:eastAsia="en-IN"/>
        </w:rPr>
        <w:t>Partner Impact (Builders / Developers)</w:t>
      </w:r>
    </w:p>
    <w:p w:rsidR="0007712F" w:rsidRPr="0007712F" w:rsidRDefault="0007712F" w:rsidP="0007712F">
      <w:pPr>
        <w:numPr>
          <w:ilvl w:val="0"/>
          <w:numId w:val="10"/>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Increased scrutiny and compliance requirements </w:t>
      </w:r>
    </w:p>
    <w:p w:rsidR="0007712F" w:rsidRPr="0007712F" w:rsidRDefault="0007712F" w:rsidP="0007712F">
      <w:pPr>
        <w:numPr>
          <w:ilvl w:val="0"/>
          <w:numId w:val="10"/>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Mandatory adherence to approved plans and regulatory standards </w:t>
      </w:r>
    </w:p>
    <w:p w:rsidR="0007712F" w:rsidRPr="0007712F" w:rsidRDefault="0007712F" w:rsidP="0007712F">
      <w:pPr>
        <w:spacing w:before="100" w:beforeAutospacing="1" w:after="100" w:afterAutospacing="1" w:line="240" w:lineRule="auto"/>
        <w:outlineLvl w:val="2"/>
        <w:rPr>
          <w:rFonts w:eastAsia="Times New Roman" w:cstheme="minorHAnsi"/>
          <w:b/>
          <w:bCs/>
          <w:sz w:val="27"/>
          <w:szCs w:val="27"/>
          <w:lang w:eastAsia="en-IN"/>
        </w:rPr>
      </w:pPr>
      <w:r w:rsidRPr="0007712F">
        <w:rPr>
          <w:rFonts w:eastAsia="Times New Roman" w:cstheme="minorHAnsi"/>
          <w:b/>
          <w:bCs/>
          <w:sz w:val="27"/>
          <w:szCs w:val="27"/>
          <w:lang w:eastAsia="en-IN"/>
        </w:rPr>
        <w:lastRenderedPageBreak/>
        <w:t>Policy and Process Impact</w:t>
      </w:r>
    </w:p>
    <w:p w:rsidR="0007712F" w:rsidRPr="0007712F" w:rsidRDefault="0007712F" w:rsidP="0007712F">
      <w:pPr>
        <w:numPr>
          <w:ilvl w:val="0"/>
          <w:numId w:val="11"/>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Revision of credit policies, risk frameworks, and real estate exposure norms </w:t>
      </w:r>
    </w:p>
    <w:p w:rsidR="0007712F" w:rsidRPr="0007712F" w:rsidRDefault="0007712F" w:rsidP="0007712F">
      <w:pPr>
        <w:numPr>
          <w:ilvl w:val="0"/>
          <w:numId w:val="11"/>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Strengthening of loan lifecycle processes from origination to closure </w:t>
      </w:r>
    </w:p>
    <w:p w:rsidR="0007712F" w:rsidRPr="0007712F" w:rsidRDefault="0007712F" w:rsidP="0007712F">
      <w:pPr>
        <w:spacing w:after="0" w:line="240" w:lineRule="auto"/>
        <w:rPr>
          <w:rFonts w:eastAsia="Times New Roman" w:cstheme="minorHAnsi"/>
          <w:sz w:val="24"/>
          <w:szCs w:val="24"/>
          <w:lang w:eastAsia="en-IN"/>
        </w:rPr>
      </w:pPr>
      <w:r w:rsidRPr="0007712F">
        <w:rPr>
          <w:rFonts w:eastAsia="Times New Roman" w:cstheme="minorHAnsi"/>
          <w:sz w:val="24"/>
          <w:szCs w:val="24"/>
          <w:lang w:eastAsia="en-IN"/>
        </w:rPr>
        <w:pict>
          <v:rect id="_x0000_i1034" style="width:0;height:1.5pt" o:hralign="center" o:hrstd="t" o:hr="t" fillcolor="#a0a0a0" stroked="f"/>
        </w:pict>
      </w:r>
    </w:p>
    <w:p w:rsidR="0007712F" w:rsidRPr="0007712F" w:rsidRDefault="0007712F" w:rsidP="0007712F">
      <w:pPr>
        <w:spacing w:before="100" w:beforeAutospacing="1" w:after="100" w:afterAutospacing="1" w:line="240" w:lineRule="auto"/>
        <w:outlineLvl w:val="1"/>
        <w:rPr>
          <w:rFonts w:eastAsia="Times New Roman" w:cstheme="minorHAnsi"/>
          <w:b/>
          <w:bCs/>
          <w:sz w:val="36"/>
          <w:szCs w:val="36"/>
          <w:lang w:eastAsia="en-IN"/>
        </w:rPr>
      </w:pPr>
      <w:r w:rsidRPr="0007712F">
        <w:rPr>
          <w:rFonts w:eastAsia="Times New Roman" w:cstheme="minorHAnsi"/>
          <w:b/>
          <w:bCs/>
          <w:sz w:val="36"/>
          <w:szCs w:val="36"/>
          <w:lang w:eastAsia="en-IN"/>
        </w:rPr>
        <w:t>Impacted Departments</w:t>
      </w:r>
    </w:p>
    <w:p w:rsidR="0007712F" w:rsidRPr="0007712F" w:rsidRDefault="0007712F" w:rsidP="0007712F">
      <w:pPr>
        <w:spacing w:before="100" w:beforeAutospacing="1" w:after="100" w:afterAutospacing="1" w:line="240" w:lineRule="auto"/>
        <w:outlineLvl w:val="2"/>
        <w:rPr>
          <w:rFonts w:eastAsia="Times New Roman" w:cstheme="minorHAnsi"/>
          <w:b/>
          <w:bCs/>
          <w:sz w:val="27"/>
          <w:szCs w:val="27"/>
          <w:lang w:eastAsia="en-IN"/>
        </w:rPr>
      </w:pPr>
      <w:r w:rsidRPr="0007712F">
        <w:rPr>
          <w:rFonts w:eastAsia="Times New Roman" w:cstheme="minorHAnsi"/>
          <w:b/>
          <w:bCs/>
          <w:sz w:val="27"/>
          <w:szCs w:val="27"/>
          <w:lang w:eastAsia="en-IN"/>
        </w:rPr>
        <w:t>Credit Department</w:t>
      </w:r>
    </w:p>
    <w:p w:rsidR="0007712F" w:rsidRPr="0007712F" w:rsidRDefault="0007712F" w:rsidP="0007712F">
      <w:pPr>
        <w:numPr>
          <w:ilvl w:val="0"/>
          <w:numId w:val="12"/>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Enhanced responsibility for borrower assessment, LTV compliance, and project validation </w:t>
      </w:r>
    </w:p>
    <w:p w:rsidR="0007712F" w:rsidRPr="0007712F" w:rsidRDefault="0007712F" w:rsidP="0007712F">
      <w:pPr>
        <w:spacing w:before="100" w:beforeAutospacing="1" w:after="100" w:afterAutospacing="1" w:line="240" w:lineRule="auto"/>
        <w:outlineLvl w:val="2"/>
        <w:rPr>
          <w:rFonts w:eastAsia="Times New Roman" w:cstheme="minorHAnsi"/>
          <w:b/>
          <w:bCs/>
          <w:sz w:val="27"/>
          <w:szCs w:val="27"/>
          <w:lang w:eastAsia="en-IN"/>
        </w:rPr>
      </w:pPr>
      <w:r w:rsidRPr="0007712F">
        <w:rPr>
          <w:rFonts w:eastAsia="Times New Roman" w:cstheme="minorHAnsi"/>
          <w:b/>
          <w:bCs/>
          <w:sz w:val="27"/>
          <w:szCs w:val="27"/>
          <w:lang w:eastAsia="en-IN"/>
        </w:rPr>
        <w:t>Risk Management</w:t>
      </w:r>
    </w:p>
    <w:p w:rsidR="0007712F" w:rsidRPr="0007712F" w:rsidRDefault="0007712F" w:rsidP="0007712F">
      <w:pPr>
        <w:numPr>
          <w:ilvl w:val="0"/>
          <w:numId w:val="13"/>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Monitoring sectoral exposure, capital allocation, and risk-weight compliance </w:t>
      </w:r>
    </w:p>
    <w:p w:rsidR="0007712F" w:rsidRPr="0007712F" w:rsidRDefault="0007712F" w:rsidP="0007712F">
      <w:pPr>
        <w:spacing w:before="100" w:beforeAutospacing="1" w:after="100" w:afterAutospacing="1" w:line="240" w:lineRule="auto"/>
        <w:outlineLvl w:val="2"/>
        <w:rPr>
          <w:rFonts w:eastAsia="Times New Roman" w:cstheme="minorHAnsi"/>
          <w:b/>
          <w:bCs/>
          <w:sz w:val="27"/>
          <w:szCs w:val="27"/>
          <w:lang w:eastAsia="en-IN"/>
        </w:rPr>
      </w:pPr>
      <w:r w:rsidRPr="0007712F">
        <w:rPr>
          <w:rFonts w:eastAsia="Times New Roman" w:cstheme="minorHAnsi"/>
          <w:b/>
          <w:bCs/>
          <w:sz w:val="27"/>
          <w:szCs w:val="27"/>
          <w:lang w:eastAsia="en-IN"/>
        </w:rPr>
        <w:t>Compliance</w:t>
      </w:r>
    </w:p>
    <w:p w:rsidR="0007712F" w:rsidRPr="0007712F" w:rsidRDefault="0007712F" w:rsidP="0007712F">
      <w:pPr>
        <w:numPr>
          <w:ilvl w:val="0"/>
          <w:numId w:val="14"/>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Ensuring adherence to regulatory requirements and audit preparedness </w:t>
      </w:r>
    </w:p>
    <w:p w:rsidR="0007712F" w:rsidRPr="0007712F" w:rsidRDefault="0007712F" w:rsidP="0007712F">
      <w:pPr>
        <w:spacing w:before="100" w:beforeAutospacing="1" w:after="100" w:afterAutospacing="1" w:line="240" w:lineRule="auto"/>
        <w:outlineLvl w:val="2"/>
        <w:rPr>
          <w:rFonts w:eastAsia="Times New Roman" w:cstheme="minorHAnsi"/>
          <w:b/>
          <w:bCs/>
          <w:sz w:val="27"/>
          <w:szCs w:val="27"/>
          <w:lang w:eastAsia="en-IN"/>
        </w:rPr>
      </w:pPr>
      <w:r w:rsidRPr="0007712F">
        <w:rPr>
          <w:rFonts w:eastAsia="Times New Roman" w:cstheme="minorHAnsi"/>
          <w:b/>
          <w:bCs/>
          <w:sz w:val="27"/>
          <w:szCs w:val="27"/>
          <w:lang w:eastAsia="en-IN"/>
        </w:rPr>
        <w:t>Operations</w:t>
      </w:r>
    </w:p>
    <w:p w:rsidR="0007712F" w:rsidRPr="0007712F" w:rsidRDefault="0007712F" w:rsidP="0007712F">
      <w:pPr>
        <w:numPr>
          <w:ilvl w:val="0"/>
          <w:numId w:val="15"/>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Managing documentation, disbursement checks, and record-keeping </w:t>
      </w:r>
    </w:p>
    <w:p w:rsidR="0007712F" w:rsidRPr="0007712F" w:rsidRDefault="0007712F" w:rsidP="0007712F">
      <w:pPr>
        <w:spacing w:before="100" w:beforeAutospacing="1" w:after="100" w:afterAutospacing="1" w:line="240" w:lineRule="auto"/>
        <w:outlineLvl w:val="2"/>
        <w:rPr>
          <w:rFonts w:eastAsia="Times New Roman" w:cstheme="minorHAnsi"/>
          <w:b/>
          <w:bCs/>
          <w:sz w:val="27"/>
          <w:szCs w:val="27"/>
          <w:lang w:eastAsia="en-IN"/>
        </w:rPr>
      </w:pPr>
      <w:r w:rsidRPr="0007712F">
        <w:rPr>
          <w:rFonts w:eastAsia="Times New Roman" w:cstheme="minorHAnsi"/>
          <w:b/>
          <w:bCs/>
          <w:sz w:val="27"/>
          <w:szCs w:val="27"/>
          <w:lang w:eastAsia="en-IN"/>
        </w:rPr>
        <w:t>Legal</w:t>
      </w:r>
    </w:p>
    <w:p w:rsidR="0007712F" w:rsidRPr="0007712F" w:rsidRDefault="0007712F" w:rsidP="0007712F">
      <w:pPr>
        <w:numPr>
          <w:ilvl w:val="0"/>
          <w:numId w:val="16"/>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Verification of property titles, approvals, and regulatory compliance </w:t>
      </w:r>
    </w:p>
    <w:p w:rsidR="0007712F" w:rsidRPr="0007712F" w:rsidRDefault="0007712F" w:rsidP="0007712F">
      <w:pPr>
        <w:spacing w:before="100" w:beforeAutospacing="1" w:after="100" w:afterAutospacing="1" w:line="240" w:lineRule="auto"/>
        <w:outlineLvl w:val="2"/>
        <w:rPr>
          <w:rFonts w:eastAsia="Times New Roman" w:cstheme="minorHAnsi"/>
          <w:b/>
          <w:bCs/>
          <w:sz w:val="27"/>
          <w:szCs w:val="27"/>
          <w:lang w:eastAsia="en-IN"/>
        </w:rPr>
      </w:pPr>
      <w:r w:rsidRPr="0007712F">
        <w:rPr>
          <w:rFonts w:eastAsia="Times New Roman" w:cstheme="minorHAnsi"/>
          <w:b/>
          <w:bCs/>
          <w:sz w:val="27"/>
          <w:szCs w:val="27"/>
          <w:lang w:eastAsia="en-IN"/>
        </w:rPr>
        <w:t>Information Technology (IT)</w:t>
      </w:r>
    </w:p>
    <w:p w:rsidR="0007712F" w:rsidRPr="0007712F" w:rsidRDefault="0007712F" w:rsidP="0007712F">
      <w:pPr>
        <w:numPr>
          <w:ilvl w:val="0"/>
          <w:numId w:val="17"/>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Implementation of system validations, workflow controls, and reporting mechanisms </w:t>
      </w:r>
    </w:p>
    <w:p w:rsidR="0007712F" w:rsidRPr="0007712F" w:rsidRDefault="0007712F" w:rsidP="0007712F">
      <w:pPr>
        <w:spacing w:before="100" w:beforeAutospacing="1" w:after="100" w:afterAutospacing="1" w:line="240" w:lineRule="auto"/>
        <w:outlineLvl w:val="2"/>
        <w:rPr>
          <w:rFonts w:eastAsia="Times New Roman" w:cstheme="minorHAnsi"/>
          <w:b/>
          <w:bCs/>
          <w:sz w:val="27"/>
          <w:szCs w:val="27"/>
          <w:lang w:eastAsia="en-IN"/>
        </w:rPr>
      </w:pPr>
      <w:r w:rsidRPr="0007712F">
        <w:rPr>
          <w:rFonts w:eastAsia="Times New Roman" w:cstheme="minorHAnsi"/>
          <w:b/>
          <w:bCs/>
          <w:sz w:val="27"/>
          <w:szCs w:val="27"/>
          <w:lang w:eastAsia="en-IN"/>
        </w:rPr>
        <w:t>Customer Service</w:t>
      </w:r>
    </w:p>
    <w:p w:rsidR="0007712F" w:rsidRPr="0007712F" w:rsidRDefault="0007712F" w:rsidP="0007712F">
      <w:pPr>
        <w:numPr>
          <w:ilvl w:val="0"/>
          <w:numId w:val="18"/>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Managing borrower communication, expectations, and grievance handling </w:t>
      </w:r>
    </w:p>
    <w:p w:rsidR="0007712F" w:rsidRPr="0007712F" w:rsidRDefault="0007712F" w:rsidP="0007712F">
      <w:pPr>
        <w:spacing w:after="0" w:line="240" w:lineRule="auto"/>
        <w:rPr>
          <w:rFonts w:eastAsia="Times New Roman" w:cstheme="minorHAnsi"/>
          <w:sz w:val="24"/>
          <w:szCs w:val="24"/>
          <w:lang w:eastAsia="en-IN"/>
        </w:rPr>
      </w:pPr>
      <w:r w:rsidRPr="0007712F">
        <w:rPr>
          <w:rFonts w:eastAsia="Times New Roman" w:cstheme="minorHAnsi"/>
          <w:sz w:val="24"/>
          <w:szCs w:val="24"/>
          <w:lang w:eastAsia="en-IN"/>
        </w:rPr>
        <w:pict>
          <v:rect id="_x0000_i1035" style="width:0;height:1.5pt" o:hralign="center" o:hrstd="t" o:hr="t" fillcolor="#a0a0a0" stroked="f"/>
        </w:pict>
      </w:r>
    </w:p>
    <w:p w:rsidR="0007712F" w:rsidRPr="0007712F" w:rsidRDefault="0007712F" w:rsidP="0007712F">
      <w:pPr>
        <w:spacing w:before="100" w:beforeAutospacing="1" w:after="100" w:afterAutospacing="1" w:line="240" w:lineRule="auto"/>
        <w:outlineLvl w:val="1"/>
        <w:rPr>
          <w:rFonts w:eastAsia="Times New Roman" w:cstheme="minorHAnsi"/>
          <w:b/>
          <w:bCs/>
          <w:sz w:val="36"/>
          <w:szCs w:val="36"/>
          <w:lang w:eastAsia="en-IN"/>
        </w:rPr>
      </w:pPr>
      <w:r w:rsidRPr="0007712F">
        <w:rPr>
          <w:rFonts w:eastAsia="Times New Roman" w:cstheme="minorHAnsi"/>
          <w:b/>
          <w:bCs/>
          <w:sz w:val="36"/>
          <w:szCs w:val="36"/>
          <w:lang w:eastAsia="en-IN"/>
        </w:rPr>
        <w:t>Impacted Policies and Processes</w:t>
      </w:r>
    </w:p>
    <w:p w:rsidR="0007712F" w:rsidRPr="0007712F" w:rsidRDefault="0007712F" w:rsidP="0007712F">
      <w:pPr>
        <w:numPr>
          <w:ilvl w:val="0"/>
          <w:numId w:val="19"/>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Housing Loan Policy </w:t>
      </w:r>
    </w:p>
    <w:p w:rsidR="0007712F" w:rsidRPr="0007712F" w:rsidRDefault="0007712F" w:rsidP="0007712F">
      <w:pPr>
        <w:numPr>
          <w:ilvl w:val="0"/>
          <w:numId w:val="19"/>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Credit Risk Management Policy </w:t>
      </w:r>
    </w:p>
    <w:p w:rsidR="0007712F" w:rsidRPr="0007712F" w:rsidRDefault="0007712F" w:rsidP="0007712F">
      <w:pPr>
        <w:numPr>
          <w:ilvl w:val="0"/>
          <w:numId w:val="19"/>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Real Estate Exposure Policy </w:t>
      </w:r>
    </w:p>
    <w:p w:rsidR="0007712F" w:rsidRPr="0007712F" w:rsidRDefault="0007712F" w:rsidP="0007712F">
      <w:pPr>
        <w:numPr>
          <w:ilvl w:val="0"/>
          <w:numId w:val="19"/>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Loan Origination and Underwriting Process </w:t>
      </w:r>
    </w:p>
    <w:p w:rsidR="0007712F" w:rsidRPr="0007712F" w:rsidRDefault="0007712F" w:rsidP="0007712F">
      <w:pPr>
        <w:numPr>
          <w:ilvl w:val="0"/>
          <w:numId w:val="19"/>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lastRenderedPageBreak/>
        <w:t xml:space="preserve">Loan Disbursement and Monitoring Process </w:t>
      </w:r>
    </w:p>
    <w:p w:rsidR="0007712F" w:rsidRPr="0007712F" w:rsidRDefault="0007712F" w:rsidP="0007712F">
      <w:pPr>
        <w:numPr>
          <w:ilvl w:val="0"/>
          <w:numId w:val="19"/>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Documentation and Compliance Framework </w:t>
      </w:r>
    </w:p>
    <w:p w:rsidR="0007712F" w:rsidRPr="0007712F" w:rsidRDefault="0007712F" w:rsidP="0007712F">
      <w:pPr>
        <w:numPr>
          <w:ilvl w:val="0"/>
          <w:numId w:val="19"/>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Internal Audit and Risk Review Processes </w:t>
      </w:r>
    </w:p>
    <w:p w:rsidR="0007712F" w:rsidRPr="0007712F" w:rsidRDefault="0007712F" w:rsidP="0007712F">
      <w:pPr>
        <w:spacing w:after="0" w:line="240" w:lineRule="auto"/>
        <w:rPr>
          <w:rFonts w:eastAsia="Times New Roman" w:cstheme="minorHAnsi"/>
          <w:sz w:val="24"/>
          <w:szCs w:val="24"/>
          <w:lang w:eastAsia="en-IN"/>
        </w:rPr>
      </w:pPr>
      <w:r w:rsidRPr="0007712F">
        <w:rPr>
          <w:rFonts w:eastAsia="Times New Roman" w:cstheme="minorHAnsi"/>
          <w:sz w:val="24"/>
          <w:szCs w:val="24"/>
          <w:lang w:eastAsia="en-IN"/>
        </w:rPr>
        <w:pict>
          <v:rect id="_x0000_i1036" style="width:0;height:1.5pt" o:hralign="center" o:hrstd="t" o:hr="t" fillcolor="#a0a0a0" stroked="f"/>
        </w:pict>
      </w:r>
    </w:p>
    <w:p w:rsidR="0007712F" w:rsidRPr="0007712F" w:rsidRDefault="0007712F" w:rsidP="0007712F">
      <w:pPr>
        <w:spacing w:before="100" w:beforeAutospacing="1" w:after="100" w:afterAutospacing="1" w:line="240" w:lineRule="auto"/>
        <w:outlineLvl w:val="1"/>
        <w:rPr>
          <w:rFonts w:eastAsia="Times New Roman" w:cstheme="minorHAnsi"/>
          <w:b/>
          <w:bCs/>
          <w:sz w:val="36"/>
          <w:szCs w:val="36"/>
          <w:lang w:eastAsia="en-IN"/>
        </w:rPr>
      </w:pPr>
      <w:r w:rsidRPr="0007712F">
        <w:rPr>
          <w:rFonts w:eastAsia="Times New Roman" w:cstheme="minorHAnsi"/>
          <w:b/>
          <w:bCs/>
          <w:sz w:val="36"/>
          <w:szCs w:val="36"/>
          <w:lang w:eastAsia="en-IN"/>
        </w:rPr>
        <w:t>System Changes (Technical Impact)</w:t>
      </w:r>
    </w:p>
    <w:p w:rsidR="0007712F" w:rsidRPr="0007712F" w:rsidRDefault="0007712F" w:rsidP="0007712F">
      <w:pPr>
        <w:spacing w:before="100" w:beforeAutospacing="1" w:after="100" w:afterAutospacing="1" w:line="240" w:lineRule="auto"/>
        <w:outlineLvl w:val="2"/>
        <w:rPr>
          <w:rFonts w:eastAsia="Times New Roman" w:cstheme="minorHAnsi"/>
          <w:b/>
          <w:bCs/>
          <w:sz w:val="27"/>
          <w:szCs w:val="27"/>
          <w:lang w:eastAsia="en-IN"/>
        </w:rPr>
      </w:pPr>
      <w:r w:rsidRPr="0007712F">
        <w:rPr>
          <w:rFonts w:eastAsia="Times New Roman" w:cstheme="minorHAnsi"/>
          <w:b/>
          <w:bCs/>
          <w:sz w:val="27"/>
          <w:szCs w:val="27"/>
          <w:lang w:eastAsia="en-IN"/>
        </w:rPr>
        <w:t>Core Banking System (CBS)</w:t>
      </w:r>
    </w:p>
    <w:p w:rsidR="0007712F" w:rsidRPr="0007712F" w:rsidRDefault="0007712F" w:rsidP="0007712F">
      <w:pPr>
        <w:numPr>
          <w:ilvl w:val="0"/>
          <w:numId w:val="20"/>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Automated validation for LTV ratios and loan eligibility </w:t>
      </w:r>
    </w:p>
    <w:p w:rsidR="0007712F" w:rsidRPr="0007712F" w:rsidRDefault="0007712F" w:rsidP="0007712F">
      <w:pPr>
        <w:numPr>
          <w:ilvl w:val="0"/>
          <w:numId w:val="20"/>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Integration of risk weight assignment logic </w:t>
      </w:r>
    </w:p>
    <w:p w:rsidR="0007712F" w:rsidRPr="0007712F" w:rsidRDefault="0007712F" w:rsidP="0007712F">
      <w:pPr>
        <w:spacing w:before="100" w:beforeAutospacing="1" w:after="100" w:afterAutospacing="1" w:line="240" w:lineRule="auto"/>
        <w:outlineLvl w:val="2"/>
        <w:rPr>
          <w:rFonts w:eastAsia="Times New Roman" w:cstheme="minorHAnsi"/>
          <w:b/>
          <w:bCs/>
          <w:sz w:val="27"/>
          <w:szCs w:val="27"/>
          <w:lang w:eastAsia="en-IN"/>
        </w:rPr>
      </w:pPr>
      <w:r w:rsidRPr="0007712F">
        <w:rPr>
          <w:rFonts w:eastAsia="Times New Roman" w:cstheme="minorHAnsi"/>
          <w:b/>
          <w:bCs/>
          <w:sz w:val="27"/>
          <w:szCs w:val="27"/>
          <w:lang w:eastAsia="en-IN"/>
        </w:rPr>
        <w:t>Loan Origination System (LOS)</w:t>
      </w:r>
    </w:p>
    <w:p w:rsidR="0007712F" w:rsidRPr="0007712F" w:rsidRDefault="0007712F" w:rsidP="0007712F">
      <w:pPr>
        <w:numPr>
          <w:ilvl w:val="0"/>
          <w:numId w:val="21"/>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Mandatory document checklist enforcement </w:t>
      </w:r>
    </w:p>
    <w:p w:rsidR="0007712F" w:rsidRPr="0007712F" w:rsidRDefault="0007712F" w:rsidP="0007712F">
      <w:pPr>
        <w:numPr>
          <w:ilvl w:val="0"/>
          <w:numId w:val="21"/>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Borrower declaration and compliance capture </w:t>
      </w:r>
    </w:p>
    <w:p w:rsidR="0007712F" w:rsidRPr="0007712F" w:rsidRDefault="0007712F" w:rsidP="0007712F">
      <w:pPr>
        <w:spacing w:before="100" w:beforeAutospacing="1" w:after="100" w:afterAutospacing="1" w:line="240" w:lineRule="auto"/>
        <w:outlineLvl w:val="2"/>
        <w:rPr>
          <w:rFonts w:eastAsia="Times New Roman" w:cstheme="minorHAnsi"/>
          <w:b/>
          <w:bCs/>
          <w:sz w:val="27"/>
          <w:szCs w:val="27"/>
          <w:lang w:eastAsia="en-IN"/>
        </w:rPr>
      </w:pPr>
      <w:r w:rsidRPr="0007712F">
        <w:rPr>
          <w:rFonts w:eastAsia="Times New Roman" w:cstheme="minorHAnsi"/>
          <w:b/>
          <w:bCs/>
          <w:sz w:val="27"/>
          <w:szCs w:val="27"/>
          <w:lang w:eastAsia="en-IN"/>
        </w:rPr>
        <w:t>Loan Management System (LMS)</w:t>
      </w:r>
    </w:p>
    <w:p w:rsidR="0007712F" w:rsidRPr="0007712F" w:rsidRDefault="0007712F" w:rsidP="0007712F">
      <w:pPr>
        <w:numPr>
          <w:ilvl w:val="0"/>
          <w:numId w:val="22"/>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Stage-wise disbursement workflow controls </w:t>
      </w:r>
    </w:p>
    <w:p w:rsidR="0007712F" w:rsidRPr="0007712F" w:rsidRDefault="0007712F" w:rsidP="0007712F">
      <w:pPr>
        <w:numPr>
          <w:ilvl w:val="0"/>
          <w:numId w:val="22"/>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Monitoring of loan utilization and repayment </w:t>
      </w:r>
    </w:p>
    <w:p w:rsidR="0007712F" w:rsidRPr="0007712F" w:rsidRDefault="0007712F" w:rsidP="0007712F">
      <w:pPr>
        <w:spacing w:before="100" w:beforeAutospacing="1" w:after="100" w:afterAutospacing="1" w:line="240" w:lineRule="auto"/>
        <w:outlineLvl w:val="2"/>
        <w:rPr>
          <w:rFonts w:eastAsia="Times New Roman" w:cstheme="minorHAnsi"/>
          <w:b/>
          <w:bCs/>
          <w:sz w:val="27"/>
          <w:szCs w:val="27"/>
          <w:lang w:eastAsia="en-IN"/>
        </w:rPr>
      </w:pPr>
      <w:r w:rsidRPr="0007712F">
        <w:rPr>
          <w:rFonts w:eastAsia="Times New Roman" w:cstheme="minorHAnsi"/>
          <w:b/>
          <w:bCs/>
          <w:sz w:val="27"/>
          <w:szCs w:val="27"/>
          <w:lang w:eastAsia="en-IN"/>
        </w:rPr>
        <w:t>Document Management System (DMS)</w:t>
      </w:r>
    </w:p>
    <w:p w:rsidR="0007712F" w:rsidRPr="0007712F" w:rsidRDefault="0007712F" w:rsidP="0007712F">
      <w:pPr>
        <w:numPr>
          <w:ilvl w:val="0"/>
          <w:numId w:val="23"/>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Secure storage of: </w:t>
      </w:r>
    </w:p>
    <w:p w:rsidR="0007712F" w:rsidRPr="0007712F" w:rsidRDefault="0007712F" w:rsidP="0007712F">
      <w:pPr>
        <w:numPr>
          <w:ilvl w:val="1"/>
          <w:numId w:val="23"/>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Sanctioned building plans </w:t>
      </w:r>
    </w:p>
    <w:p w:rsidR="0007712F" w:rsidRPr="0007712F" w:rsidRDefault="0007712F" w:rsidP="0007712F">
      <w:pPr>
        <w:numPr>
          <w:ilvl w:val="1"/>
          <w:numId w:val="23"/>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Affidavits and undertakings </w:t>
      </w:r>
    </w:p>
    <w:p w:rsidR="0007712F" w:rsidRPr="0007712F" w:rsidRDefault="0007712F" w:rsidP="0007712F">
      <w:pPr>
        <w:numPr>
          <w:ilvl w:val="1"/>
          <w:numId w:val="23"/>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Architect certifications </w:t>
      </w:r>
    </w:p>
    <w:p w:rsidR="0007712F" w:rsidRPr="0007712F" w:rsidRDefault="0007712F" w:rsidP="0007712F">
      <w:pPr>
        <w:spacing w:before="100" w:beforeAutospacing="1" w:after="100" w:afterAutospacing="1" w:line="240" w:lineRule="auto"/>
        <w:outlineLvl w:val="2"/>
        <w:rPr>
          <w:rFonts w:eastAsia="Times New Roman" w:cstheme="minorHAnsi"/>
          <w:b/>
          <w:bCs/>
          <w:sz w:val="27"/>
          <w:szCs w:val="27"/>
          <w:lang w:eastAsia="en-IN"/>
        </w:rPr>
      </w:pPr>
      <w:r w:rsidRPr="0007712F">
        <w:rPr>
          <w:rFonts w:eastAsia="Times New Roman" w:cstheme="minorHAnsi"/>
          <w:b/>
          <w:bCs/>
          <w:sz w:val="27"/>
          <w:szCs w:val="27"/>
          <w:lang w:eastAsia="en-IN"/>
        </w:rPr>
        <w:t>Compliance &amp; Audit Systems</w:t>
      </w:r>
    </w:p>
    <w:p w:rsidR="0007712F" w:rsidRPr="0007712F" w:rsidRDefault="0007712F" w:rsidP="0007712F">
      <w:pPr>
        <w:numPr>
          <w:ilvl w:val="0"/>
          <w:numId w:val="24"/>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Automated compliance checks and alerts </w:t>
      </w:r>
    </w:p>
    <w:p w:rsidR="0007712F" w:rsidRPr="0007712F" w:rsidRDefault="0007712F" w:rsidP="0007712F">
      <w:pPr>
        <w:numPr>
          <w:ilvl w:val="0"/>
          <w:numId w:val="24"/>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Audit trail generation for regulatory inspections </w:t>
      </w:r>
    </w:p>
    <w:p w:rsidR="0007712F" w:rsidRPr="0007712F" w:rsidRDefault="0007712F" w:rsidP="0007712F">
      <w:pPr>
        <w:spacing w:before="100" w:beforeAutospacing="1" w:after="100" w:afterAutospacing="1" w:line="240" w:lineRule="auto"/>
        <w:outlineLvl w:val="2"/>
        <w:rPr>
          <w:rFonts w:eastAsia="Times New Roman" w:cstheme="minorHAnsi"/>
          <w:b/>
          <w:bCs/>
          <w:sz w:val="27"/>
          <w:szCs w:val="27"/>
          <w:lang w:eastAsia="en-IN"/>
        </w:rPr>
      </w:pPr>
      <w:r w:rsidRPr="0007712F">
        <w:rPr>
          <w:rFonts w:eastAsia="Times New Roman" w:cstheme="minorHAnsi"/>
          <w:b/>
          <w:bCs/>
          <w:sz w:val="27"/>
          <w:szCs w:val="27"/>
          <w:lang w:eastAsia="en-IN"/>
        </w:rPr>
        <w:t>Risk &amp; Analytics Systems</w:t>
      </w:r>
    </w:p>
    <w:p w:rsidR="0007712F" w:rsidRPr="0007712F" w:rsidRDefault="0007712F" w:rsidP="0007712F">
      <w:pPr>
        <w:numPr>
          <w:ilvl w:val="0"/>
          <w:numId w:val="25"/>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Real-time exposure tracking </w:t>
      </w:r>
    </w:p>
    <w:p w:rsidR="0007712F" w:rsidRPr="0007712F" w:rsidRDefault="0007712F" w:rsidP="0007712F">
      <w:pPr>
        <w:numPr>
          <w:ilvl w:val="0"/>
          <w:numId w:val="25"/>
        </w:num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NPA monitoring and provisioning analytics </w:t>
      </w:r>
    </w:p>
    <w:p w:rsidR="0007712F" w:rsidRPr="0007712F" w:rsidRDefault="0007712F" w:rsidP="0007712F">
      <w:pPr>
        <w:spacing w:after="0" w:line="240" w:lineRule="auto"/>
        <w:rPr>
          <w:rFonts w:eastAsia="Times New Roman" w:cstheme="minorHAnsi"/>
          <w:sz w:val="24"/>
          <w:szCs w:val="24"/>
          <w:lang w:eastAsia="en-IN"/>
        </w:rPr>
      </w:pPr>
      <w:r w:rsidRPr="0007712F">
        <w:rPr>
          <w:rFonts w:eastAsia="Times New Roman" w:cstheme="minorHAnsi"/>
          <w:sz w:val="24"/>
          <w:szCs w:val="24"/>
          <w:lang w:eastAsia="en-IN"/>
        </w:rPr>
        <w:pict>
          <v:rect id="_x0000_i1037" style="width:0;height:1.5pt" o:hralign="center" o:hrstd="t" o:hr="t" fillcolor="#a0a0a0" stroked="f"/>
        </w:pict>
      </w:r>
    </w:p>
    <w:p w:rsidR="0007712F" w:rsidRPr="0007712F" w:rsidRDefault="0007712F" w:rsidP="0007712F">
      <w:pPr>
        <w:spacing w:before="100" w:beforeAutospacing="1" w:after="100" w:afterAutospacing="1" w:line="240" w:lineRule="auto"/>
        <w:outlineLvl w:val="1"/>
        <w:rPr>
          <w:rFonts w:eastAsia="Times New Roman" w:cstheme="minorHAnsi"/>
          <w:b/>
          <w:bCs/>
          <w:sz w:val="36"/>
          <w:szCs w:val="36"/>
          <w:lang w:eastAsia="en-IN"/>
        </w:rPr>
      </w:pPr>
      <w:r w:rsidRPr="0007712F">
        <w:rPr>
          <w:rFonts w:eastAsia="Times New Roman" w:cstheme="minorHAnsi"/>
          <w:b/>
          <w:bCs/>
          <w:sz w:val="36"/>
          <w:szCs w:val="36"/>
          <w:lang w:eastAsia="en-IN"/>
        </w:rPr>
        <w:t>Conclusion for Board Consideration</w:t>
      </w:r>
    </w:p>
    <w:p w:rsidR="0007712F" w:rsidRPr="0007712F" w:rsidRDefault="0007712F" w:rsidP="0007712F">
      <w:pPr>
        <w:spacing w:before="100" w:beforeAutospacing="1" w:after="100" w:afterAutospacing="1" w:line="240" w:lineRule="auto"/>
        <w:rPr>
          <w:rFonts w:eastAsia="Times New Roman" w:cstheme="minorHAnsi"/>
          <w:sz w:val="24"/>
          <w:szCs w:val="24"/>
          <w:lang w:eastAsia="en-IN"/>
        </w:rPr>
      </w:pPr>
      <w:r w:rsidRPr="0007712F">
        <w:rPr>
          <w:rFonts w:eastAsia="Times New Roman" w:cstheme="minorHAnsi"/>
          <w:sz w:val="24"/>
          <w:szCs w:val="24"/>
          <w:lang w:eastAsia="en-IN"/>
        </w:rPr>
        <w:t xml:space="preserve">The RBI Master Circular on Housing Finance establishes a comprehensive and standardized regulatory framework aimed at strengthening credit discipline and mitigating risks in real </w:t>
      </w:r>
      <w:r w:rsidRPr="0007712F">
        <w:rPr>
          <w:rFonts w:eastAsia="Times New Roman" w:cstheme="minorHAnsi"/>
          <w:sz w:val="24"/>
          <w:szCs w:val="24"/>
          <w:lang w:eastAsia="en-IN"/>
        </w:rPr>
        <w:lastRenderedPageBreak/>
        <w:t>estate lending. While largely consolidative, its effective implementation requires immediate alignment across policies, processes, and systems. The Board is advised to ensure robust oversight on execution readiness, particularly in credit controls, compliance monitoring, and system enablement, to safeguard asset quality and maintain regulatory compliance.</w:t>
      </w:r>
    </w:p>
    <w:p w:rsidR="005D2713" w:rsidRPr="0007712F" w:rsidRDefault="0007712F" w:rsidP="0007712F">
      <w:pPr>
        <w:spacing w:after="0" w:line="240" w:lineRule="auto"/>
        <w:rPr>
          <w:rFonts w:eastAsia="Times New Roman" w:cstheme="minorHAnsi"/>
          <w:sz w:val="24"/>
          <w:szCs w:val="24"/>
          <w:lang w:eastAsia="en-IN"/>
        </w:rPr>
      </w:pPr>
      <w:r w:rsidRPr="0007712F">
        <w:rPr>
          <w:rFonts w:eastAsia="Times New Roman" w:cstheme="minorHAnsi"/>
          <w:sz w:val="24"/>
          <w:szCs w:val="24"/>
          <w:lang w:eastAsia="en-IN"/>
        </w:rPr>
        <w:pict>
          <v:rect id="_x0000_i1038" style="width:0;height:1.5pt" o:hralign="center" o:hrstd="t" o:hr="t" fillcolor="#a0a0a0" stroked="f"/>
        </w:pict>
      </w:r>
    </w:p>
    <w:sectPr w:rsidR="005D2713" w:rsidRPr="000771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72958"/>
    <w:multiLevelType w:val="multilevel"/>
    <w:tmpl w:val="8238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64950"/>
    <w:multiLevelType w:val="multilevel"/>
    <w:tmpl w:val="A0A4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51FCE"/>
    <w:multiLevelType w:val="multilevel"/>
    <w:tmpl w:val="C412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935EA"/>
    <w:multiLevelType w:val="multilevel"/>
    <w:tmpl w:val="2C2AB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31D60"/>
    <w:multiLevelType w:val="multilevel"/>
    <w:tmpl w:val="50E8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64C40"/>
    <w:multiLevelType w:val="multilevel"/>
    <w:tmpl w:val="E8A8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BE3515"/>
    <w:multiLevelType w:val="multilevel"/>
    <w:tmpl w:val="4A54F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267545"/>
    <w:multiLevelType w:val="multilevel"/>
    <w:tmpl w:val="2CBE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444460"/>
    <w:multiLevelType w:val="multilevel"/>
    <w:tmpl w:val="C854E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102122"/>
    <w:multiLevelType w:val="multilevel"/>
    <w:tmpl w:val="8D20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182E45"/>
    <w:multiLevelType w:val="multilevel"/>
    <w:tmpl w:val="B216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D12658"/>
    <w:multiLevelType w:val="multilevel"/>
    <w:tmpl w:val="868C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5A34D4"/>
    <w:multiLevelType w:val="multilevel"/>
    <w:tmpl w:val="E874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D75CAE"/>
    <w:multiLevelType w:val="multilevel"/>
    <w:tmpl w:val="A894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B33AB4"/>
    <w:multiLevelType w:val="multilevel"/>
    <w:tmpl w:val="8780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887750"/>
    <w:multiLevelType w:val="multilevel"/>
    <w:tmpl w:val="1664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AA0035"/>
    <w:multiLevelType w:val="multilevel"/>
    <w:tmpl w:val="52E8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3A4A69"/>
    <w:multiLevelType w:val="multilevel"/>
    <w:tmpl w:val="A6A2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3A644E"/>
    <w:multiLevelType w:val="multilevel"/>
    <w:tmpl w:val="98A4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A00842"/>
    <w:multiLevelType w:val="multilevel"/>
    <w:tmpl w:val="13CC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BB160B"/>
    <w:multiLevelType w:val="multilevel"/>
    <w:tmpl w:val="AF34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B62E77"/>
    <w:multiLevelType w:val="multilevel"/>
    <w:tmpl w:val="7528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6A65D7"/>
    <w:multiLevelType w:val="multilevel"/>
    <w:tmpl w:val="620E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744F96"/>
    <w:multiLevelType w:val="multilevel"/>
    <w:tmpl w:val="0068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FB3EA5"/>
    <w:multiLevelType w:val="multilevel"/>
    <w:tmpl w:val="0984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5"/>
  </w:num>
  <w:num w:numId="3">
    <w:abstractNumId w:val="20"/>
  </w:num>
  <w:num w:numId="4">
    <w:abstractNumId w:val="17"/>
  </w:num>
  <w:num w:numId="5">
    <w:abstractNumId w:val="9"/>
  </w:num>
  <w:num w:numId="6">
    <w:abstractNumId w:val="3"/>
  </w:num>
  <w:num w:numId="7">
    <w:abstractNumId w:val="11"/>
  </w:num>
  <w:num w:numId="8">
    <w:abstractNumId w:val="0"/>
  </w:num>
  <w:num w:numId="9">
    <w:abstractNumId w:val="1"/>
  </w:num>
  <w:num w:numId="10">
    <w:abstractNumId w:val="21"/>
  </w:num>
  <w:num w:numId="11">
    <w:abstractNumId w:val="13"/>
  </w:num>
  <w:num w:numId="12">
    <w:abstractNumId w:val="5"/>
  </w:num>
  <w:num w:numId="13">
    <w:abstractNumId w:val="18"/>
  </w:num>
  <w:num w:numId="14">
    <w:abstractNumId w:val="23"/>
  </w:num>
  <w:num w:numId="15">
    <w:abstractNumId w:val="7"/>
  </w:num>
  <w:num w:numId="16">
    <w:abstractNumId w:val="24"/>
  </w:num>
  <w:num w:numId="17">
    <w:abstractNumId w:val="19"/>
  </w:num>
  <w:num w:numId="18">
    <w:abstractNumId w:val="16"/>
  </w:num>
  <w:num w:numId="19">
    <w:abstractNumId w:val="2"/>
  </w:num>
  <w:num w:numId="20">
    <w:abstractNumId w:val="12"/>
  </w:num>
  <w:num w:numId="21">
    <w:abstractNumId w:val="4"/>
  </w:num>
  <w:num w:numId="22">
    <w:abstractNumId w:val="14"/>
  </w:num>
  <w:num w:numId="23">
    <w:abstractNumId w:val="6"/>
  </w:num>
  <w:num w:numId="24">
    <w:abstractNumId w:val="22"/>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12F"/>
    <w:rsid w:val="0007712F"/>
    <w:rsid w:val="005D27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E2F6F"/>
  <w15:chartTrackingRefBased/>
  <w15:docId w15:val="{FAECA445-CFD7-49F2-A151-ADA27BD79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7712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7712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7712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12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7712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7712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7712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771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11705583">
      <w:bodyDiv w:val="1"/>
      <w:marLeft w:val="0"/>
      <w:marRight w:val="0"/>
      <w:marTop w:val="0"/>
      <w:marBottom w:val="0"/>
      <w:divBdr>
        <w:top w:val="none" w:sz="0" w:space="0" w:color="auto"/>
        <w:left w:val="none" w:sz="0" w:space="0" w:color="auto"/>
        <w:bottom w:val="none" w:sz="0" w:space="0" w:color="auto"/>
        <w:right w:val="none" w:sz="0" w:space="0" w:color="auto"/>
      </w:divBdr>
      <w:divsChild>
        <w:div w:id="529221432">
          <w:marLeft w:val="0"/>
          <w:marRight w:val="0"/>
          <w:marTop w:val="0"/>
          <w:marBottom w:val="0"/>
          <w:divBdr>
            <w:top w:val="none" w:sz="0" w:space="0" w:color="auto"/>
            <w:left w:val="none" w:sz="0" w:space="0" w:color="auto"/>
            <w:bottom w:val="none" w:sz="0" w:space="0" w:color="auto"/>
            <w:right w:val="none" w:sz="0" w:space="0" w:color="auto"/>
          </w:divBdr>
          <w:divsChild>
            <w:div w:id="39682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1024</Words>
  <Characters>5838</Characters>
  <Application>Microsoft Office Word</Application>
  <DocSecurity>0</DocSecurity>
  <Lines>48</Lines>
  <Paragraphs>13</Paragraphs>
  <ScaleCrop>false</ScaleCrop>
  <Company/>
  <LinksUpToDate>false</LinksUpToDate>
  <CharactersWithSpaces>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Ricago</dc:creator>
  <cp:keywords/>
  <dc:description/>
  <cp:lastModifiedBy>Ricago</cp:lastModifiedBy>
  <cp:revision>1</cp:revision>
  <dcterms:created xsi:type="dcterms:W3CDTF">2026-03-31T05:44:00Z</dcterms:created>
  <dcterms:modified xsi:type="dcterms:W3CDTF">2026-03-31T05:47:00Z</dcterms:modified>
</cp:coreProperties>
</file>