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0"/>
        </w:rPr>
        <w:t>LAPORAN PENILAIAN JALUR REGISTRASI OBAT &amp; KESIAPAN ACTD</w:t>
      </w:r>
    </w:p>
    <w:p>
      <w:pPr>
        <w:spacing w:after="320"/>
      </w:pPr>
      <w:r>
        <w:rPr>
          <w:rFonts w:ascii="Calibri" w:hAnsi="Calibri"/>
          <w:color w:val="2B6CB0"/>
          <w:sz w:val="21"/>
        </w:rPr>
        <w:t>Evaluasi Regulasi Berdasarkan Peraturan BPOM No. 24/2017 jo. PerBPOM 13/2021 &amp; 24/2023 | Tarif PNBP PP 32/2017</w:t>
      </w:r>
    </w:p>
    <w:p>
      <w:pPr>
        <w:pStyle w:val="Heading2"/>
      </w:pPr>
      <w:r>
        <w:t>1. Profil Produk &amp; Parameter Pengajuan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Nama Produk (Brand Name)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Metforin 500 Film-Coated Tablet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Zat Aktif (INN)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Metformin Hydrochloride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Bentuk Sediaan &amp; Kekuatan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Tablet Salut Selaput (Film-Coated Tablet) | 500 mg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Klasifikasi Molekul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GENERIC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Asal Pembuatan (Origin)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LOCAL (LOCAL_CPOB)</w:t>
            </w:r>
          </w:p>
        </w:tc>
      </w:tr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D3748"/>
                <w:sz w:val="19"/>
              </w:rPr>
              <w:t>Status Persetujuan Internasional</w:t>
            </w:r>
          </w:p>
        </w:tc>
        <w:tc>
          <w:tcPr>
            <w:tcW w:type="dxa" w:w="69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9"/>
              </w:rPr>
              <w:t>SRA Approved: False (None)</w:t>
            </w:r>
          </w:p>
        </w:tc>
      </w:tr>
    </w:tbl>
    <w:p>
      <w:pPr>
        <w:spacing w:after="160"/>
      </w:pPr>
    </w:p>
    <w:p>
      <w:pPr>
        <w:pStyle w:val="Heading2"/>
      </w:pPr>
      <w:r>
        <w:t>2. Hasil Evaluasi Jalur, Biaya PNBP &amp; Timeline Evaluasi BPOM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EBF8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1A365D"/>
                <w:sz w:val="20"/>
              </w:rPr>
              <w:t>KATEGORI REGISTRASI: Kategori 4: Registrasi Obat Copy (dengan Uji Bioekivalensi / Biowaiver BCS)</w:t>
              <w:br/>
              <w:t>JALUR EVALUASI: Jalur 100 Hari Kerja (Obat Copy dengan Uji BE / Disolusi Terbanding Standar)</w:t>
              <w:br/>
              <w:t>TOTAL BIAYA RESMI PNBP (PP 32/2017): Rp 31,000,000</w:t>
              <w:br/>
              <w:t>ESTIMASI WAKTU EVALUASI: 20 HK Pra-Registrasi + 100 HK Registrasi = 120 Hari Kerja (~7.7 Bulan Kalender)</w:t>
            </w:r>
          </w:p>
        </w:tc>
      </w:tr>
    </w:tbl>
    <w:p>
      <w:pPr>
        <w:spacing w:after="160"/>
      </w:pPr>
    </w:p>
    <w:p>
      <w:r>
        <w:t>Rincian Biaya Tarif PNBP Sesuai PP No. 32 Tahun 2017: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Tarif</w:t>
            </w:r>
          </w:p>
        </w:tc>
        <w:tc>
          <w:tcPr>
            <w:tcW w:type="dxa" w:w="460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Uraian Biaya PNBP</w:t>
            </w:r>
          </w:p>
        </w:tc>
        <w:tc>
          <w:tcPr>
            <w:tcW w:type="dxa" w:w="201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Dasar Hukum</w:t>
            </w:r>
          </w:p>
        </w:tc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Nominal (IDR)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PP32-PR01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Pre-Registration (Pra-Registrasi)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D3748"/>
                <w:sz w:val="18"/>
              </w:rPr>
              <w:t>PP 32/2017 Lampiran I.A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2D3748"/>
                <w:sz w:val="18"/>
              </w:rPr>
              <w:t>Rp 1,000,000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PP32-REG04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Registration Category 4 (Copy/Generic Drug with Bioequivalence Study / Equivalence)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8"/>
              </w:rPr>
              <w:t>PP 32/2017 Lampiran I.B.2.a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jc w:val="right"/>
            </w:pPr>
            <w:r>
              <w:rPr>
                <w:color w:val="2D3748"/>
                <w:sz w:val="18"/>
              </w:rPr>
              <w:t>Rp 30,000,000</w:t>
            </w:r>
          </w:p>
        </w:tc>
      </w:tr>
      <w:tr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</w:t>
            </w:r>
          </w:p>
        </w:tc>
        <w:tc>
          <w:tcPr>
            <w:tcW w:type="dxa" w:w="460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Total Biaya PNBP Wajib Bayar (Billing SIMPONI)</w:t>
            </w:r>
          </w:p>
        </w:tc>
        <w:tc>
          <w:tcPr>
            <w:tcW w:type="dxa" w:w="2016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9"/>
              </w:rPr>
              <w:t>PP 32/2017</w:t>
            </w:r>
          </w:p>
        </w:tc>
        <w:tc>
          <w:tcPr>
            <w:tcW w:type="dxa" w:w="1728"/>
            <w:shd w:fill="E2E8F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A365D"/>
                <w:sz w:val="19"/>
              </w:rPr>
              <w:t>Rp 31,000,000</w:t>
            </w:r>
          </w:p>
        </w:tc>
      </w:tr>
    </w:tbl>
    <w:p>
      <w:pPr>
        <w:spacing w:after="240"/>
      </w:pPr>
    </w:p>
    <w:p>
      <w:pPr>
        <w:pStyle w:val="Heading2"/>
      </w:pPr>
      <w:r>
        <w:t>3. Persyaratan Kritis &amp; Identifikasi Risiko Regulasi</w:t>
      </w:r>
    </w:p>
    <w:p>
      <w:pPr>
        <w:pStyle w:val="ListBullet"/>
      </w:pPr>
      <w:r>
        <w:rPr>
          <w:color w:val="2D3748"/>
          <w:sz w:val="19"/>
        </w:rPr>
        <w:t>Pengajuan Pra-Registrasi melalui sistem elektronik BPOM (ASROT/New AeS) dengan waktu evaluasi 20 HK.</w:t>
      </w:r>
    </w:p>
    <w:p>
      <w:pPr>
        <w:pStyle w:val="ListBullet"/>
      </w:pPr>
      <w:r>
        <w:rPr>
          <w:color w:val="2D3748"/>
          <w:sz w:val="19"/>
        </w:rPr>
        <w:t>Pembayaran tagihan PNBP (Billing SIMPONI) sebelum batas waktu kedaluwarsa (7 hari kalender).</w:t>
      </w:r>
    </w:p>
    <w:p>
      <w:pPr>
        <w:pStyle w:val="ListBullet"/>
      </w:pPr>
      <w:r>
        <w:rPr>
          <w:color w:val="2D3748"/>
          <w:sz w:val="19"/>
        </w:rPr>
        <w:t>Penyusunan dokumen registrasi format ACTD (Part I Administratif s/d Part IV Klinis).</w:t>
      </w:r>
    </w:p>
    <w:p>
      <w:pPr>
        <w:pStyle w:val="ListBullet"/>
      </w:pPr>
      <w:r>
        <w:rPr>
          <w:color w:val="2D3748"/>
          <w:sz w:val="19"/>
        </w:rPr>
        <w:t>Stabilitas Produk Jadi wajib memenuhi Kondisi Iklim Zona IVb (30°C ± 2°C / 75% ± 5% RH) minimal 6 bulan real-time &amp; accelerated pada saat registrasi.</w:t>
      </w:r>
    </w:p>
    <w:p>
      <w:pPr>
        <w:spacing w:after="240"/>
      </w:pPr>
    </w:p>
    <w:p>
      <w:pPr>
        <w:pStyle w:val="Heading2"/>
      </w:pPr>
      <w:r>
        <w:t>4. Daftar Periksa Kelengkapan Dokumen ACTD (Part I - IV)</w:t>
      </w:r>
    </w:p>
    <w:p>
      <w:pPr>
        <w:pStyle w:val="Heading3"/>
      </w:pPr>
      <w:r>
        <w:t>Bagian I: Dokumen Administratif &amp; Penandaan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Pengantar Permohonan Registrasi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Ditandatangani oleh Apoteker Penanggung Jawab (PJT) / Direktur Industri Farmasi pendaftar.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Formulir Registrasi Obat &amp; Bukti Pengajuan Elektronik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Diisi lengkap melalui portal ASROT / New AeS BPOM RI beserta dokumen pra-registrasi.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Pernyataan Pendaftar (Komitmen Dokumen &amp; Paten)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Format baku BPOM bermaterai cukup; pernyataan keabsahan dokumen dan tidak melanggar paten.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Sertifikat Izin Industri Farmasi Pendaftar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Izin Industri Farmasi aktif yang diterbitkan oleh Kementerian Kesehatan RI / OSS-RBA.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Dokumen Sertifikasi CPOB (GMP) Fasilitas Produksi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Untuk lokal: Sertifikat CPOB aktif BPOM untuk lini sediaan terkait. Untuk impor: Sertifikat CPOB negara asal + Surat Pengakuan Pemenuhan Standar CPOB dari BPOM RI.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Certificate of Pharmaceutical Product (CPP) Format WHO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Wajib untuk obat impor. Diterbitkan oleh Badan Otoritas Regulasi Negara Pengekspor sesuai standar WHO.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Kuasa / Letter of Authorization (LoA) &amp; Kontrak Lisensi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penunjukan resmi dari pemilik produk/prinsipal di luar negeri kepada pendaftar di Indonesia.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Ringkasan Karakteristik Produk (SmPC / Leaflet Informasi Obat)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Mengacu pada format BPOM RI; mencantumkan indikasi, posologi, kontraindikasi, efek samping, dan peringatan.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Informasi Produk untuk Pasien (Brosur / PIL) Bahasa Indonesia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Wajib dalam Bahasa Indonesia dengan bahasa yang mudah dipahami oleh pasien/konsumen.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Rancangan Kemasan (Label, Etiket, Blister, Dus / Carton Mockup)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Memenuhi regulasi penandaan BPOM: logo lingkaran obat keras/bebas, peringatan DOT, NIE mockup, QR code placeholder.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Pernyataan Jaminan Produk Halal &amp; Asal Bahan Baku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Surat pernyataan asal bahan baku (porcine/non-porcine statement) dan sertifikat halal jika mencantumkan logo Halal.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1.12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Bukti Setor Penerimaan Negara Bukan Pajak (PNBP SIMPONI)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Surat Setoran Bukan Pajak (SSBP) / bukti bayar billing SIMPONI pra-registrasi dan registrasi.</w:t>
            </w:r>
          </w:p>
        </w:tc>
      </w:tr>
    </w:tbl>
    <w:p>
      <w:pPr>
        <w:spacing w:after="200"/>
      </w:pPr>
    </w:p>
    <w:p>
      <w:pPr>
        <w:pStyle w:val="Heading3"/>
      </w:pPr>
      <w:r>
        <w:t>Bagian II: Dokumen Mutu (Zat Aktif &amp; Produk Jadi)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Ringkasan Dokumen Mutu (Quality Overall Summary - QOS)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Rangkuman komprehensif data mutu zat aktif (S) dan produk jadi (P).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Zat Aktif (Drug Substance / Active Pharmaceutical Ingredient - 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S.1 Nomenklatur, S.2 Proses Sintesis &amp; Kontrol Bahan, S.3 Karakterisasi &amp; Impuritas (Nitrosamin &amp; Logam Berat), S.4 Spesifikasi &amp; Validasi Metode Analisis, S.5 Baku Pembanding, S.6 Kemasan Wadah, S.7 Stabilitas Zat Aktif.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Produk Jadi (Drug Product - P.1 s/d P.7)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P.1 Pemerian &amp; Formula, P.2 Pengembangan Farmasetika, P.3 Prosedur Pembuatan &amp; Laporan Validasi Proses 3 Batch Komersial, P.4 Kontrol Eksipien, P.5 Spesifikasi Rilis/Kedaluwarsa &amp; Hasil Analisis 3 Batch, P.6 Baku Pembanding, P.7 Kemasan Primer/Sekunder.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Stabilitas Produk Jadi Kondisi Zona Iklim IVb (P.8)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Wajib data stabilitas kondisi Zona IVb (30°C ± 2°C / 75% ± 5% RH) minimal 6 bulan real-time &amp; 6 bulan accelerated (40°C/75% RH) saat pengajuan, disertai surat komitmen uji stabilitas hingga batas kedaluwarsa.</w:t>
            </w:r>
          </w:p>
        </w:tc>
      </w:tr>
    </w:tbl>
    <w:p>
      <w:pPr>
        <w:spacing w:after="200"/>
      </w:pPr>
    </w:p>
    <w:p>
      <w:pPr>
        <w:pStyle w:val="Heading3"/>
      </w:pPr>
      <w:r>
        <w:t>Bagian III: Dokumen Non-Klinis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Ringkasan Non-Klinis (Nonclinical Overview &amp; Written Summaries)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Dikecualikan (Waived) untuk Obat Generik/Copy. Wajib untuk Obat Baru (NCE) dan Produk Biologi.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Studi Farmakodinamika &amp; Farmakokinetika Non-Klinis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Dikecualikan untuk Obat Copy. Untuk biosimilar: studi komparatif in vitro / in vivo binding &amp; mechanism of action.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Laporan Toksikologi (Single/Repeat Dose, Genotoxicity, Carcinogenicity)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Dikecualikan untuk Obat Generik. Wajib GLP-compliant untuk NCE / Produk Biologi.</w:t>
            </w:r>
          </w:p>
        </w:tc>
      </w:tr>
    </w:tbl>
    <w:p>
      <w:pPr>
        <w:spacing w:after="200"/>
      </w:pPr>
    </w:p>
    <w:p>
      <w:pPr>
        <w:pStyle w:val="Heading3"/>
      </w:pPr>
      <w:r>
        <w:t>Bagian IV: Dokumen Klinis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360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Judul Dokumen ACTD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Spesifik BPOM RI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Ringkasan Klinis (Clinical Overview &amp; Clinical Summary)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Rangkuman efikasi dan keamanan klinis. Untuk generik: tinjauan bioekivalensi.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Uji Bioekivalensi (BE) ATAU Justifikasi Biowaiver BCS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Untuk Obat Copy: Wajib laporan uji BE in vivo terhadap obat komparator resmi BPOM, atau justifikasi permohonan biowaiver BCS (Kelas 1 atau 3) sesuai PerBPOM 11/2022.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Laporan Uji Disolusi Terbanding (UDT / In Vitro Equivalence)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7"/>
              </w:rPr>
              <w:t>[WAJIB]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Uji disolusi komparatif pada 3 pH media (pH 1.2, pH 4.5, pH 6.8) dengan nilai f2 similarity factor &gt;= 50.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4.4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Uji Klinis Efikasi &amp; Keamanan (Fase I - III)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Untuk Produk Biologi / Biosimilar: uji klinis komparatif PK/PD dan studi kemanjuran klinis fase 3 komparatif.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Rencana Manajemen Risiko (Risk Management Plan - RMP) &amp; Farmakovigilans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Wajib untuk semua Produk Biologi dan NCE; mencakup sistem pelaporan MESO / ESO dan identifikasi risiko keamanan di Indonesia.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4.6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Periodic Safety Update Report (PSUR / PBRER) Terkini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pPr>
              <w:jc w:val="center"/>
            </w:pPr>
            <w:r>
              <w:rPr>
                <w:color w:val="718096"/>
                <w:sz w:val="17"/>
              </w:rPr>
              <w:t>[WAIVED]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Laporan pemantauan keamanan pasca-pemasaran berkala dari negara-negara tempat produk telah dipasarkan.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>CONFIDENTIAL - Strictly for Indonesian Drug Registration &amp; Dossier Submission Preparation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BADAN POM RI - REGULATORY AFFAIRS DOSSIER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