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A365D"/>
          <w:sz w:val="40"/>
        </w:rPr>
        <w:t>DRUG REGISTRATION PATHWAY &amp; ACTD COMPLIANCE ASSESSMENT REPORT</w:t>
      </w:r>
    </w:p>
    <w:p>
      <w:pPr>
        <w:spacing w:after="320"/>
      </w:pPr>
      <w:r>
        <w:rPr>
          <w:rFonts w:ascii="Calibri" w:hAnsi="Calibri"/>
          <w:color w:val="2B6CB0"/>
          <w:sz w:val="21"/>
        </w:rPr>
        <w:t>Regulatory Evaluation under BPOM Reg No. 24/2017 jo. Reg 13/2021 &amp; 24/2023 | Non-Tax State Revenue PP 32/2017</w:t>
      </w:r>
    </w:p>
    <w:p>
      <w:pPr>
        <w:pStyle w:val="Heading2"/>
      </w:pPr>
      <w:r>
        <w:t>1. Product Profile &amp; Submission Parameters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9"/>
              </w:rPr>
              <w:t>Product Brand Name</w:t>
            </w:r>
          </w:p>
        </w:tc>
        <w:tc>
          <w:tcPr>
            <w:tcW w:type="dxa" w:w="69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9"/>
              </w:rPr>
              <w:t>Metforin 500 Film-Coated Tablet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9"/>
              </w:rPr>
              <w:t>Active Substance (INN)</w:t>
            </w:r>
          </w:p>
        </w:tc>
        <w:tc>
          <w:tcPr>
            <w:tcW w:type="dxa" w:w="69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9"/>
              </w:rPr>
              <w:t>Metformin Hydrochloride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9"/>
              </w:rPr>
              <w:t>Dosage Form &amp; Strength</w:t>
            </w:r>
          </w:p>
        </w:tc>
        <w:tc>
          <w:tcPr>
            <w:tcW w:type="dxa" w:w="69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9"/>
              </w:rPr>
              <w:t>Tablet Salut Selaput (Film-Coated Tablet) | 500 mg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9"/>
              </w:rPr>
              <w:t>Molecule Classification</w:t>
            </w:r>
          </w:p>
        </w:tc>
        <w:tc>
          <w:tcPr>
            <w:tcW w:type="dxa" w:w="69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9"/>
              </w:rPr>
              <w:t>GENERIC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9"/>
              </w:rPr>
              <w:t>Origin &amp; Site Status</w:t>
            </w:r>
          </w:p>
        </w:tc>
        <w:tc>
          <w:tcPr>
            <w:tcW w:type="dxa" w:w="69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9"/>
              </w:rPr>
              <w:t>LOCAL (LOCAL_CPOB)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9"/>
              </w:rPr>
              <w:t>International Approval Status</w:t>
            </w:r>
          </w:p>
        </w:tc>
        <w:tc>
          <w:tcPr>
            <w:tcW w:type="dxa" w:w="69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9"/>
              </w:rPr>
              <w:t>SRA Approved: False (None)</w:t>
            </w:r>
          </w:p>
        </w:tc>
      </w:tr>
    </w:tbl>
    <w:p>
      <w:pPr>
        <w:spacing w:after="160"/>
      </w:pPr>
    </w:p>
    <w:p>
      <w:pPr>
        <w:pStyle w:val="Heading2"/>
      </w:pPr>
      <w:r>
        <w:t>2. BPOM Pathway Determination, PNBP Fees &amp; Timelines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EBF8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1A365D"/>
                <w:sz w:val="20"/>
              </w:rPr>
              <w:t>REGISTRATION CATEGORY: Category 4: Copy/Generic Registration (with Bioequivalence Study / BCS Biowaiver)</w:t>
              <w:br/>
              <w:t>EVALUATION TRACK: 100 Working Days Track (Generic Copy with standard BE / Dissolution)</w:t>
              <w:br/>
              <w:t>TOTAL STATUTORY PNBP FEES (PP 32/2017): IDR 31,000,000</w:t>
              <w:br/>
              <w:t>REVIEW TIMELINE: 20 WD Pre-Reg + 100 WD Dossier = 120 Working Days (~7.7 Calendar Months)</w:t>
            </w:r>
          </w:p>
        </w:tc>
      </w:tr>
    </w:tbl>
    <w:p>
      <w:pPr>
        <w:spacing w:after="160"/>
      </w:pPr>
    </w:p>
    <w:p>
      <w:r>
        <w:t>Breakdown of Official Non-Tax State Revenue (PNBP) Tariffs under PP 32/2017: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Tariff Code</w:t>
            </w:r>
          </w:p>
        </w:tc>
        <w:tc>
          <w:tcPr>
            <w:tcW w:type="dxa" w:w="4608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Fee Description</w:t>
            </w:r>
          </w:p>
        </w:tc>
        <w:tc>
          <w:tcPr>
            <w:tcW w:type="dxa" w:w="2016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Legal Basis</w:t>
            </w:r>
          </w:p>
        </w:tc>
        <w:tc>
          <w:tcPr>
            <w:tcW w:type="dxa" w:w="1728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Amount (IDR)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PP32-PR01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Pre-Registration (Pra-Registrasi)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PP 32/2017 Lampiran I.A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D3748"/>
                <w:sz w:val="18"/>
              </w:rPr>
              <w:t>Rp 1,000,000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color w:val="2D3748"/>
                <w:sz w:val="18"/>
              </w:rPr>
              <w:t>PP32-REG04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color w:val="2D3748"/>
                <w:sz w:val="18"/>
              </w:rPr>
              <w:t>Registration Category 4 (Copy/Generic Drug with Bioequivalence Study / Equivalence)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color w:val="2D3748"/>
                <w:sz w:val="18"/>
              </w:rPr>
              <w:t>PP 32/2017 Lampiran I.B.2.a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jc w:val="right"/>
            </w:pPr>
            <w:r>
              <w:rPr>
                <w:color w:val="2D3748"/>
                <w:sz w:val="18"/>
              </w:rPr>
              <w:t>Rp 30,000,000</w:t>
            </w:r>
          </w:p>
        </w:tc>
      </w:tr>
      <w:tr>
        <w:tc>
          <w:tcPr>
            <w:tcW w:type="dxa" w:w="1728"/>
            <w:shd w:fill="E2E8F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9"/>
              </w:rPr>
              <w:t>TOTAL</w:t>
            </w:r>
          </w:p>
        </w:tc>
        <w:tc>
          <w:tcPr>
            <w:tcW w:type="dxa" w:w="4608"/>
            <w:shd w:fill="E2E8F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9"/>
              </w:rPr>
              <w:t>Total Mandatory PNBP Payable (SIMPONI)</w:t>
            </w:r>
          </w:p>
        </w:tc>
        <w:tc>
          <w:tcPr>
            <w:tcW w:type="dxa" w:w="2016"/>
            <w:shd w:fill="E2E8F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9"/>
              </w:rPr>
              <w:t>PP 32/2017</w:t>
            </w:r>
          </w:p>
        </w:tc>
        <w:tc>
          <w:tcPr>
            <w:tcW w:type="dxa" w:w="1728"/>
            <w:shd w:fill="E2E8F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color w:val="1A365D"/>
                <w:sz w:val="19"/>
              </w:rPr>
              <w:t>Rp 31,000,000</w:t>
            </w:r>
          </w:p>
        </w:tc>
      </w:tr>
    </w:tbl>
    <w:p>
      <w:pPr>
        <w:spacing w:after="240"/>
      </w:pPr>
    </w:p>
    <w:p>
      <w:pPr>
        <w:pStyle w:val="Heading2"/>
      </w:pPr>
      <w:r>
        <w:t>3. Critical Pre-Requisites &amp; Regulatory Risk Watchlist</w:t>
      </w:r>
    </w:p>
    <w:p>
      <w:pPr>
        <w:pStyle w:val="ListBullet"/>
      </w:pPr>
      <w:r>
        <w:rPr>
          <w:color w:val="2D3748"/>
          <w:sz w:val="19"/>
        </w:rPr>
        <w:t>Pre-registration submission via BPOM electronic portal (ASROT/New AeS) with 20 Working Days review timeline.</w:t>
      </w:r>
    </w:p>
    <w:p>
      <w:pPr>
        <w:pStyle w:val="ListBullet"/>
      </w:pPr>
      <w:r>
        <w:rPr>
          <w:color w:val="2D3748"/>
          <w:sz w:val="19"/>
        </w:rPr>
        <w:t>Payment of official PNBP e-billing (SIMPONI) within payment validity window (7 calendar days).</w:t>
      </w:r>
    </w:p>
    <w:p>
      <w:pPr>
        <w:pStyle w:val="ListBullet"/>
      </w:pPr>
      <w:r>
        <w:rPr>
          <w:color w:val="2D3748"/>
          <w:sz w:val="19"/>
        </w:rPr>
        <w:t>Submission of dossier in ASEAN Common Technical Dossier (ACTD) format (Parts I to IV).</w:t>
      </w:r>
    </w:p>
    <w:p>
      <w:pPr>
        <w:pStyle w:val="ListBullet"/>
      </w:pPr>
      <w:r>
        <w:rPr>
          <w:color w:val="2D3748"/>
          <w:sz w:val="19"/>
        </w:rPr>
        <w:t>Finished product stability must strictly conform to Climatic Zone IVb (30°C ± 2°C / 75% ± 5% RH) with min. 6 months real-time &amp; accelerated data at submission.</w:t>
      </w:r>
    </w:p>
    <w:p>
      <w:pPr>
        <w:spacing w:after="240"/>
      </w:pPr>
    </w:p>
    <w:p>
      <w:pPr>
        <w:pStyle w:val="Heading2"/>
      </w:pPr>
      <w:r>
        <w:t>4. ACTD Module Dossier Completeness Checklist (Parts I - IV)</w:t>
      </w:r>
    </w:p>
    <w:p>
      <w:pPr>
        <w:pStyle w:val="Heading3"/>
      </w:pPr>
      <w:r>
        <w:t>Part I: Administrative Documents &amp; Labeling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60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ACTD Document Element</w:t>
            </w:r>
          </w:p>
        </w:tc>
        <w:tc>
          <w:tcPr>
            <w:tcW w:type="dxa" w:w="1296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03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BPOM Specific Requirements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1.1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Registration Application Cover Letter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Signed by Pharmacist-in-Charge (PJT) / Regulatory Director of the applicant company.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1.2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Drug Registration Application Form &amp; E-Submission Receipt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Completed via BPOM ASROT / New AeS portal including pre-registration dossiers.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1.3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Applicant Commitment Letter (Authenticity &amp; Patent Declaration)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BPOM standard format with duty stamp; affirming dossier authenticity and non-infringement of patents.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1.4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Applicant Pharmaceutical Industry License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Active Pharma License issued by Ministry of Health RI / OSS-RBA system.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1.5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GMP Certification Documents of Manufacturing Site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Local: Active BPOM GMP cert for relevant dosage line. Imported: Origin GMP cert + BPOM Foreign GMP Recognition Letter.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1.6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Certificate of Pharmaceutical Product (CPP) - WHO Format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color w:val="718096"/>
                <w:sz w:val="17"/>
              </w:rPr>
              <w:t>[WAIVED]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Mandatory for imported drugs. Issued by National Regulatory Authority of exporting country under WHO format.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1.7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Letter of Authorization (LoA) &amp; License Agreement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718096"/>
                <w:sz w:val="17"/>
              </w:rPr>
              <w:t>[WAIVED]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Official authorization letter from foreign principal to local applicant in Indonesia (notarized &amp; apostilled/legalized).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1.8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Summary of Product Characteristics (SmPC / Prescribing Information)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BPOM compliant format; detailing indications, posology, contraindications, adverse reactions, and warnings.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1.9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Patient Information Leaflet (PIL) in Bahasa Indonesia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Mandatory in Bahasa Indonesia, structured for lay clarity per BPOM labeling guidelines.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1.10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Packaging Design (Label, Foil/Blister, Outer Carton Mockups)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Strict BPOM labeling compliance: Rx red circle symbol, black warning boxes, registration number placeholder, 2D barcode.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1.11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Halal Product Assurance &amp; Raw Material Origin Declaration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Official declaration regarding animal origin (porcine-free/porcine trace) and Halal certificate if Halal claim is made.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1.12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Non-Tax State Revenue (PNBP SIMPONI) Payment Receipt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Official e-receipt from SIMPONI / Ministry of Finance portal for pre-reg and registration fees.</w:t>
            </w:r>
          </w:p>
        </w:tc>
      </w:tr>
    </w:tbl>
    <w:p>
      <w:pPr>
        <w:spacing w:after="200"/>
      </w:pPr>
    </w:p>
    <w:p>
      <w:pPr>
        <w:pStyle w:val="Heading3"/>
      </w:pPr>
      <w:r>
        <w:t>Part II: Quality Documents (Drug Substance &amp; Product)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60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ACTD Document Element</w:t>
            </w:r>
          </w:p>
        </w:tc>
        <w:tc>
          <w:tcPr>
            <w:tcW w:type="dxa" w:w="1296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03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BPOM Specific Requirements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2.1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Quality Overall Summary (QOS - ACTD Part II Section A)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Comprehensive narrative summary of Drug Substance (S) and Drug Product (P).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2.2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Drug Substance / Active Pharmaceutical Ingredient (S.1 - S.7)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S.1 Nomenclature, S.2 Synthesis &amp; In-process Controls, S.3 Impurity Profile (Nitrosamines &amp; Elemental Impurities), S.4 Specs &amp; Analytical Validation, S.5 Reference Standards, S.6 Container, S.7 Stability.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2.3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Drug Product (P.1 - P.7: Formulation &amp; Manufacturing Process)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P.1 Description &amp; Formula, P.2 Pharmaceutical Development, P.3 Manufacturing Process &amp; 3-Commercial-Batch Process Validation Report, P.4 Excipient Controls, P.5 Release/Shelf-Life Specs &amp; CoA of 3 Batches, P.6 Ref Standard, P.7 Container System.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2.4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Drug Product Stability Data - Climatic Zone IVb (P.8)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Mandatory Zone IVb data (30°C ± 2°C / 75% ± 5% RH) min. 6 months real-time &amp; accelerated data at submission, with formal commitment letter for ongoing real-time studies.</w:t>
            </w:r>
          </w:p>
        </w:tc>
      </w:tr>
    </w:tbl>
    <w:p>
      <w:pPr>
        <w:spacing w:after="200"/>
      </w:pPr>
    </w:p>
    <w:p>
      <w:pPr>
        <w:pStyle w:val="Heading3"/>
      </w:pPr>
      <w:r>
        <w:t>Part III: Non-Clinical Documents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60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ACTD Document Element</w:t>
            </w:r>
          </w:p>
        </w:tc>
        <w:tc>
          <w:tcPr>
            <w:tcW w:type="dxa" w:w="1296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03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BPOM Specific Requirements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3.1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Nonclinical Overview &amp; Written Summaries (ACTD Part III Section A)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718096"/>
                <w:sz w:val="17"/>
              </w:rPr>
              <w:t>[WAIVED]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Waived for Generic/Copy drugs. Mandatory for NCE and Biological Products.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3.2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Non-Clinical Pharmacodynamics &amp; Pharmacokinetics Reports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color w:val="718096"/>
                <w:sz w:val="17"/>
              </w:rPr>
              <w:t>[WAIVED]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Waived for Generics. For biosimilars: comparative in vitro / in vivo binding and functional assays.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3.3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Toxicology Reports (Single/Repeat Dose, Genotoxicity, Carcinogenicity)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718096"/>
                <w:sz w:val="17"/>
              </w:rPr>
              <w:t>[WAIVED]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Waived for Generics. Must be GLP-compliant for NCE / Novel Biologics.</w:t>
            </w:r>
          </w:p>
        </w:tc>
      </w:tr>
    </w:tbl>
    <w:p>
      <w:pPr>
        <w:spacing w:after="200"/>
      </w:pPr>
    </w:p>
    <w:p>
      <w:pPr>
        <w:pStyle w:val="Heading3"/>
      </w:pPr>
      <w:r>
        <w:t>Part IV: Clinical Documents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60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ACTD Document Element</w:t>
            </w:r>
          </w:p>
        </w:tc>
        <w:tc>
          <w:tcPr>
            <w:tcW w:type="dxa" w:w="1296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03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BPOM Specific Requirements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4.1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Clinical Overview &amp; Clinical Summary (ACTD Part IV Section A)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Synthesis of clinical efficacy and safety. For generics: overview of bioequivalence evidence.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4.2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Bioequivalence (BE) Study Report OR BCS Biowaiver Justification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For Generic Copy: In vivo BE report against BPOM designated Indonesian comparator product, or formal BCS Biowaiver Dossier (Class 1 or 3) per PerBPOM 11/2022.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4.3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Comparative Dissolution Profile (In Vitro Equivalence Report)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[MANDATORY]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Comparative dissolution across 3 buffer media (pH 1.2, pH 4.5, pH 6.8) showing f2 similarity score &gt;= 50.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4.4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Clinical Efficacy &amp; Safety Trial Reports (Phase I - III)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color w:val="718096"/>
                <w:sz w:val="17"/>
              </w:rPr>
              <w:t>[WAIVED]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For Biologics / Biosimilars: Head-to-head clinical PK/PD comparability and Phase 3 clinical equivalence/non-inferiority trials.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4.5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Risk Management Plan (RMP) &amp; Pharmacovigilance System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718096"/>
                <w:sz w:val="17"/>
              </w:rPr>
              <w:t>[WAIVED]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Mandatory for all Biologics and NCEs; detailing pharmacovigilance mechanisms, adverse reaction monitoring, and local safety surveillance.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4.6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Periodic Safety Update Report (PSUR / PBRER) - Latest Periodic Report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color w:val="718096"/>
                <w:sz w:val="17"/>
              </w:rPr>
              <w:t>[WAIVED]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Worldwide post-marketing cumulative safety experience from all countries where the product is currently licensed.</w:t>
            </w:r>
          </w:p>
        </w:tc>
      </w:tr>
    </w:tbl>
    <w:p>
      <w:pPr>
        <w:spacing w:after="20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8096"/>
        <w:sz w:val="16"/>
      </w:rPr>
      <w:t>CONFIDENTIAL - Strictly for Indonesian Drug Registration &amp; Dossier Submission Preparation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18096"/>
        <w:sz w:val="17"/>
      </w:rPr>
      <w:t>BADAN POM RI - REGULATORY AFFAIRS DOSSIER ASSESSMENT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