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C53030"/>
          <w:sz w:val="40"/>
        </w:rPr>
        <w:t>DOSSIER GAP-CHECK &amp; REGULATORY RISK AUDIT REPORT</w:t>
      </w:r>
    </w:p>
    <w:p>
      <w:pPr>
        <w:spacing w:after="320"/>
      </w:pPr>
      <w:r>
        <w:rPr>
          <w:rFonts w:ascii="Calibri" w:hAnsi="Calibri"/>
          <w:color w:val="2B6CB0"/>
          <w:sz w:val="21"/>
        </w:rPr>
        <w:t>Compliance Audit against BPOM ACTD Regulations &amp; Guidelines | Target Product: Pemetrexed Disodium 500mg Powder for Injection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FF5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53030"/>
                <w:sz w:val="21"/>
              </w:rPr>
              <w:t>DOSSIER SUBMISSION READINESS: HIGH RISK: Subject to Outright Rejection at Pre-Reg / Evaluation</w:t>
              <w:br/>
              <w:t>AUDIT SUMMARY: Total 8 Findings | Critical: 4 | Major: 3 | Minor: 1</w:t>
              <w:br/>
              <w:t>RECOMMENDATION: Do NOT file pre-registration until all CRITICAL findings are fully resolved.</w:t>
            </w:r>
          </w:p>
        </w:tc>
      </w:tr>
    </w:tbl>
    <w:p>
      <w:pPr>
        <w:spacing w:after="240"/>
      </w:pPr>
    </w:p>
    <w:p>
      <w:pPr>
        <w:pStyle w:val="Heading2"/>
      </w:pPr>
      <w:r>
        <w:t>Detailed Gap Findings &amp; Remediation Protocols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 &amp; Severity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&amp; Observation</w:t>
            </w:r>
          </w:p>
        </w:tc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BPOM Impact</w:t>
            </w:r>
          </w:p>
        </w:tc>
        <w:tc>
          <w:tcPr>
            <w:tcW w:type="dxa" w:w="316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Remediation Action Plan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GAP-MUTU-01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II Quality (P.8)</w:t>
              <w:br/>
              <w:t>Stability Data Lacks Climatic Zone IVb Testing</w:t>
              <w:br/>
              <w:br/>
            </w:r>
            <w:r>
              <w:rPr>
                <w:color w:val="2D3748"/>
                <w:sz w:val="17"/>
              </w:rPr>
              <w:t>Dossier only provides stability studies conducted under ZONE II (25°C/60% RH). Testing under ASEAN Climatic Zone IVb (30°C ± 2°C / 75% ± 5% RH) is absent.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Immediate rejection during pre-registration or full evaluation clock-stop (Permintaan Tambahan Data).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24/2017 Lampiran III &amp; Pedoman Stabilitas ASEAN (Zone IVb)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Immediately initiate real-time stability under 30°C ± 2°C / 75% ± 5% RH and accelerated testing at 40°C/75% RH. Generate at least 6 months of Zone IVb data prior to submission, accompanied by a signed Stability Commitment Letter.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color w:val="718096"/>
                <w:sz w:val="18"/>
              </w:rPr>
              <w:t>[MINOR]</w:t>
              <w:br/>
              <w:t>GAP-MUTU-03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7"/>
              </w:rPr>
              <w:t>Part II Quality (P.8)</w:t>
              <w:br/>
              <w:t>Ongoing Stability Commitment Letter Missing</w:t>
              <w:br/>
              <w:br/>
            </w:r>
            <w:r>
              <w:rPr>
                <w:color w:val="2D3748"/>
                <w:sz w:val="17"/>
              </w:rPr>
              <w:t>Formal written commitment letter to continue stability testing throughout proposed shelf-life is missing.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sz w:val="17"/>
              </w:rPr>
              <w:t>Minor quality deficiency note requiring submission prior to marketing authorization issuance.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24/2017 Bab IV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7FAFC"/>
          </w:tcPr>
          <w:p>
            <w:r>
              <w:rPr>
                <w:color w:val="2D3748"/>
                <w:sz w:val="17"/>
              </w:rPr>
              <w:t>Draft and execute a formal Stability Commitment Letter signed by QA/Regulatory Director.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GAP-ADM-01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 Administrative (1.6)</w:t>
              <w:br/>
              <w:t>CPP Non-Compliant with WHO Scheme or Expired</w:t>
              <w:br/>
              <w:br/>
            </w:r>
            <w:r>
              <w:rPr>
                <w:color w:val="2D3748"/>
                <w:sz w:val="17"/>
              </w:rPr>
              <w:t>Submitted CPP does not comply with the official WHO Certification Scheme format or has expired.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Outright rejection during Pre-Registration stage (SHPR Rejected). Dossier cannot proceed to main evaluation.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24/2017 Pasal 18 &amp; Rekomendasi WHO TRS 823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Request an updated WHO-format CPP from the issuing health authority in the country of origin with &gt;= 2 years validity.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GAP-ADM-02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 Administrative (1.5)</w:t>
              <w:br/>
              <w:t>Foreign Site Lacks BPOM Foreign GMP Recognition Letter</w:t>
              <w:br/>
              <w:br/>
            </w:r>
            <w:r>
              <w:rPr>
                <w:color w:val="2D3748"/>
                <w:sz w:val="17"/>
              </w:rPr>
              <w:t>Foreign manufacturing site has not obtained BPOM Foreign GMP Recognition / Compliance Certificate.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Marketing Authorization (NIE) cannot be granted. GMP inspection / desk evaluation adds 3 to 6 months to lead time.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27 Tahun 2020 tentang Pengakuan CPOB Luar Negeri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Immediately file an application for Foreign GMP Recognition via BPOM e-CPOB portal (desktop review route if site holds a valid PIC/S authority GMP certificate, or on-site audit).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color w:val="B7791F"/>
                <w:sz w:val="18"/>
              </w:rPr>
              <w:t>[MAJOR]</w:t>
              <w:br/>
              <w:t>GAP-MUTU-04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sz w:val="17"/>
              </w:rPr>
              <w:t>Part II Quality (P.3)</w:t>
              <w:br/>
              <w:t>Process Validation for 3 Consecutive Commercial Batches Incomplete</w:t>
              <w:br/>
              <w:br/>
            </w:r>
            <w:r>
              <w:rPr>
                <w:color w:val="2D3748"/>
                <w:sz w:val="17"/>
              </w:rPr>
              <w:t>Only 1 validation batch reports or validation protocol provided. BPOM strictly requires completed process validation reports from 3 consecutive commercial/production-scale batches.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sz w:val="17"/>
              </w:rPr>
              <w:t>Stage 1 Quality Query (Tambahan Data), creating evaluation hold of up to 60 working days.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24/2017 &amp; Petunjuk Operasional Penerapan CPOB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color w:val="2D3748"/>
                <w:sz w:val="17"/>
              </w:rPr>
              <w:t>Execute and finalize process validation on 3 commercial batches; submit complete validation summary report and batch CoAs.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color w:val="C53030"/>
                <w:sz w:val="18"/>
              </w:rPr>
              <w:t>[CRITICAL]</w:t>
              <w:br/>
              <w:t>GAP-KLIN-02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b/>
                <w:sz w:val="17"/>
              </w:rPr>
              <w:t>Part IV Clinical (4.2)</w:t>
              <w:br/>
              <w:t>BE Comparator Product Not Recognized by BPOM RI</w:t>
              <w:br/>
              <w:br/>
            </w:r>
            <w:r>
              <w:rPr>
                <w:color w:val="2D3748"/>
                <w:sz w:val="17"/>
              </w:rPr>
              <w:t>BE study utilized a foreign comparator not verified or listed on BPOM official reference drug list.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sz w:val="17"/>
              </w:rPr>
              <w:t>BE study is deemed invalid by BPOM Evaluators, necessitating a clinical bridging study or complete re-trial.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11/2022 &amp; Keputusan Kepala BPOM tentang Daftar Obat Inovator Komparator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8F8"/>
          </w:tcPr>
          <w:p>
            <w:r>
              <w:rPr>
                <w:color w:val="2D3748"/>
                <w:sz w:val="17"/>
              </w:rPr>
              <w:t>Submit physical and chemical characterization proving equivalence between the foreign comparator and Indonesian reference innovator.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color w:val="B7791F"/>
                <w:sz w:val="18"/>
              </w:rPr>
              <w:t>[MAJOR]</w:t>
              <w:br/>
              <w:t>GAP-KLIN-03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sz w:val="17"/>
              </w:rPr>
              <w:t>Part IV Clinical (4.3)</w:t>
              <w:br/>
              <w:t>Comparative Dissolution Profile (UDT) Report in 3 Media Missing</w:t>
              <w:br/>
              <w:br/>
            </w:r>
            <w:r>
              <w:rPr>
                <w:color w:val="2D3748"/>
                <w:sz w:val="17"/>
              </w:rPr>
              <w:t>Comparative dissolution test across 3 pH media (pH 1.2, 4.5, 6.8) with f2 similarity calculation is missing.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sz w:val="17"/>
              </w:rPr>
              <w:t>Issuance of Tambahan Data (TD) query resulting in evaluation delay.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11/2022 Lampiran II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color w:val="2D3748"/>
                <w:sz w:val="17"/>
              </w:rPr>
              <w:t>Perform in vitro comparative dissolution in pH 1.2, 4.5, and 6.8 dissolution media demonstrating f2 similarity factor &gt;= 50.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color w:val="B7791F"/>
                <w:sz w:val="18"/>
              </w:rPr>
              <w:t>[MAJOR]</w:t>
              <w:br/>
              <w:t>GAP-ADM-03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b/>
                <w:sz w:val="17"/>
              </w:rPr>
              <w:t>Part I Administrative (1.9)</w:t>
              <w:br/>
              <w:t>Patient Information Leaflet (PIL) Not Available in Bahasa Indonesia</w:t>
              <w:br/>
              <w:br/>
            </w:r>
            <w:r>
              <w:rPr>
                <w:color w:val="2D3748"/>
                <w:sz w:val="17"/>
              </w:rPr>
              <w:t>Patient package insert is only provided in English/foreign language without official Indonesian translation.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sz w:val="17"/>
              </w:rPr>
              <w:t>Labeling evaluation deficiency; approval of final packaging artwork blocked until Indonesian draft is approved.</w:t>
              <w:br/>
              <w:br/>
            </w:r>
            <w:r>
              <w:rPr>
                <w:b/>
                <w:color w:val="2B6CB0"/>
                <w:sz w:val="16"/>
              </w:rPr>
              <w:t>Regulatory Basis:</w:t>
              <w:br/>
              <w:t>PerBPOM No. 24/2017 Bab V tentang Penandaan dan Informasi Produk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CF5"/>
          </w:tcPr>
          <w:p>
            <w:r>
              <w:rPr>
                <w:color w:val="2D3748"/>
                <w:sz w:val="17"/>
              </w:rPr>
              <w:t>Prepare draft Patient Information Leaflet in Bahasa Indonesia aligned with SmPC for evaluator review.</w:t>
            </w:r>
          </w:p>
        </w:tc>
      </w:tr>
    </w:tbl>
    <w:p>
      <w:pPr>
        <w:spacing w:after="320"/>
      </w:pPr>
    </w:p>
    <w:p>
      <w:pPr>
        <w:pStyle w:val="Heading2"/>
      </w:pPr>
      <w:r>
        <w:t>Regulatory Sign-Off Block</w:t>
      </w:r>
    </w:p>
    <w:p>
      <w:r>
        <w:rPr>
          <w:color w:val="2D3748"/>
          <w:sz w:val="19"/>
        </w:rPr>
        <w:t>Verified and Reviewed By:</w:t>
        <w:br/>
        <w:br/>
        <w:br/>
        <w:br/>
        <w:t>________________________________________</w:t>
        <w:br/>
        <w:t>Lead Pharmacist / Head of Regulatory Affairs</w:t>
        <w:br/>
        <w:t>Regulatory Affairs &amp; Quality Assurance Department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096"/>
        <w:sz w:val="16"/>
      </w:rPr>
      <w:t>CONFIDENTIAL REGULATORY AUDIT - Pre-Submission Gap Assessment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8096"/>
        <w:sz w:val="17"/>
      </w:rPr>
      <w:t>BPOM DOSSIER AUDIT &amp; GAP-ANALYSIS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