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38"/>
        </w:rPr>
        <w:t>LAPORAN HASIL EVALUASI DOSSIER REGISTRASI OBAT</w:t>
      </w:r>
    </w:p>
    <w:p>
      <w:pPr>
        <w:spacing w:after="280"/>
      </w:pPr>
      <w:r>
        <w:rPr>
          <w:rFonts w:ascii="Calibri" w:hAnsi="Calibri"/>
          <w:color w:val="2B6CB0"/>
          <w:sz w:val="20"/>
        </w:rPr>
        <w:t>Evaluasi Berdasarkan Peraturan BPOM No. 24/2017 jo. PerBPOM 13/2021 &amp; 24/2023 | Produk: Metforin 500 mg Film-Coated Tablet</w:t>
      </w:r>
    </w:p>
    <w:tbl>
      <w:tblPr>
        <w:tblW w:type="auto" w:w="0"/>
        <w:jc w:val="center"/>
        <w:tblLook w:firstColumn="1" w:firstRow="1" w:lastColumn="0" w:lastRow="0" w:noHBand="0" w:noVBand="1" w:val="04A0"/>
      </w:tblPr>
      <w:tblGrid>
        <w:gridCol w:w="9936"/>
      </w:tblGrid>
      <w:tr>
        <w:tc>
          <w:tcPr>
            <w:tcW w:type="dxa" w:w="10080"/>
            <w:shd w:fill="FFFAF0"/>
            <w:tcMar>
              <w:top w:w="120" w:type="dxa"/>
              <w:bottom w:w="120" w:type="dxa"/>
              <w:left w:w="150" w:type="dxa"/>
              <w:right w:w="150" w:type="dxa"/>
            </w:tcMar>
          </w:tcPr>
          <w:p>
            <w:r>
              <w:rPr>
                <w:rFonts w:ascii="Calibri" w:hAnsi="Calibri"/>
                <w:b/>
                <w:color w:val="B7791F"/>
                <w:sz w:val="20"/>
              </w:rPr>
              <w:t>KEPUTUSAN EVALUASI: PERMINTAAN TAMBAHAN DATA (TD) - Evaluasi Tertunda (Clock-Stop)</w:t>
              <w:br/>
              <w:t>SKOR KEPATUHAN DOSSIER: 94.4% / 100%</w:t>
              <w:br/>
              <w:t>CATATAN TIM EVALUATOR: Dossier dapat dilanjutkan ke tahap evaluasi berikutnya setelah pendaftar memenuhi 2 butir Permintaan Tambahan Data dalam batas waktu 20 Hari Kerja.</w:t>
            </w:r>
          </w:p>
        </w:tc>
      </w:tr>
    </w:tbl>
    <w:p>
      <w:pPr>
        <w:spacing w:after="200"/>
      </w:pPr>
    </w:p>
    <w:p>
      <w:pPr>
        <w:pStyle w:val="Heading2"/>
      </w:pPr>
      <w:r>
        <w:t>1. Data Identitas Obat &amp; Pendaftaran</w:t>
      </w:r>
    </w:p>
    <w:tbl>
      <w:tblPr>
        <w:tblW w:type="auto" w:w="0"/>
        <w:jc w:val="center"/>
        <w:tblLook w:firstColumn="1" w:firstRow="1" w:lastColumn="0" w:lastRow="0" w:noHBand="0" w:noVBand="1" w:val="04A0"/>
      </w:tblPr>
      <w:tblGrid>
        <w:gridCol w:w="4968"/>
        <w:gridCol w:w="4968"/>
      </w:tblGrid>
      <w:tr>
        <w:tc>
          <w:tcPr>
            <w:tcW w:type="dxa" w:w="3168"/>
            <w:shd w:fill="F7FAFC"/>
            <w:tcMar>
              <w:top w:w="60" w:type="dxa"/>
              <w:bottom w:w="60" w:type="dxa"/>
              <w:left w:w="100" w:type="dxa"/>
              <w:right w:w="100" w:type="dxa"/>
            </w:tcMar>
          </w:tcPr>
          <w:p>
            <w:r>
              <w:rPr>
                <w:b/>
                <w:sz w:val="18"/>
              </w:rPr>
              <w:t>Nama Produk Obat</w:t>
            </w:r>
          </w:p>
        </w:tc>
        <w:tc>
          <w:tcPr>
            <w:tcW w:type="dxa" w:w="6912"/>
            <w:tcMar>
              <w:top w:w="60" w:type="dxa"/>
              <w:bottom w:w="60" w:type="dxa"/>
              <w:left w:w="100" w:type="dxa"/>
              <w:right w:w="100" w:type="dxa"/>
            </w:tcMar>
          </w:tcPr>
          <w:p>
            <w:r>
              <w:rPr>
                <w:sz w:val="18"/>
              </w:rPr>
              <w:t>Metforin 500 mg Film-Coated Tablet</w:t>
            </w:r>
          </w:p>
        </w:tc>
      </w:tr>
      <w:tr>
        <w:tc>
          <w:tcPr>
            <w:tcW w:type="dxa" w:w="3168"/>
            <w:shd w:fill="F7FAFC"/>
            <w:tcMar>
              <w:top w:w="60" w:type="dxa"/>
              <w:bottom w:w="60" w:type="dxa"/>
              <w:left w:w="100" w:type="dxa"/>
              <w:right w:w="100" w:type="dxa"/>
            </w:tcMar>
          </w:tcPr>
          <w:p>
            <w:r>
              <w:rPr>
                <w:b/>
                <w:sz w:val="18"/>
              </w:rPr>
              <w:t>Bentuk Sediaan &amp; Kekuatan</w:t>
            </w:r>
          </w:p>
        </w:tc>
        <w:tc>
          <w:tcPr>
            <w:tcW w:type="dxa" w:w="6912"/>
            <w:tcMar>
              <w:top w:w="60" w:type="dxa"/>
              <w:bottom w:w="60" w:type="dxa"/>
              <w:left w:w="100" w:type="dxa"/>
              <w:right w:w="100" w:type="dxa"/>
            </w:tcMar>
          </w:tcPr>
          <w:p>
            <w:r>
              <w:rPr>
                <w:sz w:val="18"/>
              </w:rPr>
              <w:t>- | -</w:t>
            </w:r>
          </w:p>
        </w:tc>
      </w:tr>
      <w:tr>
        <w:tc>
          <w:tcPr>
            <w:tcW w:type="dxa" w:w="3168"/>
            <w:shd w:fill="F7FAFC"/>
            <w:tcMar>
              <w:top w:w="60" w:type="dxa"/>
              <w:bottom w:w="60" w:type="dxa"/>
              <w:left w:w="100" w:type="dxa"/>
              <w:right w:w="100" w:type="dxa"/>
            </w:tcMar>
          </w:tcPr>
          <w:p>
            <w:r>
              <w:rPr>
                <w:b/>
                <w:sz w:val="18"/>
              </w:rPr>
              <w:t>Klasifikasi &amp; Asal</w:t>
            </w:r>
          </w:p>
        </w:tc>
        <w:tc>
          <w:tcPr>
            <w:tcW w:type="dxa" w:w="6912"/>
            <w:tcMar>
              <w:top w:w="60" w:type="dxa"/>
              <w:bottom w:w="60" w:type="dxa"/>
              <w:left w:w="100" w:type="dxa"/>
              <w:right w:w="100" w:type="dxa"/>
            </w:tcMar>
          </w:tcPr>
          <w:p>
            <w:r>
              <w:rPr>
                <w:sz w:val="18"/>
              </w:rPr>
              <w:t>GENERIC (LOCAL)</w:t>
            </w:r>
          </w:p>
        </w:tc>
      </w:tr>
      <w:tr>
        <w:tc>
          <w:tcPr>
            <w:tcW w:type="dxa" w:w="3168"/>
            <w:shd w:fill="F7FAFC"/>
            <w:tcMar>
              <w:top w:w="60" w:type="dxa"/>
              <w:bottom w:w="60" w:type="dxa"/>
              <w:left w:w="100" w:type="dxa"/>
              <w:right w:w="100" w:type="dxa"/>
            </w:tcMar>
          </w:tcPr>
          <w:p>
            <w:r>
              <w:rPr>
                <w:b/>
                <w:sz w:val="18"/>
              </w:rPr>
              <w:t>Tanggal Penilaian</w:t>
            </w:r>
          </w:p>
        </w:tc>
        <w:tc>
          <w:tcPr>
            <w:tcW w:type="dxa" w:w="6912"/>
            <w:tcMar>
              <w:top w:w="60" w:type="dxa"/>
              <w:bottom w:w="60" w:type="dxa"/>
              <w:left w:w="100" w:type="dxa"/>
              <w:right w:w="100" w:type="dxa"/>
            </w:tcMar>
          </w:tcPr>
          <w:p>
            <w:r>
              <w:rPr>
                <w:sz w:val="18"/>
              </w:rPr>
              <w:t>Tahun Anggaran 2026</w:t>
            </w:r>
          </w:p>
        </w:tc>
      </w:tr>
    </w:tbl>
    <w:p>
      <w:pPr>
        <w:spacing w:after="200"/>
      </w:pPr>
    </w:p>
    <w:p>
      <w:pPr>
        <w:pStyle w:val="Heading2"/>
      </w:pPr>
      <w:r>
        <w:t>2. Hasil Penilaian Per Bagian Modul ACTD</w:t>
      </w:r>
    </w:p>
    <w:tbl>
      <w:tblPr>
        <w:tblW w:type="auto" w:w="0"/>
        <w:jc w:val="center"/>
        <w:tblLook w:firstColumn="1" w:firstRow="1" w:lastColumn="0" w:lastRow="0" w:noHBand="0" w:noVBand="1" w:val="04A0"/>
      </w:tblPr>
      <w:tblGrid>
        <w:gridCol w:w="2484"/>
        <w:gridCol w:w="2484"/>
        <w:gridCol w:w="2484"/>
        <w:gridCol w:w="2484"/>
      </w:tblGrid>
      <w:tr>
        <w:tc>
          <w:tcPr>
            <w:tcW w:type="dxa" w:w="1440"/>
            <w:shd w:fill="1A365D"/>
            <w:tcMar>
              <w:top w:w="140" w:type="dxa"/>
              <w:bottom w:w="140" w:type="dxa"/>
              <w:left w:w="150" w:type="dxa"/>
              <w:right w:w="150" w:type="dxa"/>
            </w:tcMar>
          </w:tcPr>
          <w:p>
            <w:pPr>
              <w:jc w:val="left"/>
            </w:pPr>
            <w:r>
              <w:rPr>
                <w:rFonts w:ascii="Calibri" w:hAnsi="Calibri"/>
                <w:b/>
                <w:color w:val="FFFFFF"/>
                <w:sz w:val="20"/>
              </w:rPr>
              <w:t>Kode</w:t>
            </w:r>
          </w:p>
        </w:tc>
        <w:tc>
          <w:tcPr>
            <w:tcW w:type="dxa" w:w="2592"/>
            <w:shd w:fill="1A365D"/>
            <w:tcMar>
              <w:top w:w="140" w:type="dxa"/>
              <w:bottom w:w="140" w:type="dxa"/>
              <w:left w:w="150" w:type="dxa"/>
              <w:right w:w="150" w:type="dxa"/>
            </w:tcMar>
          </w:tcPr>
          <w:p>
            <w:pPr>
              <w:jc w:val="left"/>
            </w:pPr>
            <w:r>
              <w:rPr>
                <w:rFonts w:ascii="Calibri" w:hAnsi="Calibri"/>
                <w:b/>
                <w:color w:val="FFFFFF"/>
                <w:sz w:val="20"/>
              </w:rPr>
              <w:t>Parameter Modul</w:t>
            </w:r>
          </w:p>
        </w:tc>
        <w:tc>
          <w:tcPr>
            <w:tcW w:type="dxa" w:w="1296"/>
            <w:shd w:fill="1A365D"/>
            <w:tcMar>
              <w:top w:w="140" w:type="dxa"/>
              <w:bottom w:w="140" w:type="dxa"/>
              <w:left w:w="150" w:type="dxa"/>
              <w:right w:w="150" w:type="dxa"/>
            </w:tcMar>
          </w:tcPr>
          <w:p>
            <w:pPr>
              <w:jc w:val="left"/>
            </w:pPr>
            <w:r>
              <w:rPr>
                <w:rFonts w:ascii="Calibri" w:hAnsi="Calibri"/>
                <w:b/>
                <w:color w:val="FFFFFF"/>
                <w:sz w:val="20"/>
              </w:rPr>
              <w:t>Status</w:t>
            </w:r>
          </w:p>
        </w:tc>
        <w:tc>
          <w:tcPr>
            <w:tcW w:type="dxa" w:w="4752"/>
            <w:shd w:fill="1A365D"/>
            <w:tcMar>
              <w:top w:w="140" w:type="dxa"/>
              <w:bottom w:w="140" w:type="dxa"/>
              <w:left w:w="150" w:type="dxa"/>
              <w:right w:w="150" w:type="dxa"/>
            </w:tcMar>
          </w:tcPr>
          <w:p>
            <w:pPr>
              <w:jc w:val="left"/>
            </w:pPr>
            <w:r>
              <w:rPr>
                <w:rFonts w:ascii="Calibri" w:hAnsi="Calibri"/>
                <w:b/>
                <w:color w:val="FFFFFF"/>
                <w:sz w:val="20"/>
              </w:rPr>
              <w:t>Catatan Hasil Penilaian Evaluator BPOM</w:t>
            </w:r>
          </w:p>
        </w:tc>
      </w:tr>
      <w:tr>
        <w:tc>
          <w:tcPr>
            <w:tcW w:type="dxa" w:w="1440"/>
            <w:tcMar>
              <w:top w:w="60" w:type="dxa"/>
              <w:bottom w:w="60" w:type="dxa"/>
              <w:left w:w="80" w:type="dxa"/>
              <w:right w:w="80" w:type="dxa"/>
            </w:tcMar>
          </w:tcPr>
          <w:p>
            <w:r>
              <w:rPr>
                <w:sz w:val="17"/>
              </w:rPr>
              <w:t>EVAL-ADM-01</w:t>
            </w:r>
          </w:p>
        </w:tc>
        <w:tc>
          <w:tcPr>
            <w:tcW w:type="dxa" w:w="2592"/>
            <w:tcMar>
              <w:top w:w="60" w:type="dxa"/>
              <w:bottom w:w="60" w:type="dxa"/>
              <w:left w:w="80" w:type="dxa"/>
              <w:right w:w="80" w:type="dxa"/>
            </w:tcMar>
          </w:tcPr>
          <w:p>
            <w:r>
              <w:rPr>
                <w:sz w:val="17"/>
              </w:rPr>
              <w:t>Part I: Administratif</w:t>
              <w:br/>
              <w:t>Sertifikasi CPOB / Pengakuan CPOB Luar Negeri</w:t>
            </w:r>
          </w:p>
        </w:tc>
        <w:tc>
          <w:tcPr>
            <w:tcW w:type="dxa" w:w="1296"/>
            <w:tcMar>
              <w:top w:w="60" w:type="dxa"/>
              <w:bottom w:w="60" w:type="dxa"/>
              <w:left w:w="80" w:type="dxa"/>
              <w:right w:w="80" w:type="dxa"/>
            </w:tcMar>
          </w:tcPr>
          <w:p>
            <w:pPr>
              <w:jc w:val="center"/>
            </w:pPr>
            <w:r>
              <w:rPr>
                <w:b/>
                <w:color w:val="28744B"/>
                <w:sz w:val="17"/>
              </w:rPr>
              <w:t>[MS]</w:t>
              <w:br/>
              <w:t>10.0/10.0</w:t>
            </w:r>
          </w:p>
        </w:tc>
        <w:tc>
          <w:tcPr>
            <w:tcW w:type="dxa" w:w="4752"/>
            <w:tcMar>
              <w:top w:w="60" w:type="dxa"/>
              <w:bottom w:w="60" w:type="dxa"/>
              <w:left w:w="80" w:type="dxa"/>
              <w:right w:w="80" w:type="dxa"/>
            </w:tcMar>
          </w:tcPr>
          <w:p>
            <w:r>
              <w:rPr>
                <w:sz w:val="17"/>
              </w:rPr>
              <w:t>Pemenuhan CPOB telah diverifikasi dan masih berlaku untuk bentuk sediaan yang diajukan.</w:t>
            </w:r>
          </w:p>
        </w:tc>
      </w:tr>
      <w:tr>
        <w:tc>
          <w:tcPr>
            <w:tcW w:type="dxa" w:w="1440"/>
            <w:tcMar>
              <w:top w:w="60" w:type="dxa"/>
              <w:bottom w:w="60" w:type="dxa"/>
              <w:left w:w="80" w:type="dxa"/>
              <w:right w:w="80" w:type="dxa"/>
            </w:tcMar>
            <w:shd w:fill="F7FAFC"/>
          </w:tcPr>
          <w:p>
            <w:r>
              <w:rPr>
                <w:sz w:val="17"/>
              </w:rPr>
              <w:t>EVAL-ADM-03</w:t>
            </w:r>
          </w:p>
        </w:tc>
        <w:tc>
          <w:tcPr>
            <w:tcW w:type="dxa" w:w="2592"/>
            <w:tcMar>
              <w:top w:w="60" w:type="dxa"/>
              <w:bottom w:w="60" w:type="dxa"/>
              <w:left w:w="80" w:type="dxa"/>
              <w:right w:w="80" w:type="dxa"/>
            </w:tcMar>
            <w:shd w:fill="F7FAFC"/>
          </w:tcPr>
          <w:p>
            <w:r>
              <w:rPr>
                <w:sz w:val="17"/>
              </w:rPr>
              <w:t>Part I: Administratif</w:t>
              <w:br/>
              <w:t>Informasi Produk (SmPC) &amp; Brosur Pasien (PIL) Bahasa Indonesia</w:t>
            </w:r>
          </w:p>
        </w:tc>
        <w:tc>
          <w:tcPr>
            <w:tcW w:type="dxa" w:w="1296"/>
            <w:tcMar>
              <w:top w:w="60" w:type="dxa"/>
              <w:bottom w:w="60" w:type="dxa"/>
              <w:left w:w="80" w:type="dxa"/>
              <w:right w:w="80" w:type="dxa"/>
            </w:tcMar>
            <w:shd w:fill="F7FAFC"/>
          </w:tcPr>
          <w:p>
            <w:pPr>
              <w:jc w:val="center"/>
            </w:pPr>
            <w:r>
              <w:rPr>
                <w:b/>
                <w:color w:val="28744B"/>
                <w:sz w:val="17"/>
              </w:rPr>
              <w:t>[MS]</w:t>
              <w:br/>
              <w:t>10.0/10.0</w:t>
            </w:r>
          </w:p>
        </w:tc>
        <w:tc>
          <w:tcPr>
            <w:tcW w:type="dxa" w:w="4752"/>
            <w:tcMar>
              <w:top w:w="60" w:type="dxa"/>
              <w:bottom w:w="60" w:type="dxa"/>
              <w:left w:w="80" w:type="dxa"/>
              <w:right w:w="80" w:type="dxa"/>
            </w:tcMar>
            <w:shd w:fill="F7FAFC"/>
          </w:tcPr>
          <w:p>
            <w:r>
              <w:rPr>
                <w:sz w:val="17"/>
              </w:rPr>
              <w:t>Naskah brosur pasien dalam Bahasa Indonesia telah memenuhi ketentuan penandaan BPOM.</w:t>
            </w:r>
          </w:p>
        </w:tc>
      </w:tr>
      <w:tr>
        <w:tc>
          <w:tcPr>
            <w:tcW w:type="dxa" w:w="1440"/>
            <w:tcMar>
              <w:top w:w="60" w:type="dxa"/>
              <w:bottom w:w="60" w:type="dxa"/>
              <w:left w:w="80" w:type="dxa"/>
              <w:right w:w="80" w:type="dxa"/>
            </w:tcMar>
          </w:tcPr>
          <w:p>
            <w:r>
              <w:rPr>
                <w:sz w:val="17"/>
              </w:rPr>
              <w:t>EVAL-ADM-04</w:t>
            </w:r>
          </w:p>
        </w:tc>
        <w:tc>
          <w:tcPr>
            <w:tcW w:type="dxa" w:w="2592"/>
            <w:tcMar>
              <w:top w:w="60" w:type="dxa"/>
              <w:bottom w:w="60" w:type="dxa"/>
              <w:left w:w="80" w:type="dxa"/>
              <w:right w:w="80" w:type="dxa"/>
            </w:tcMar>
          </w:tcPr>
          <w:p>
            <w:r>
              <w:rPr>
                <w:sz w:val="17"/>
              </w:rPr>
              <w:t>Part I: Administratif</w:t>
              <w:br/>
              <w:t>Pernyataan Asal Bahan Baku &amp; Jaminan Produk Halal (UU JPH)</w:t>
            </w:r>
          </w:p>
        </w:tc>
        <w:tc>
          <w:tcPr>
            <w:tcW w:type="dxa" w:w="1296"/>
            <w:tcMar>
              <w:top w:w="60" w:type="dxa"/>
              <w:bottom w:w="60" w:type="dxa"/>
              <w:left w:w="80" w:type="dxa"/>
              <w:right w:w="80" w:type="dxa"/>
            </w:tcMar>
          </w:tcPr>
          <w:p>
            <w:pPr>
              <w:jc w:val="center"/>
            </w:pPr>
            <w:r>
              <w:rPr>
                <w:b/>
                <w:color w:val="28744B"/>
                <w:sz w:val="17"/>
              </w:rPr>
              <w:t>[MS]</w:t>
              <w:br/>
              <w:t>5.0/5.0</w:t>
            </w:r>
          </w:p>
        </w:tc>
        <w:tc>
          <w:tcPr>
            <w:tcW w:type="dxa" w:w="4752"/>
            <w:tcMar>
              <w:top w:w="60" w:type="dxa"/>
              <w:bottom w:w="60" w:type="dxa"/>
              <w:left w:w="80" w:type="dxa"/>
              <w:right w:w="80" w:type="dxa"/>
            </w:tcMar>
          </w:tcPr>
          <w:p>
            <w:r>
              <w:rPr>
                <w:sz w:val="17"/>
              </w:rPr>
              <w:t>Surat pernyataan asal bahan baku (porcine/non-porcine statement) telah dilampirkan lengkap.</w:t>
            </w:r>
          </w:p>
        </w:tc>
      </w:tr>
      <w:tr>
        <w:tc>
          <w:tcPr>
            <w:tcW w:type="dxa" w:w="1440"/>
            <w:tcMar>
              <w:top w:w="60" w:type="dxa"/>
              <w:bottom w:w="60" w:type="dxa"/>
              <w:left w:w="80" w:type="dxa"/>
              <w:right w:w="80" w:type="dxa"/>
            </w:tcMar>
            <w:shd w:fill="F7FAFC"/>
          </w:tcPr>
          <w:p>
            <w:r>
              <w:rPr>
                <w:sz w:val="17"/>
              </w:rPr>
              <w:t>EVAL-Q-01</w:t>
            </w:r>
          </w:p>
        </w:tc>
        <w:tc>
          <w:tcPr>
            <w:tcW w:type="dxa" w:w="2592"/>
            <w:tcMar>
              <w:top w:w="60" w:type="dxa"/>
              <w:bottom w:w="60" w:type="dxa"/>
              <w:left w:w="80" w:type="dxa"/>
              <w:right w:w="80" w:type="dxa"/>
            </w:tcMar>
            <w:shd w:fill="F7FAFC"/>
          </w:tcPr>
          <w:p>
            <w:r>
              <w:rPr>
                <w:sz w:val="17"/>
              </w:rPr>
              <w:t>Part II: Mutu (P.3)</w:t>
              <w:br/>
              <w:t>Validasi Proses Pembuatan 3 Bets Skala Komersial</w:t>
            </w:r>
          </w:p>
        </w:tc>
        <w:tc>
          <w:tcPr>
            <w:tcW w:type="dxa" w:w="1296"/>
            <w:tcMar>
              <w:top w:w="60" w:type="dxa"/>
              <w:bottom w:w="60" w:type="dxa"/>
              <w:left w:w="80" w:type="dxa"/>
              <w:right w:w="80" w:type="dxa"/>
            </w:tcMar>
            <w:shd w:fill="F7FAFC"/>
          </w:tcPr>
          <w:p>
            <w:pPr>
              <w:jc w:val="center"/>
            </w:pPr>
            <w:r>
              <w:rPr>
                <w:b/>
                <w:color w:val="28744B"/>
                <w:sz w:val="17"/>
              </w:rPr>
              <w:t>[MS]</w:t>
              <w:br/>
              <w:t>15.0/15.0</w:t>
            </w:r>
          </w:p>
        </w:tc>
        <w:tc>
          <w:tcPr>
            <w:tcW w:type="dxa" w:w="4752"/>
            <w:tcMar>
              <w:top w:w="60" w:type="dxa"/>
              <w:bottom w:w="60" w:type="dxa"/>
              <w:left w:w="80" w:type="dxa"/>
              <w:right w:w="80" w:type="dxa"/>
            </w:tcMar>
            <w:shd w:fill="F7FAFC"/>
          </w:tcPr>
          <w:p>
            <w:r>
              <w:rPr>
                <w:sz w:val="17"/>
              </w:rPr>
              <w:t>Laporan validasi proses lengkap pada 3 bets komersial berturut-turut telah memenuhi syarat.</w:t>
            </w:r>
          </w:p>
        </w:tc>
      </w:tr>
      <w:tr>
        <w:tc>
          <w:tcPr>
            <w:tcW w:type="dxa" w:w="1440"/>
            <w:tcMar>
              <w:top w:w="60" w:type="dxa"/>
              <w:bottom w:w="60" w:type="dxa"/>
              <w:left w:w="80" w:type="dxa"/>
              <w:right w:w="80" w:type="dxa"/>
            </w:tcMar>
          </w:tcPr>
          <w:p>
            <w:r>
              <w:rPr>
                <w:sz w:val="17"/>
              </w:rPr>
              <w:t>EVAL-Q-02</w:t>
            </w:r>
          </w:p>
        </w:tc>
        <w:tc>
          <w:tcPr>
            <w:tcW w:type="dxa" w:w="2592"/>
            <w:tcMar>
              <w:top w:w="60" w:type="dxa"/>
              <w:bottom w:w="60" w:type="dxa"/>
              <w:left w:w="80" w:type="dxa"/>
              <w:right w:w="80" w:type="dxa"/>
            </w:tcMar>
          </w:tcPr>
          <w:p>
            <w:r>
              <w:rPr>
                <w:sz w:val="17"/>
              </w:rPr>
              <w:t>Part II: Mutu (P.8)</w:t>
              <w:br/>
              <w:t>Data Stabilitas Produk Jadi Kondisi Zona Iklim IVb (30°C/75% RH)</w:t>
            </w:r>
          </w:p>
        </w:tc>
        <w:tc>
          <w:tcPr>
            <w:tcW w:type="dxa" w:w="1296"/>
            <w:tcMar>
              <w:top w:w="60" w:type="dxa"/>
              <w:bottom w:w="60" w:type="dxa"/>
              <w:left w:w="80" w:type="dxa"/>
              <w:right w:w="80" w:type="dxa"/>
            </w:tcMar>
          </w:tcPr>
          <w:p>
            <w:pPr>
              <w:jc w:val="center"/>
            </w:pPr>
            <w:r>
              <w:rPr>
                <w:b/>
                <w:color w:val="28744B"/>
                <w:sz w:val="17"/>
              </w:rPr>
              <w:t>[MS]</w:t>
              <w:br/>
              <w:t>20.0/20.0</w:t>
            </w:r>
          </w:p>
        </w:tc>
        <w:tc>
          <w:tcPr>
            <w:tcW w:type="dxa" w:w="4752"/>
            <w:tcMar>
              <w:top w:w="60" w:type="dxa"/>
              <w:bottom w:w="60" w:type="dxa"/>
              <w:left w:w="80" w:type="dxa"/>
              <w:right w:w="80" w:type="dxa"/>
            </w:tcMar>
          </w:tcPr>
          <w:p>
            <w:r>
              <w:rPr>
                <w:sz w:val="17"/>
              </w:rPr>
              <w:t>Tersedia data stabilitas real-time Zona IVb selama 6 bulan dan dipercepat 40°C/75% RH selama 6 bulan.</w:t>
            </w:r>
          </w:p>
        </w:tc>
      </w:tr>
      <w:tr>
        <w:tc>
          <w:tcPr>
            <w:tcW w:type="dxa" w:w="1440"/>
            <w:tcMar>
              <w:top w:w="60" w:type="dxa"/>
              <w:bottom w:w="60" w:type="dxa"/>
              <w:left w:w="80" w:type="dxa"/>
              <w:right w:w="80" w:type="dxa"/>
            </w:tcMar>
            <w:shd w:fill="FFFAF0"/>
          </w:tcPr>
          <w:p>
            <w:r>
              <w:rPr>
                <w:sz w:val="17"/>
              </w:rPr>
              <w:t>EVAL-Q-03</w:t>
            </w:r>
          </w:p>
        </w:tc>
        <w:tc>
          <w:tcPr>
            <w:tcW w:type="dxa" w:w="2592"/>
            <w:tcMar>
              <w:top w:w="60" w:type="dxa"/>
              <w:bottom w:w="60" w:type="dxa"/>
              <w:left w:w="80" w:type="dxa"/>
              <w:right w:w="80" w:type="dxa"/>
            </w:tcMar>
            <w:shd w:fill="FFFAF0"/>
          </w:tcPr>
          <w:p>
            <w:r>
              <w:rPr>
                <w:sz w:val="17"/>
              </w:rPr>
              <w:t>Part II: Mutu (P.8)</w:t>
              <w:br/>
              <w:t>Surat Komitmen Uji Stabilitas Lanjutan Zona IVb</w:t>
            </w:r>
          </w:p>
        </w:tc>
        <w:tc>
          <w:tcPr>
            <w:tcW w:type="dxa" w:w="1296"/>
            <w:tcMar>
              <w:top w:w="60" w:type="dxa"/>
              <w:bottom w:w="60" w:type="dxa"/>
              <w:left w:w="80" w:type="dxa"/>
              <w:right w:w="80" w:type="dxa"/>
            </w:tcMar>
            <w:shd w:fill="FFFAF0"/>
          </w:tcPr>
          <w:p>
            <w:pPr>
              <w:jc w:val="center"/>
            </w:pPr>
            <w:r>
              <w:rPr>
                <w:b/>
                <w:color w:val="B7791F"/>
                <w:sz w:val="17"/>
              </w:rPr>
              <w:t>[TD]</w:t>
              <w:br/>
              <w:t>2.0/5.0</w:t>
            </w:r>
          </w:p>
        </w:tc>
        <w:tc>
          <w:tcPr>
            <w:tcW w:type="dxa" w:w="4752"/>
            <w:tcMar>
              <w:top w:w="60" w:type="dxa"/>
              <w:bottom w:w="60" w:type="dxa"/>
              <w:left w:w="80" w:type="dxa"/>
              <w:right w:w="80" w:type="dxa"/>
            </w:tcMar>
            <w:shd w:fill="FFFAF0"/>
          </w:tcPr>
          <w:p>
            <w:r>
              <w:rPr>
                <w:sz w:val="17"/>
              </w:rPr>
              <w:t>Surat komitmen uji stabilitas lanjutan belum dilampirkan.</w:t>
            </w:r>
          </w:p>
        </w:tc>
      </w:tr>
      <w:tr>
        <w:tc>
          <w:tcPr>
            <w:tcW w:type="dxa" w:w="1440"/>
            <w:tcMar>
              <w:top w:w="60" w:type="dxa"/>
              <w:bottom w:w="60" w:type="dxa"/>
              <w:left w:w="80" w:type="dxa"/>
              <w:right w:w="80" w:type="dxa"/>
            </w:tcMar>
          </w:tcPr>
          <w:p>
            <w:r>
              <w:rPr>
                <w:sz w:val="17"/>
              </w:rPr>
              <w:t>EVAL-NC-01</w:t>
            </w:r>
          </w:p>
        </w:tc>
        <w:tc>
          <w:tcPr>
            <w:tcW w:type="dxa" w:w="2592"/>
            <w:tcMar>
              <w:top w:w="60" w:type="dxa"/>
              <w:bottom w:w="60" w:type="dxa"/>
              <w:left w:w="80" w:type="dxa"/>
              <w:right w:w="80" w:type="dxa"/>
            </w:tcMar>
          </w:tcPr>
          <w:p>
            <w:r>
              <w:rPr>
                <w:sz w:val="17"/>
              </w:rPr>
              <w:t>Part III: Non-Klinis</w:t>
              <w:br/>
              <w:t>Kajian Farmakologi &amp; Toksikologi Non-Klinis</w:t>
            </w:r>
          </w:p>
        </w:tc>
        <w:tc>
          <w:tcPr>
            <w:tcW w:type="dxa" w:w="1296"/>
            <w:tcMar>
              <w:top w:w="60" w:type="dxa"/>
              <w:bottom w:w="60" w:type="dxa"/>
              <w:left w:w="80" w:type="dxa"/>
              <w:right w:w="80" w:type="dxa"/>
            </w:tcMar>
          </w:tcPr>
          <w:p>
            <w:pPr>
              <w:jc w:val="center"/>
            </w:pPr>
            <w:r>
              <w:rPr>
                <w:b/>
                <w:sz w:val="17"/>
              </w:rPr>
              <w:t>[WAIVED]</w:t>
              <w:br/>
              <w:t>5.0/5.0</w:t>
            </w:r>
          </w:p>
        </w:tc>
        <w:tc>
          <w:tcPr>
            <w:tcW w:type="dxa" w:w="4752"/>
            <w:tcMar>
              <w:top w:w="60" w:type="dxa"/>
              <w:bottom w:w="60" w:type="dxa"/>
              <w:left w:w="80" w:type="dxa"/>
              <w:right w:w="80" w:type="dxa"/>
            </w:tcMar>
          </w:tcPr>
          <w:p>
            <w:r>
              <w:rPr>
                <w:sz w:val="17"/>
              </w:rPr>
              <w:t>Dikecualikan (Waived) untuk Obat Generik / Copy sesuai ketentuan PerBPOM No. 24/2017.</w:t>
            </w:r>
          </w:p>
        </w:tc>
      </w:tr>
      <w:tr>
        <w:tc>
          <w:tcPr>
            <w:tcW w:type="dxa" w:w="1440"/>
            <w:tcMar>
              <w:top w:w="60" w:type="dxa"/>
              <w:bottom w:w="60" w:type="dxa"/>
              <w:left w:w="80" w:type="dxa"/>
              <w:right w:w="80" w:type="dxa"/>
            </w:tcMar>
            <w:shd w:fill="F7FAFC"/>
          </w:tcPr>
          <w:p>
            <w:r>
              <w:rPr>
                <w:sz w:val="17"/>
              </w:rPr>
              <w:t>EVAL-CLIN-01</w:t>
            </w:r>
          </w:p>
        </w:tc>
        <w:tc>
          <w:tcPr>
            <w:tcW w:type="dxa" w:w="2592"/>
            <w:tcMar>
              <w:top w:w="60" w:type="dxa"/>
              <w:bottom w:w="60" w:type="dxa"/>
              <w:left w:w="80" w:type="dxa"/>
              <w:right w:w="80" w:type="dxa"/>
            </w:tcMar>
            <w:shd w:fill="F7FAFC"/>
          </w:tcPr>
          <w:p>
            <w:r>
              <w:rPr>
                <w:sz w:val="17"/>
              </w:rPr>
              <w:t>Part IV: Klinis (4.2)</w:t>
              <w:br/>
              <w:t>Laporan Uji Bioekivalensi (BE) In Vivo vs Inovator Resmi BPOM</w:t>
            </w:r>
          </w:p>
        </w:tc>
        <w:tc>
          <w:tcPr>
            <w:tcW w:type="dxa" w:w="1296"/>
            <w:tcMar>
              <w:top w:w="60" w:type="dxa"/>
              <w:bottom w:w="60" w:type="dxa"/>
              <w:left w:w="80" w:type="dxa"/>
              <w:right w:w="80" w:type="dxa"/>
            </w:tcMar>
            <w:shd w:fill="F7FAFC"/>
          </w:tcPr>
          <w:p>
            <w:pPr>
              <w:jc w:val="center"/>
            </w:pPr>
            <w:r>
              <w:rPr>
                <w:b/>
                <w:color w:val="28744B"/>
                <w:sz w:val="17"/>
              </w:rPr>
              <w:t>[MS]</w:t>
              <w:br/>
              <w:t>15.0/15.0</w:t>
            </w:r>
          </w:p>
        </w:tc>
        <w:tc>
          <w:tcPr>
            <w:tcW w:type="dxa" w:w="4752"/>
            <w:tcMar>
              <w:top w:w="60" w:type="dxa"/>
              <w:bottom w:w="60" w:type="dxa"/>
              <w:left w:w="80" w:type="dxa"/>
              <w:right w:w="80" w:type="dxa"/>
            </w:tcMar>
            <w:shd w:fill="F7FAFC"/>
          </w:tcPr>
          <w:p>
            <w:r>
              <w:rPr>
                <w:sz w:val="17"/>
              </w:rPr>
              <w:t>Uji BE memenuhi kriteria bioekivalen: 90% Confidence Interval AUC0-t dan Cmax berada dalam rentang 80.00% - 125.00% terhadap inovator terdaftar.</w:t>
            </w:r>
          </w:p>
        </w:tc>
      </w:tr>
      <w:tr>
        <w:tc>
          <w:tcPr>
            <w:tcW w:type="dxa" w:w="1440"/>
            <w:tcMar>
              <w:top w:w="60" w:type="dxa"/>
              <w:bottom w:w="60" w:type="dxa"/>
              <w:left w:w="80" w:type="dxa"/>
              <w:right w:w="80" w:type="dxa"/>
            </w:tcMar>
            <w:shd w:fill="FFFAF0"/>
          </w:tcPr>
          <w:p>
            <w:r>
              <w:rPr>
                <w:sz w:val="17"/>
              </w:rPr>
              <w:t>EVAL-CLIN-02</w:t>
            </w:r>
          </w:p>
        </w:tc>
        <w:tc>
          <w:tcPr>
            <w:tcW w:type="dxa" w:w="2592"/>
            <w:tcMar>
              <w:top w:w="60" w:type="dxa"/>
              <w:bottom w:w="60" w:type="dxa"/>
              <w:left w:w="80" w:type="dxa"/>
              <w:right w:w="80" w:type="dxa"/>
            </w:tcMar>
            <w:shd w:fill="FFFAF0"/>
          </w:tcPr>
          <w:p>
            <w:r>
              <w:rPr>
                <w:sz w:val="17"/>
              </w:rPr>
              <w:t>Part IV: Klinis (4.3)</w:t>
              <w:br/>
              <w:t>Uji Disolusi Terbanding (UDT) pada 3 Media pH (1.2, 4.5, 6.8)</w:t>
            </w:r>
          </w:p>
        </w:tc>
        <w:tc>
          <w:tcPr>
            <w:tcW w:type="dxa" w:w="1296"/>
            <w:tcMar>
              <w:top w:w="60" w:type="dxa"/>
              <w:bottom w:w="60" w:type="dxa"/>
              <w:left w:w="80" w:type="dxa"/>
              <w:right w:w="80" w:type="dxa"/>
            </w:tcMar>
            <w:shd w:fill="FFFAF0"/>
          </w:tcPr>
          <w:p>
            <w:pPr>
              <w:jc w:val="center"/>
            </w:pPr>
            <w:r>
              <w:rPr>
                <w:b/>
                <w:color w:val="B7791F"/>
                <w:sz w:val="17"/>
              </w:rPr>
              <w:t>[TD]</w:t>
              <w:br/>
              <w:t>3.0/10.0</w:t>
            </w:r>
          </w:p>
        </w:tc>
        <w:tc>
          <w:tcPr>
            <w:tcW w:type="dxa" w:w="4752"/>
            <w:tcMar>
              <w:top w:w="60" w:type="dxa"/>
              <w:bottom w:w="60" w:type="dxa"/>
              <w:left w:w="80" w:type="dxa"/>
              <w:right w:w="80" w:type="dxa"/>
            </w:tcMar>
            <w:shd w:fill="FFFAF0"/>
          </w:tcPr>
          <w:p>
            <w:r>
              <w:rPr>
                <w:sz w:val="17"/>
              </w:rPr>
              <w:t>Laporan UDT pada 3 pH media (pH 1.2, 4.5, 6.8) belum lengkap atau perhitungan nilai f2 belum disertakan.</w:t>
            </w:r>
          </w:p>
        </w:tc>
      </w:tr>
    </w:tbl>
    <w:p>
      <w:pPr>
        <w:spacing w:after="280"/>
      </w:pPr>
    </w:p>
    <w:p>
      <w:pPr>
        <w:pStyle w:val="Heading2"/>
      </w:pPr>
      <w:r>
        <w:t>3. Konsep Surat Permintaan Tambahan Data BPOM RI</w:t>
      </w:r>
    </w:p>
    <w:tbl>
      <w:tblPr>
        <w:tblW w:type="auto" w:w="0"/>
        <w:jc w:val="center"/>
        <w:tblLook w:firstColumn="1" w:firstRow="1" w:lastColumn="0" w:lastRow="0" w:noHBand="0" w:noVBand="1" w:val="04A0"/>
      </w:tblPr>
      <w:tblGrid>
        <w:gridCol w:w="9936"/>
      </w:tblGrid>
      <w:tr>
        <w:tc>
          <w:tcPr>
            <w:tcW w:type="dxa" w:w="10080"/>
            <w:shd w:fill="F8FAFC"/>
            <w:tcMar>
              <w:top w:w="140" w:type="dxa"/>
              <w:bottom w:w="140" w:type="dxa"/>
              <w:left w:w="160" w:type="dxa"/>
              <w:right w:w="160" w:type="dxa"/>
            </w:tcMar>
          </w:tcPr>
          <w:p>
            <w:pPr>
              <w:spacing w:line="276" w:lineRule="auto"/>
            </w:pPr>
            <w:r>
              <w:rPr>
                <w:rFonts w:ascii="Consolas" w:hAnsi="Consolas"/>
                <w:color w:val="2D3748"/>
                <w:sz w:val="17"/>
              </w:rPr>
              <w:t>BADAN PENGAWAS OBAT DAN MAKANAN REPUBLIK INDONESIA</w:t>
              <w:br/>
              <w:t>DIREKTORAT REGISTRASI OBAT</w:t>
              <w:br/>
              <w:t>Jl. Percetakan Negara No. 23, Jakarta Pusat 10560 | Telp: (021) 4244407</w:t>
              <w:br/>
              <w:t>____________________________________________________________________________________</w:t>
              <w:br/>
              <w:br/>
              <w:t>Nomor    : RG.01.03.3.33.2026/TD/METFORIN_500_MG</w:t>
              <w:br/>
              <w:t>Lampiran : -</w:t>
              <w:br/>
              <w:t>Perihal  : Permintaan Tambahan Data Registrasi Obat - Metforin 500 mg Film-Coated Tablet</w:t>
              <w:br/>
              <w:br/>
              <w:t>Kepada Yth.</w:t>
              <w:br/>
              <w:t>Pimpinan Industri Farmasi Pendaftar</w:t>
              <w:br/>
              <w:t>Di Tempat</w:t>
              <w:br/>
              <w:br/>
              <w:t>Sehubungan dengan evaluasi teknis dan administratif terhadap berkas registrasi obat yang Saudara ajukan:</w:t>
              <w:br/>
              <w:t>Nama Obat      : Metforin 500 mg Film-Coated Tablet</w:t>
              <w:br/>
              <w:t>Tanggal Evaluasi : 2026</w:t>
              <w:br/>
              <w:br/>
              <w:t>Berdasarkan hasil evaluasi Tim Penilai Registrasi Obat Badan POM RI mengacu pada Peraturan BPOM No. 24 Tahun 2017 jo. PerBPOM No. 13 Tahun 2021, bersama ini diberitahukan bahwa berkas registrasi tersebut masih memerlukan kelengkapan dan klarifikasi data tambahan sebagai berikut:</w:t>
              <w:br/>
              <w:br/>
              <w:t>1. Agar menyampaikan Surat Pernyataan Komitmen bermaterai untuk melanjutkan uji stabilitas jangka panjang kondisi Zona IVb hingga batas kedaluwarsa yang diajukan.</w:t>
              <w:br/>
              <w:t>2. Agar melengkapi laporan Uji Disolusi Terbanding (UDT) pada 3 media disolusi (pH 1.2, 4.5, dan 6.8) dengan perhitungan nilai f2 terhadap bets uji BE.</w:t>
              <w:br/>
              <w:br/>
              <w:t>Sesuai ketentuan Pasal 29 Peraturan BPOM No. 24 Tahun 2017, Saudara diberikan kesempatan untuk menyampaikan data tambahan tersebut melalui portal elektronik ASROT / New AeS selambat-lambatnya 20 (dua puluh) Hari Kerja terhitung sejak tanggal surat ini diterbitkan.</w:t>
              <w:br/>
              <w:br/>
              <w:t>Apabila sampai dengan batas waktu yang telah ditentukan Saudara belum menyampaikan kelengkapan data yang diminta tanpa pemberitahuan tertulis yang dapat dipertanggungjawabkan, maka permohonan registrasi obat dinyatakan DITOLAK (Batal Demi Hukum).</w:t>
              <w:br/>
              <w:br/>
              <w:t>Demikian agar menjadi maklum dan perhatian Saudara.</w:t>
              <w:br/>
              <w:br/>
              <w:br/>
              <w:t>Direktur Registrasi Obat</w:t>
              <w:br/>
              <w:t>Badan Pengawas Obat dan Makanan RI</w:t>
              <w:br/>
              <w:br/>
              <w:t>[Tanda Tangan &amp; Cap Elektronik BPOM]</w:t>
              <w:br/>
            </w:r>
          </w:p>
        </w:tc>
      </w:tr>
    </w:tbl>
    <w:p>
      <w:pPr>
        <w:spacing w:after="320"/>
      </w:pPr>
    </w:p>
    <w:p>
      <w:pPr>
        <w:pStyle w:val="Heading2"/>
      </w:pPr>
      <w:r>
        <w:t>4. Tanda Tangan Tim Penilai Khasiat, Keamanan &amp; Mutu</w:t>
      </w:r>
    </w:p>
    <w:p>
      <w:r>
        <w:rPr>
          <w:color w:val="2D3748"/>
          <w:sz w:val="19"/>
        </w:rPr>
        <w:t>Diverifikasi oleh Penilai Mutu &amp; Klinis BPOM RI:</w:t>
        <w:br/>
        <w:br/>
        <w:br/>
        <w:br/>
        <w:t>________________________________________</w:t>
        <w:br/>
        <w:t>Tim Penilai Registrasi Obat / Kasubdit Evaluasi</w:t>
        <w:br/>
        <w:t>Direktorat Registrasi Obat - Badan Pengawas Obat dan Makanan RI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DOKUMEN RESMI EVALUASI TEKNIS DOSSIER REGISTRASI OBAT - RAHASIA &amp; TERBATAS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BADAN POM RI - DIREKTORAT REGISTRASI OBAT - LAPORAN EVALUASI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