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521C" w14:textId="312E0C91" w:rsidR="29BC2B95" w:rsidRDefault="29BC2B95" w:rsidP="29BC2B95">
      <w:pPr>
        <w:spacing w:before="280" w:after="0" w:line="480" w:lineRule="auto"/>
        <w:jc w:val="center"/>
        <w:rPr>
          <w:rFonts w:ascii="Times New Roman" w:eastAsia="Times New Roman" w:hAnsi="Times New Roman" w:cs="Times New Roman"/>
        </w:rPr>
      </w:pPr>
    </w:p>
    <w:p w14:paraId="27BEDA0B" w14:textId="2CAC7788" w:rsidR="29BC2B95" w:rsidRDefault="29BC2B95" w:rsidP="29BC2B95">
      <w:pPr>
        <w:spacing w:before="280" w:after="0" w:line="480" w:lineRule="auto"/>
        <w:jc w:val="center"/>
        <w:rPr>
          <w:rFonts w:ascii="Times New Roman" w:eastAsia="Times New Roman" w:hAnsi="Times New Roman" w:cs="Times New Roman"/>
        </w:rPr>
      </w:pPr>
    </w:p>
    <w:p w14:paraId="4246905E" w14:textId="03E3CD67" w:rsidR="2E93A138" w:rsidRDefault="2E93A138" w:rsidP="29BC2B95">
      <w:pPr>
        <w:spacing w:before="280" w:after="0" w:line="480" w:lineRule="auto"/>
        <w:jc w:val="center"/>
        <w:rPr>
          <w:rFonts w:ascii="Times New Roman" w:eastAsia="Times New Roman" w:hAnsi="Times New Roman" w:cs="Times New Roman"/>
        </w:rPr>
      </w:pPr>
      <w:r w:rsidRPr="29BC2B95">
        <w:rPr>
          <w:rFonts w:ascii="Times New Roman" w:eastAsia="Times New Roman" w:hAnsi="Times New Roman" w:cs="Times New Roman"/>
        </w:rPr>
        <w:t xml:space="preserve">Exploratory Analysis of Undergraduate Enrollment </w:t>
      </w:r>
      <w:r>
        <w:br/>
      </w:r>
      <w:r w:rsidRPr="29BC2B95">
        <w:rPr>
          <w:rFonts w:ascii="Times New Roman" w:eastAsia="Times New Roman" w:hAnsi="Times New Roman" w:cs="Times New Roman"/>
        </w:rPr>
        <w:t>at Institutions Comparable to Elmhurst University</w:t>
      </w:r>
    </w:p>
    <w:p w14:paraId="7DDFBE5E" w14:textId="4D9A29C6" w:rsidR="29BC2B95" w:rsidRDefault="29BC2B95" w:rsidP="29BC2B95">
      <w:pPr>
        <w:spacing w:line="480" w:lineRule="auto"/>
        <w:rPr>
          <w:rFonts w:ascii="Times New Roman" w:eastAsia="Times New Roman" w:hAnsi="Times New Roman" w:cs="Times New Roman"/>
        </w:rPr>
      </w:pPr>
    </w:p>
    <w:p w14:paraId="72EB21BC" w14:textId="49CACA0F" w:rsidR="29BC2B95" w:rsidRDefault="29BC2B95" w:rsidP="29BC2B95">
      <w:pPr>
        <w:spacing w:line="480" w:lineRule="auto"/>
        <w:rPr>
          <w:rFonts w:ascii="Times New Roman" w:eastAsia="Times New Roman" w:hAnsi="Times New Roman" w:cs="Times New Roman"/>
        </w:rPr>
      </w:pPr>
    </w:p>
    <w:p w14:paraId="3A0A0A69" w14:textId="452E8983" w:rsidR="2E93A138" w:rsidRDefault="2E93A138" w:rsidP="29BC2B95">
      <w:pPr>
        <w:spacing w:before="240" w:after="240" w:line="480" w:lineRule="auto"/>
        <w:jc w:val="center"/>
        <w:rPr>
          <w:rFonts w:ascii="Times New Roman" w:eastAsia="Times New Roman" w:hAnsi="Times New Roman" w:cs="Times New Roman"/>
          <w:i/>
          <w:iCs/>
        </w:rPr>
      </w:pPr>
      <w:r w:rsidRPr="29BC2B95">
        <w:rPr>
          <w:rFonts w:ascii="Times New Roman" w:eastAsia="Times New Roman" w:hAnsi="Times New Roman" w:cs="Times New Roman"/>
          <w:i/>
          <w:iCs/>
        </w:rPr>
        <w:t>Ionela Borozan, Tanja Gllafce, and Weronika Papp</w:t>
      </w:r>
    </w:p>
    <w:p w14:paraId="7C11D542" w14:textId="4520EE93" w:rsidR="29BC2B95" w:rsidRDefault="29BC2B95" w:rsidP="29BC2B95">
      <w:pPr>
        <w:spacing w:line="480" w:lineRule="auto"/>
        <w:rPr>
          <w:rFonts w:ascii="Times New Roman" w:eastAsia="Times New Roman" w:hAnsi="Times New Roman" w:cs="Times New Roman"/>
        </w:rPr>
      </w:pPr>
    </w:p>
    <w:p w14:paraId="06935DD1" w14:textId="0CD2981A" w:rsidR="29BC2B95" w:rsidRDefault="29BC2B95" w:rsidP="29BC2B95">
      <w:pPr>
        <w:spacing w:line="480" w:lineRule="auto"/>
        <w:rPr>
          <w:rFonts w:ascii="Times New Roman" w:eastAsia="Times New Roman" w:hAnsi="Times New Roman" w:cs="Times New Roman"/>
        </w:rPr>
      </w:pPr>
    </w:p>
    <w:p w14:paraId="404F9CD7" w14:textId="1109A0ED" w:rsidR="2E93A138" w:rsidRDefault="2E93A138" w:rsidP="29BC2B95">
      <w:pPr>
        <w:spacing w:before="240" w:after="240" w:line="480" w:lineRule="auto"/>
        <w:jc w:val="center"/>
        <w:rPr>
          <w:rFonts w:ascii="Times New Roman" w:eastAsia="Times New Roman" w:hAnsi="Times New Roman" w:cs="Times New Roman"/>
        </w:rPr>
      </w:pPr>
      <w:r w:rsidRPr="29BC2B95">
        <w:rPr>
          <w:rFonts w:ascii="Times New Roman" w:eastAsia="Times New Roman" w:hAnsi="Times New Roman" w:cs="Times New Roman"/>
        </w:rPr>
        <w:t xml:space="preserve">Elmhurst University </w:t>
      </w:r>
      <w:r>
        <w:br/>
      </w:r>
      <w:r w:rsidRPr="29BC2B95">
        <w:rPr>
          <w:rFonts w:ascii="Times New Roman" w:eastAsia="Times New Roman" w:hAnsi="Times New Roman" w:cs="Times New Roman"/>
        </w:rPr>
        <w:t xml:space="preserve">BUS-320: Survey of Business Analytics </w:t>
      </w:r>
      <w:r>
        <w:br/>
      </w:r>
      <w:r w:rsidRPr="29BC2B95">
        <w:rPr>
          <w:rFonts w:ascii="Times New Roman" w:eastAsia="Times New Roman" w:hAnsi="Times New Roman" w:cs="Times New Roman"/>
          <w:i/>
          <w:iCs/>
        </w:rPr>
        <w:t>Dr. Avraham Baranes</w:t>
      </w:r>
      <w:r>
        <w:br/>
      </w:r>
      <w:r w:rsidRPr="29BC2B95">
        <w:rPr>
          <w:rFonts w:ascii="Times New Roman" w:eastAsia="Times New Roman" w:hAnsi="Times New Roman" w:cs="Times New Roman"/>
        </w:rPr>
        <w:t xml:space="preserve">December </w:t>
      </w:r>
      <w:r w:rsidR="4EFDFFA6" w:rsidRPr="68DA9955">
        <w:rPr>
          <w:rFonts w:ascii="Times New Roman" w:eastAsia="Times New Roman" w:hAnsi="Times New Roman" w:cs="Times New Roman"/>
        </w:rPr>
        <w:t>9</w:t>
      </w:r>
      <w:r w:rsidRPr="29BC2B95">
        <w:rPr>
          <w:rFonts w:ascii="Times New Roman" w:eastAsia="Times New Roman" w:hAnsi="Times New Roman" w:cs="Times New Roman"/>
        </w:rPr>
        <w:t xml:space="preserve">, </w:t>
      </w:r>
      <w:proofErr w:type="gramStart"/>
      <w:r w:rsidRPr="29BC2B95">
        <w:rPr>
          <w:rFonts w:ascii="Times New Roman" w:eastAsia="Times New Roman" w:hAnsi="Times New Roman" w:cs="Times New Roman"/>
        </w:rPr>
        <w:t>2025</w:t>
      </w:r>
      <w:proofErr w:type="gramEnd"/>
      <w:r w:rsidRPr="29BC2B95">
        <w:rPr>
          <w:rFonts w:ascii="Times New Roman" w:eastAsia="Times New Roman" w:hAnsi="Times New Roman" w:cs="Times New Roman"/>
        </w:rPr>
        <w:t xml:space="preserve"> </w:t>
      </w:r>
      <w:r>
        <w:br/>
      </w:r>
      <w:r>
        <w:br/>
      </w:r>
    </w:p>
    <w:p w14:paraId="1272B0B8" w14:textId="6FE8294E" w:rsidR="29BC2B95" w:rsidRDefault="29BC2B95" w:rsidP="29BC2B95">
      <w:pPr>
        <w:spacing w:line="480" w:lineRule="auto"/>
        <w:rPr>
          <w:rFonts w:ascii="Times New Roman" w:eastAsia="Times New Roman" w:hAnsi="Times New Roman" w:cs="Times New Roman"/>
          <w:b/>
          <w:bCs/>
        </w:rPr>
      </w:pPr>
    </w:p>
    <w:p w14:paraId="62271672" w14:textId="73C0BEB0" w:rsidR="29BC2B95" w:rsidRDefault="29BC2B95" w:rsidP="29BC2B95">
      <w:pPr>
        <w:spacing w:line="480" w:lineRule="auto"/>
        <w:rPr>
          <w:rFonts w:ascii="Times New Roman" w:eastAsia="Times New Roman" w:hAnsi="Times New Roman" w:cs="Times New Roman"/>
          <w:b/>
          <w:bCs/>
        </w:rPr>
      </w:pPr>
      <w:r>
        <w:br/>
      </w:r>
    </w:p>
    <w:p w14:paraId="46078249" w14:textId="2C2DC178" w:rsidR="2E93A138" w:rsidRDefault="26A00B87" w:rsidP="49654000">
      <w:pPr>
        <w:spacing w:before="240" w:after="240" w:line="480" w:lineRule="auto"/>
        <w:rPr>
          <w:rFonts w:ascii="Times New Roman" w:eastAsia="Times New Roman" w:hAnsi="Times New Roman" w:cs="Times New Roman"/>
          <w:b/>
          <w:bCs/>
        </w:rPr>
      </w:pPr>
      <w:r w:rsidRPr="68DA9955">
        <w:rPr>
          <w:rFonts w:ascii="Times New Roman" w:eastAsia="Times New Roman" w:hAnsi="Times New Roman" w:cs="Times New Roman"/>
          <w:b/>
          <w:bCs/>
        </w:rPr>
        <w:lastRenderedPageBreak/>
        <w:t>Executive summary</w:t>
      </w:r>
      <w:r w:rsidR="2E93A138">
        <w:br/>
      </w:r>
      <w:r w:rsidR="2E93A138">
        <w:tab/>
      </w:r>
      <w:r w:rsidR="17A301FB" w:rsidRPr="68DA9955">
        <w:rPr>
          <w:rFonts w:ascii="Times New Roman" w:eastAsia="Times New Roman" w:hAnsi="Times New Roman" w:cs="Times New Roman"/>
        </w:rPr>
        <w:t xml:space="preserve">This project analyzed data from institutions </w:t>
      </w:r>
      <w:r w:rsidR="4A79394A" w:rsidRPr="68DA9955">
        <w:rPr>
          <w:rFonts w:ascii="Times New Roman" w:eastAsia="Times New Roman" w:hAnsi="Times New Roman" w:cs="Times New Roman"/>
        </w:rPr>
        <w:t xml:space="preserve">comparable </w:t>
      </w:r>
      <w:r w:rsidR="17A301FB" w:rsidRPr="68DA9955">
        <w:rPr>
          <w:rFonts w:ascii="Times New Roman" w:eastAsia="Times New Roman" w:hAnsi="Times New Roman" w:cs="Times New Roman"/>
        </w:rPr>
        <w:t xml:space="preserve">to Elmhurst University to understand factors influencing undergraduate enrollment. The analysis focused on trends in enrollment, retention, graduation, financial aid, tuition, and other institutional characteristics </w:t>
      </w:r>
      <w:r w:rsidR="5A7416CD" w:rsidRPr="68DA9955">
        <w:rPr>
          <w:rFonts w:ascii="Times New Roman" w:eastAsia="Times New Roman" w:hAnsi="Times New Roman" w:cs="Times New Roman"/>
        </w:rPr>
        <w:t xml:space="preserve">and included </w:t>
      </w:r>
      <w:r w:rsidR="6BCDD1F1" w:rsidRPr="68DA9955">
        <w:rPr>
          <w:rFonts w:ascii="Times New Roman" w:eastAsia="Times New Roman" w:hAnsi="Times New Roman" w:cs="Times New Roman"/>
        </w:rPr>
        <w:t>years 2019-</w:t>
      </w:r>
      <w:r w:rsidR="17A301FB" w:rsidRPr="68DA9955">
        <w:rPr>
          <w:rFonts w:ascii="Times New Roman" w:eastAsia="Times New Roman" w:hAnsi="Times New Roman" w:cs="Times New Roman"/>
        </w:rPr>
        <w:t>2022.</w:t>
      </w:r>
      <w:r w:rsidR="1AB85DEB" w:rsidRPr="68DA9955">
        <w:rPr>
          <w:rFonts w:ascii="Times New Roman" w:eastAsia="Times New Roman" w:hAnsi="Times New Roman" w:cs="Times New Roman"/>
        </w:rPr>
        <w:t xml:space="preserve"> </w:t>
      </w:r>
      <w:r w:rsidR="2E93A138">
        <w:br/>
      </w:r>
      <w:r w:rsidR="2E93A138">
        <w:tab/>
      </w:r>
      <w:r w:rsidR="17A301FB" w:rsidRPr="68DA9955">
        <w:rPr>
          <w:rFonts w:ascii="Times New Roman" w:eastAsia="Times New Roman" w:hAnsi="Times New Roman" w:cs="Times New Roman"/>
        </w:rPr>
        <w:t xml:space="preserve">Elmhurst performs very well in retention, graduation rates, and enrollment compared to similar institutions. Students receive more financial aid than average, which helps support their success. However, lower </w:t>
      </w:r>
      <w:r w:rsidR="1ADAA8A9" w:rsidRPr="68DA9955">
        <w:rPr>
          <w:rFonts w:ascii="Times New Roman" w:eastAsia="Times New Roman" w:hAnsi="Times New Roman" w:cs="Times New Roman"/>
        </w:rPr>
        <w:t>admission yields</w:t>
      </w:r>
      <w:r w:rsidR="17A301FB" w:rsidRPr="68DA9955">
        <w:rPr>
          <w:rFonts w:ascii="Times New Roman" w:eastAsia="Times New Roman" w:hAnsi="Times New Roman" w:cs="Times New Roman"/>
        </w:rPr>
        <w:t xml:space="preserve"> and higher tuition may make it harder to attract new students. These results suggest that Elmhurst supports students effectively once they are enrolled, but recruitment and cost factors could be improved. Future studies with more complete data and consistent reporting will help the Board of Trustees make better decisions and track performance over time.</w:t>
      </w:r>
      <w:r w:rsidR="2E93A138">
        <w:br/>
      </w:r>
      <w:r w:rsidR="2E93A138">
        <w:br/>
      </w:r>
      <w:r w:rsidRPr="68DA9955">
        <w:rPr>
          <w:rFonts w:ascii="Times New Roman" w:eastAsia="Times New Roman" w:hAnsi="Times New Roman" w:cs="Times New Roman"/>
          <w:b/>
          <w:bCs/>
        </w:rPr>
        <w:t>Introduction</w:t>
      </w:r>
    </w:p>
    <w:p w14:paraId="3442FE9B" w14:textId="210F1A26" w:rsidR="2E93A138" w:rsidRDefault="26A00B87" w:rsidP="610B2D91">
      <w:pPr>
        <w:spacing w:after="0" w:line="480" w:lineRule="auto"/>
        <w:ind w:firstLine="720"/>
        <w:rPr>
          <w:rFonts w:ascii="Times New Roman" w:eastAsia="Times New Roman" w:hAnsi="Times New Roman" w:cs="Times New Roman"/>
        </w:rPr>
      </w:pPr>
      <w:r w:rsidRPr="68DA9955">
        <w:rPr>
          <w:rFonts w:ascii="Times New Roman" w:eastAsia="Times New Roman" w:hAnsi="Times New Roman" w:cs="Times New Roman"/>
        </w:rPr>
        <w:t xml:space="preserve">The purpose of this project was to analyze data </w:t>
      </w:r>
      <w:r w:rsidR="5D55D401" w:rsidRPr="68DA9955">
        <w:rPr>
          <w:rFonts w:ascii="Times New Roman" w:eastAsia="Times New Roman" w:hAnsi="Times New Roman" w:cs="Times New Roman"/>
        </w:rPr>
        <w:t xml:space="preserve">to identify </w:t>
      </w:r>
      <w:r w:rsidRPr="68DA9955">
        <w:rPr>
          <w:rFonts w:ascii="Times New Roman" w:eastAsia="Times New Roman" w:hAnsi="Times New Roman" w:cs="Times New Roman"/>
        </w:rPr>
        <w:t xml:space="preserve">different reasons that can influence undergraduate enrollment </w:t>
      </w:r>
      <w:r w:rsidR="4DF2D99C" w:rsidRPr="68DA9955">
        <w:rPr>
          <w:rFonts w:ascii="Times New Roman" w:eastAsia="Times New Roman" w:hAnsi="Times New Roman" w:cs="Times New Roman"/>
        </w:rPr>
        <w:t>at institutions</w:t>
      </w:r>
      <w:r w:rsidRPr="68DA9955">
        <w:rPr>
          <w:rFonts w:ascii="Times New Roman" w:eastAsia="Times New Roman" w:hAnsi="Times New Roman" w:cs="Times New Roman"/>
        </w:rPr>
        <w:t xml:space="preserve"> comparable to Elmhurst University.  The goal of the analysis was to explore how these characteristics relate to enrollment levels and to identify trends over time that may offer insight into broader patterns within this group of institutions.</w:t>
      </w:r>
      <w:r w:rsidR="480F37A0" w:rsidRPr="68DA9955">
        <w:rPr>
          <w:rFonts w:ascii="Times New Roman" w:eastAsia="Times New Roman" w:hAnsi="Times New Roman" w:cs="Times New Roman"/>
        </w:rPr>
        <w:t xml:space="preserve"> </w:t>
      </w:r>
      <w:r w:rsidR="70B75104" w:rsidRPr="68DA9955">
        <w:rPr>
          <w:rFonts w:ascii="Times New Roman" w:eastAsia="Times New Roman" w:hAnsi="Times New Roman" w:cs="Times New Roman"/>
        </w:rPr>
        <w:t>This analysis was requested by the Elmhurst University Board of Trustees, who plan to use the results to inform strategies for strengthening undergraduate enrollment.</w:t>
      </w:r>
    </w:p>
    <w:p w14:paraId="2824DDAD" w14:textId="4EB4A060" w:rsidR="68DA9955" w:rsidRDefault="68DA9955" w:rsidP="68DA9955">
      <w:pPr>
        <w:spacing w:after="0" w:line="480" w:lineRule="auto"/>
        <w:ind w:firstLine="720"/>
        <w:rPr>
          <w:rFonts w:ascii="Times New Roman" w:eastAsia="Times New Roman" w:hAnsi="Times New Roman" w:cs="Times New Roman"/>
        </w:rPr>
      </w:pPr>
    </w:p>
    <w:p w14:paraId="2532435F" w14:textId="0F42003E" w:rsidR="68DA9955" w:rsidRDefault="68DA9955" w:rsidP="68DA9955">
      <w:pPr>
        <w:spacing w:after="0" w:line="480" w:lineRule="auto"/>
        <w:rPr>
          <w:rFonts w:ascii="Times New Roman" w:eastAsia="Times New Roman" w:hAnsi="Times New Roman" w:cs="Times New Roman"/>
          <w:b/>
          <w:bCs/>
        </w:rPr>
      </w:pPr>
    </w:p>
    <w:p w14:paraId="741EA947" w14:textId="234932A4" w:rsidR="29BC2B95" w:rsidRDefault="29BC2B95" w:rsidP="68DA9955">
      <w:pPr>
        <w:spacing w:after="0" w:line="480" w:lineRule="auto"/>
        <w:rPr>
          <w:rFonts w:ascii="Times New Roman" w:eastAsia="Times New Roman" w:hAnsi="Times New Roman" w:cs="Times New Roman"/>
          <w:b/>
        </w:rPr>
      </w:pPr>
    </w:p>
    <w:p w14:paraId="11A6E8E3" w14:textId="6878E30F" w:rsidR="650504DB" w:rsidRDefault="7A2CBD7D" w:rsidP="29BC2B95">
      <w:pPr>
        <w:spacing w:after="0" w:line="480" w:lineRule="auto"/>
        <w:rPr>
          <w:rFonts w:ascii="Times New Roman" w:eastAsia="Times New Roman" w:hAnsi="Times New Roman" w:cs="Times New Roman"/>
          <w:b/>
          <w:bCs/>
        </w:rPr>
      </w:pPr>
      <w:r w:rsidRPr="29BC2B95">
        <w:rPr>
          <w:rFonts w:ascii="Times New Roman" w:eastAsia="Times New Roman" w:hAnsi="Times New Roman" w:cs="Times New Roman"/>
          <w:b/>
          <w:bCs/>
        </w:rPr>
        <w:lastRenderedPageBreak/>
        <w:t xml:space="preserve">Methodology </w:t>
      </w:r>
    </w:p>
    <w:p w14:paraId="0921D7C5" w14:textId="2263EC14" w:rsidR="29BC2B95" w:rsidRDefault="05D368B8" w:rsidP="68DA9955">
      <w:pPr>
        <w:spacing w:before="240" w:after="240" w:line="480" w:lineRule="auto"/>
        <w:ind w:firstLine="720"/>
        <w:rPr>
          <w:rFonts w:ascii="Times New Roman" w:eastAsia="Times New Roman" w:hAnsi="Times New Roman" w:cs="Times New Roman"/>
        </w:rPr>
      </w:pPr>
      <w:r w:rsidRPr="68DA9955">
        <w:rPr>
          <w:rFonts w:ascii="Times New Roman" w:eastAsia="Times New Roman" w:hAnsi="Times New Roman" w:cs="Times New Roman"/>
        </w:rPr>
        <w:t xml:space="preserve">The cleaned dataset was imported into </w:t>
      </w:r>
      <w:r w:rsidR="2F0BC794" w:rsidRPr="68DA9955">
        <w:rPr>
          <w:rFonts w:ascii="Times New Roman" w:eastAsia="Times New Roman" w:hAnsi="Times New Roman" w:cs="Times New Roman"/>
        </w:rPr>
        <w:t xml:space="preserve">a </w:t>
      </w:r>
      <w:r w:rsidR="17DB587A" w:rsidRPr="68DA9955">
        <w:rPr>
          <w:rFonts w:ascii="Times New Roman" w:eastAsia="Times New Roman" w:hAnsi="Times New Roman" w:cs="Times New Roman"/>
        </w:rPr>
        <w:t xml:space="preserve">data </w:t>
      </w:r>
      <w:r w:rsidR="632F722D" w:rsidRPr="68DA9955">
        <w:rPr>
          <w:rFonts w:ascii="Times New Roman" w:eastAsia="Times New Roman" w:hAnsi="Times New Roman" w:cs="Times New Roman"/>
        </w:rPr>
        <w:t>visualization</w:t>
      </w:r>
      <w:r w:rsidR="17DB587A" w:rsidRPr="68DA9955">
        <w:rPr>
          <w:rFonts w:ascii="Times New Roman" w:eastAsia="Times New Roman" w:hAnsi="Times New Roman" w:cs="Times New Roman"/>
        </w:rPr>
        <w:t xml:space="preserve"> software</w:t>
      </w:r>
      <w:r w:rsidRPr="68DA9955">
        <w:rPr>
          <w:rFonts w:ascii="Times New Roman" w:eastAsia="Times New Roman" w:hAnsi="Times New Roman" w:cs="Times New Roman"/>
        </w:rPr>
        <w:t xml:space="preserve">, where a series of visuals were created to examine undergraduate enrollment, financial characteristics, institutional context, and student outcomes.  These visuals included: undergraduate enrollment rankings, admission and yield rates, tuition and fee comparisons, financial aid variables, housing charges, urbanization level, NCAA membership, and retention and graduation rates by institution size. Several of these visuals required the creation of </w:t>
      </w:r>
      <w:r w:rsidR="509469A3" w:rsidRPr="68DA9955">
        <w:rPr>
          <w:rFonts w:ascii="Times New Roman" w:eastAsia="Times New Roman" w:hAnsi="Times New Roman" w:cs="Times New Roman"/>
        </w:rPr>
        <w:t>custom measures</w:t>
      </w:r>
      <w:r w:rsidRPr="68DA9955">
        <w:rPr>
          <w:rFonts w:ascii="Times New Roman" w:eastAsia="Times New Roman" w:hAnsi="Times New Roman" w:cs="Times New Roman"/>
        </w:rPr>
        <w:t xml:space="preserve">, including ranking functions to display the top five institutions for each metric while always including Elmhurst University for comparison. </w:t>
      </w:r>
      <w:r w:rsidR="19A1A45C" w:rsidRPr="68DA9955">
        <w:rPr>
          <w:rFonts w:ascii="Times New Roman" w:eastAsia="Times New Roman" w:hAnsi="Times New Roman" w:cs="Times New Roman"/>
        </w:rPr>
        <w:t xml:space="preserve">This was a necessary precaution as the purpose of this analysis was to see how Elmhurst University ranks amongst the strongest universities. </w:t>
      </w:r>
      <w:r w:rsidRPr="68DA9955">
        <w:rPr>
          <w:rFonts w:ascii="Times New Roman" w:eastAsia="Times New Roman" w:hAnsi="Times New Roman" w:cs="Times New Roman"/>
        </w:rPr>
        <w:t>Additional calculations were used to convert raw numeric variables into percentages</w:t>
      </w:r>
      <w:r w:rsidR="5CA5BA86" w:rsidRPr="68DA9955">
        <w:rPr>
          <w:rFonts w:ascii="Times New Roman" w:eastAsia="Times New Roman" w:hAnsi="Times New Roman" w:cs="Times New Roman"/>
        </w:rPr>
        <w:t>,</w:t>
      </w:r>
      <w:r w:rsidRPr="68DA9955">
        <w:rPr>
          <w:rFonts w:ascii="Times New Roman" w:eastAsia="Times New Roman" w:hAnsi="Times New Roman" w:cs="Times New Roman"/>
        </w:rPr>
        <w:t xml:space="preserve"> and calculated tables were created when variables needed to be grouped (such as institution size categories). Filters and hierarchies were applied to ensure consistency across the dashboards</w:t>
      </w:r>
      <w:r w:rsidR="4F5F7369" w:rsidRPr="68DA9955">
        <w:rPr>
          <w:rFonts w:ascii="Times New Roman" w:eastAsia="Times New Roman" w:hAnsi="Times New Roman" w:cs="Times New Roman"/>
        </w:rPr>
        <w:t xml:space="preserve">. </w:t>
      </w:r>
      <w:r w:rsidR="29BC2B95">
        <w:br/>
      </w:r>
      <w:r w:rsidR="29BC2B95">
        <w:tab/>
      </w:r>
      <w:r w:rsidR="55787527" w:rsidRPr="68DA9955">
        <w:rPr>
          <w:rFonts w:ascii="Times New Roman" w:eastAsia="Times New Roman" w:hAnsi="Times New Roman" w:cs="Times New Roman"/>
        </w:rPr>
        <w:t xml:space="preserve">This structure allowed the analysis to focus on how institutional characteristics varied across universities in the sample and how Elmhurst </w:t>
      </w:r>
      <w:r w:rsidR="50552CA8" w:rsidRPr="68DA9955">
        <w:rPr>
          <w:rFonts w:ascii="Times New Roman" w:eastAsia="Times New Roman" w:hAnsi="Times New Roman" w:cs="Times New Roman"/>
        </w:rPr>
        <w:t>compared</w:t>
      </w:r>
      <w:r w:rsidR="55787527" w:rsidRPr="68DA9955">
        <w:rPr>
          <w:rFonts w:ascii="Times New Roman" w:eastAsia="Times New Roman" w:hAnsi="Times New Roman" w:cs="Times New Roman"/>
        </w:rPr>
        <w:t xml:space="preserve"> its peers each year. However, because the dataset was unbalanced, year-to-year comparisons within </w:t>
      </w:r>
      <w:r w:rsidR="0FC6D417" w:rsidRPr="68DA9955">
        <w:rPr>
          <w:rFonts w:ascii="Times New Roman" w:eastAsia="Times New Roman" w:hAnsi="Times New Roman" w:cs="Times New Roman"/>
        </w:rPr>
        <w:t xml:space="preserve">the </w:t>
      </w:r>
      <w:r w:rsidR="10CF4245" w:rsidRPr="68DA9955">
        <w:rPr>
          <w:rFonts w:ascii="Times New Roman" w:eastAsia="Times New Roman" w:hAnsi="Times New Roman" w:cs="Times New Roman"/>
        </w:rPr>
        <w:t>data visualization tool</w:t>
      </w:r>
      <w:r w:rsidR="55787527" w:rsidRPr="68DA9955">
        <w:rPr>
          <w:rFonts w:ascii="Times New Roman" w:eastAsia="Times New Roman" w:hAnsi="Times New Roman" w:cs="Times New Roman"/>
        </w:rPr>
        <w:t xml:space="preserve"> could not be made directly using the same institutions for every metric. To explore overall trends across the four-year period, averages were calculated for the key variables</w:t>
      </w:r>
      <w:r w:rsidR="5B6AB05D" w:rsidRPr="68DA9955">
        <w:rPr>
          <w:rFonts w:ascii="Times New Roman" w:eastAsia="Times New Roman" w:hAnsi="Times New Roman" w:cs="Times New Roman"/>
        </w:rPr>
        <w:t xml:space="preserve"> </w:t>
      </w:r>
      <w:r w:rsidR="55787527" w:rsidRPr="68DA9955">
        <w:rPr>
          <w:rFonts w:ascii="Times New Roman" w:eastAsia="Times New Roman" w:hAnsi="Times New Roman" w:cs="Times New Roman"/>
        </w:rPr>
        <w:t>such as enrollment,</w:t>
      </w:r>
      <w:r w:rsidR="0DC6EF24" w:rsidRPr="68DA9955">
        <w:rPr>
          <w:rFonts w:ascii="Times New Roman" w:eastAsia="Times New Roman" w:hAnsi="Times New Roman" w:cs="Times New Roman"/>
        </w:rPr>
        <w:t xml:space="preserve"> admission yield,</w:t>
      </w:r>
      <w:r w:rsidR="55787527" w:rsidRPr="68DA9955">
        <w:rPr>
          <w:rFonts w:ascii="Times New Roman" w:eastAsia="Times New Roman" w:hAnsi="Times New Roman" w:cs="Times New Roman"/>
        </w:rPr>
        <w:t xml:space="preserve"> financial aid, tuition,</w:t>
      </w:r>
      <w:r w:rsidR="00A2E46D" w:rsidRPr="68DA9955">
        <w:rPr>
          <w:rFonts w:ascii="Times New Roman" w:eastAsia="Times New Roman" w:hAnsi="Times New Roman" w:cs="Times New Roman"/>
        </w:rPr>
        <w:t xml:space="preserve"> net price after financial aid,</w:t>
      </w:r>
      <w:r w:rsidR="55787527" w:rsidRPr="68DA9955">
        <w:rPr>
          <w:rFonts w:ascii="Times New Roman" w:eastAsia="Times New Roman" w:hAnsi="Times New Roman" w:cs="Times New Roman"/>
        </w:rPr>
        <w:t xml:space="preserve"> retention, and graduation rates</w:t>
      </w:r>
      <w:r w:rsidR="4C31DDD2" w:rsidRPr="68DA9955">
        <w:rPr>
          <w:rFonts w:ascii="Times New Roman" w:eastAsia="Times New Roman" w:hAnsi="Times New Roman" w:cs="Times New Roman"/>
        </w:rPr>
        <w:t xml:space="preserve"> </w:t>
      </w:r>
      <w:r w:rsidR="55787527" w:rsidRPr="68DA9955">
        <w:rPr>
          <w:rFonts w:ascii="Times New Roman" w:eastAsia="Times New Roman" w:hAnsi="Times New Roman" w:cs="Times New Roman"/>
        </w:rPr>
        <w:t>to summarize changes over time. Using averages rather than institution-level panel data ensured that trends could be evaluated even when some universities were missing data for one or more years.</w:t>
      </w:r>
      <w:r w:rsidR="29BC2B95">
        <w:br/>
      </w:r>
      <w:r w:rsidR="29BC2B95">
        <w:tab/>
      </w:r>
      <w:r w:rsidR="6F0D0BBC" w:rsidRPr="68DA9955">
        <w:rPr>
          <w:rFonts w:ascii="Times New Roman" w:eastAsia="Times New Roman" w:hAnsi="Times New Roman" w:cs="Times New Roman"/>
        </w:rPr>
        <w:t xml:space="preserve">This combined approach with visual and year-specific analysis in </w:t>
      </w:r>
      <w:r w:rsidR="1EE896F0" w:rsidRPr="68DA9955">
        <w:rPr>
          <w:rFonts w:ascii="Times New Roman" w:eastAsia="Times New Roman" w:hAnsi="Times New Roman" w:cs="Times New Roman"/>
        </w:rPr>
        <w:t xml:space="preserve">the data visualization </w:t>
      </w:r>
      <w:r w:rsidR="1EE896F0" w:rsidRPr="68DA9955">
        <w:rPr>
          <w:rFonts w:ascii="Times New Roman" w:eastAsia="Times New Roman" w:hAnsi="Times New Roman" w:cs="Times New Roman"/>
        </w:rPr>
        <w:lastRenderedPageBreak/>
        <w:t>tool</w:t>
      </w:r>
      <w:r w:rsidR="6F0D0BBC" w:rsidRPr="68DA9955">
        <w:rPr>
          <w:rFonts w:ascii="Times New Roman" w:eastAsia="Times New Roman" w:hAnsi="Times New Roman" w:cs="Times New Roman"/>
        </w:rPr>
        <w:t xml:space="preserve"> and trend analysis provided a structured and reliable methodological framework for examining institutional characteristics over the 2019–2022 period without introducing inconsistencies caused by missing or incomplete observations.</w:t>
      </w:r>
    </w:p>
    <w:p w14:paraId="0479FC16" w14:textId="5D54E409" w:rsidR="031C4386" w:rsidRDefault="29B9A39B" w:rsidP="68DA9955">
      <w:pPr>
        <w:spacing w:before="240" w:after="0" w:line="480" w:lineRule="auto"/>
        <w:rPr>
          <w:rFonts w:ascii="Times New Roman" w:eastAsia="Times New Roman" w:hAnsi="Times New Roman" w:cs="Times New Roman"/>
        </w:rPr>
      </w:pPr>
      <w:r w:rsidRPr="0C67DC51">
        <w:rPr>
          <w:rFonts w:ascii="Times New Roman" w:eastAsia="Times New Roman" w:hAnsi="Times New Roman" w:cs="Times New Roman"/>
          <w:b/>
          <w:bCs/>
        </w:rPr>
        <w:t xml:space="preserve"> </w:t>
      </w:r>
      <w:r w:rsidR="031C4386" w:rsidRPr="0C67DC51">
        <w:rPr>
          <w:rFonts w:ascii="Times New Roman" w:eastAsia="Times New Roman" w:hAnsi="Times New Roman" w:cs="Times New Roman"/>
          <w:b/>
          <w:bCs/>
          <w:color w:val="000000" w:themeColor="text1"/>
        </w:rPr>
        <w:t xml:space="preserve">Results </w:t>
      </w:r>
    </w:p>
    <w:p w14:paraId="68F4E54D" w14:textId="3C030468" w:rsidR="006A54E1" w:rsidRDefault="031C4386" w:rsidP="68DA9955">
      <w:pPr>
        <w:spacing w:before="240" w:after="0" w:line="480" w:lineRule="auto"/>
        <w:ind w:firstLine="720"/>
        <w:rPr>
          <w:rFonts w:ascii="Times New Roman" w:eastAsia="Times New Roman" w:hAnsi="Times New Roman" w:cs="Times New Roman"/>
        </w:rPr>
      </w:pPr>
      <w:r w:rsidRPr="68DA9955">
        <w:rPr>
          <w:rFonts w:ascii="Times New Roman" w:eastAsia="Times New Roman" w:hAnsi="Times New Roman" w:cs="Times New Roman"/>
        </w:rPr>
        <w:t xml:space="preserve">Using the cleaned and structured dataset, we examined key indicators of undergraduate enrollment, student success, and financial characteristics across institutions similar to Elmhurst University. By comparing Elmhurst to similar institutions, we were able to identify strengths, challenges, and patterns that may inform Elmhurst University </w:t>
      </w:r>
      <w:r w:rsidR="56856B91" w:rsidRPr="68DA9955">
        <w:rPr>
          <w:rFonts w:ascii="Times New Roman" w:eastAsia="Times New Roman" w:hAnsi="Times New Roman" w:cs="Times New Roman"/>
        </w:rPr>
        <w:t>on how to increase recruitment and student success. The following sections summarize these trends and highlight how Elmhurst’s performance compares to similar schools. The results show important differences between Elmhurst University and similar institutions that could influence future decisions and outcomes.</w:t>
      </w:r>
      <w:r w:rsidR="0C67DC51">
        <w:br/>
      </w:r>
      <w:r w:rsidR="0C67DC51">
        <w:tab/>
      </w:r>
      <w:r w:rsidR="0099CC68" w:rsidRPr="68DA9955">
        <w:rPr>
          <w:rFonts w:ascii="Times New Roman" w:eastAsia="Times New Roman" w:hAnsi="Times New Roman" w:cs="Times New Roman"/>
        </w:rPr>
        <w:t>In 2019, Elmhurst University tended to rank below the top institutions in undergraduate enrollment, with an enrollment of roughly 2.9 thousand students compared to 4.6–6.4 thousand students at similar universities. Admissions data showed that Elmhurst had a moderate admission rate</w:t>
      </w:r>
      <w:r w:rsidR="41887240" w:rsidRPr="68DA9955">
        <w:rPr>
          <w:rFonts w:ascii="Times New Roman" w:eastAsia="Times New Roman" w:hAnsi="Times New Roman" w:cs="Times New Roman"/>
        </w:rPr>
        <w:t xml:space="preserve"> (68%)</w:t>
      </w:r>
      <w:r w:rsidR="7BD40534" w:rsidRPr="68DA9955">
        <w:rPr>
          <w:rFonts w:ascii="Times New Roman" w:eastAsia="Times New Roman" w:hAnsi="Times New Roman" w:cs="Times New Roman"/>
        </w:rPr>
        <w:t>, but</w:t>
      </w:r>
      <w:r w:rsidR="0099CC68" w:rsidRPr="68DA9955">
        <w:rPr>
          <w:rFonts w:ascii="Times New Roman" w:eastAsia="Times New Roman" w:hAnsi="Times New Roman" w:cs="Times New Roman"/>
        </w:rPr>
        <w:t xml:space="preserve"> a comparatively low yield rate</w:t>
      </w:r>
      <w:r w:rsidR="612617E7" w:rsidRPr="68DA9955">
        <w:rPr>
          <w:rFonts w:ascii="Times New Roman" w:eastAsia="Times New Roman" w:hAnsi="Times New Roman" w:cs="Times New Roman"/>
        </w:rPr>
        <w:t xml:space="preserve"> (18%)</w:t>
      </w:r>
      <w:r w:rsidR="0099CC68" w:rsidRPr="68DA9955">
        <w:rPr>
          <w:rFonts w:ascii="Times New Roman" w:eastAsia="Times New Roman" w:hAnsi="Times New Roman" w:cs="Times New Roman"/>
        </w:rPr>
        <w:t>, meaning fewer admitted students chose to enroll relative to peer institutions. In terms of cost, Elmhurst’s tuition and fees</w:t>
      </w:r>
      <w:r w:rsidR="5D0DED43" w:rsidRPr="68DA9955">
        <w:rPr>
          <w:rFonts w:ascii="Times New Roman" w:eastAsia="Times New Roman" w:hAnsi="Times New Roman" w:cs="Times New Roman"/>
        </w:rPr>
        <w:t xml:space="preserve"> ($38,000)</w:t>
      </w:r>
      <w:r w:rsidR="0099CC68" w:rsidRPr="68DA9955">
        <w:rPr>
          <w:rFonts w:ascii="Times New Roman" w:eastAsia="Times New Roman" w:hAnsi="Times New Roman" w:cs="Times New Roman"/>
        </w:rPr>
        <w:t xml:space="preserve"> were substantially lower than those of the highest-priced colleges in the sample, which ranged from $54,000 to $59,000. However, Elmhurst also awarded lower levels of institutional, federal, state</w:t>
      </w:r>
      <w:r w:rsidR="48B7C541" w:rsidRPr="68DA9955">
        <w:rPr>
          <w:rFonts w:ascii="Times New Roman" w:eastAsia="Times New Roman" w:hAnsi="Times New Roman" w:cs="Times New Roman"/>
        </w:rPr>
        <w:t xml:space="preserve"> ($25,000)</w:t>
      </w:r>
      <w:r w:rsidR="0099CC68" w:rsidRPr="68DA9955">
        <w:rPr>
          <w:rFonts w:ascii="Times New Roman" w:eastAsia="Times New Roman" w:hAnsi="Times New Roman" w:cs="Times New Roman"/>
        </w:rPr>
        <w:t xml:space="preserve">, and Pell Grant aid </w:t>
      </w:r>
      <w:r w:rsidR="40C55C6E" w:rsidRPr="68DA9955">
        <w:rPr>
          <w:rFonts w:ascii="Times New Roman" w:eastAsia="Times New Roman" w:hAnsi="Times New Roman" w:cs="Times New Roman"/>
        </w:rPr>
        <w:t xml:space="preserve">($4,000) </w:t>
      </w:r>
      <w:r w:rsidR="0099CC68" w:rsidRPr="68DA9955">
        <w:rPr>
          <w:rFonts w:ascii="Times New Roman" w:eastAsia="Times New Roman" w:hAnsi="Times New Roman" w:cs="Times New Roman"/>
        </w:rPr>
        <w:t xml:space="preserve">compared to the top-aid-providing institutions, suggesting </w:t>
      </w:r>
      <w:r w:rsidR="1FC6B80E" w:rsidRPr="68DA9955">
        <w:rPr>
          <w:rFonts w:ascii="Times New Roman" w:eastAsia="Times New Roman" w:hAnsi="Times New Roman" w:cs="Times New Roman"/>
        </w:rPr>
        <w:t>that lower tuition usually correlates with lower aid packages.</w:t>
      </w:r>
      <w:r w:rsidR="0099CC68" w:rsidRPr="68DA9955">
        <w:rPr>
          <w:rFonts w:ascii="Times New Roman" w:eastAsia="Times New Roman" w:hAnsi="Times New Roman" w:cs="Times New Roman"/>
        </w:rPr>
        <w:t xml:space="preserve"> </w:t>
      </w:r>
      <w:r w:rsidR="0C67DC51">
        <w:br/>
      </w:r>
      <w:r w:rsidR="0C67DC51">
        <w:tab/>
      </w:r>
      <w:r w:rsidR="2D013604" w:rsidRPr="68DA9955">
        <w:rPr>
          <w:rFonts w:ascii="Times New Roman" w:eastAsia="Times New Roman" w:hAnsi="Times New Roman" w:cs="Times New Roman"/>
        </w:rPr>
        <w:t>The 2019 demographic and contextual visuals in</w:t>
      </w:r>
      <w:r w:rsidR="7BE4DF9D" w:rsidRPr="68DA9955">
        <w:rPr>
          <w:rFonts w:ascii="Times New Roman" w:eastAsia="Times New Roman" w:hAnsi="Times New Roman" w:cs="Times New Roman"/>
        </w:rPr>
        <w:t xml:space="preserve"> the data visualization tool</w:t>
      </w:r>
      <w:r w:rsidR="2D013604" w:rsidRPr="68DA9955">
        <w:rPr>
          <w:rFonts w:ascii="Times New Roman" w:eastAsia="Times New Roman" w:hAnsi="Times New Roman" w:cs="Times New Roman"/>
        </w:rPr>
        <w:t xml:space="preserve"> offered additional insight into Elmhurst’s position among peer institutions. Institutions located in cities accounted for the largest share of undergraduate enrollment in the dataset (41</w:t>
      </w:r>
      <w:r w:rsidR="53B29C10" w:rsidRPr="68DA9955">
        <w:rPr>
          <w:rFonts w:ascii="Times New Roman" w:eastAsia="Times New Roman" w:hAnsi="Times New Roman" w:cs="Times New Roman"/>
        </w:rPr>
        <w:t>.28</w:t>
      </w:r>
      <w:r w:rsidR="2D013604" w:rsidRPr="68DA9955">
        <w:rPr>
          <w:rFonts w:ascii="Times New Roman" w:eastAsia="Times New Roman" w:hAnsi="Times New Roman" w:cs="Times New Roman"/>
        </w:rPr>
        <w:t xml:space="preserve">%), followed by </w:t>
      </w:r>
      <w:r w:rsidR="2D013604" w:rsidRPr="68DA9955">
        <w:rPr>
          <w:rFonts w:ascii="Times New Roman" w:eastAsia="Times New Roman" w:hAnsi="Times New Roman" w:cs="Times New Roman"/>
        </w:rPr>
        <w:lastRenderedPageBreak/>
        <w:t>those in towns (31</w:t>
      </w:r>
      <w:r w:rsidR="04BBBA89" w:rsidRPr="68DA9955">
        <w:rPr>
          <w:rFonts w:ascii="Times New Roman" w:eastAsia="Times New Roman" w:hAnsi="Times New Roman" w:cs="Times New Roman"/>
        </w:rPr>
        <w:t>.43</w:t>
      </w:r>
      <w:r w:rsidR="2D013604" w:rsidRPr="68DA9955">
        <w:rPr>
          <w:rFonts w:ascii="Times New Roman" w:eastAsia="Times New Roman" w:hAnsi="Times New Roman" w:cs="Times New Roman"/>
        </w:rPr>
        <w:t>%), suburbs</w:t>
      </w:r>
      <w:r w:rsidR="74F1F3C5" w:rsidRPr="68DA9955">
        <w:rPr>
          <w:rFonts w:ascii="Times New Roman" w:eastAsia="Times New Roman" w:hAnsi="Times New Roman" w:cs="Times New Roman"/>
        </w:rPr>
        <w:t xml:space="preserve"> (2</w:t>
      </w:r>
      <w:r w:rsidR="72320FC8" w:rsidRPr="68DA9955">
        <w:rPr>
          <w:rFonts w:ascii="Times New Roman" w:eastAsia="Times New Roman" w:hAnsi="Times New Roman" w:cs="Times New Roman"/>
        </w:rPr>
        <w:t>2.97</w:t>
      </w:r>
      <w:r w:rsidR="74F1F3C5" w:rsidRPr="68DA9955">
        <w:rPr>
          <w:rFonts w:ascii="Times New Roman" w:eastAsia="Times New Roman" w:hAnsi="Times New Roman" w:cs="Times New Roman"/>
        </w:rPr>
        <w:t>%)</w:t>
      </w:r>
      <w:r w:rsidR="2D013604" w:rsidRPr="68DA9955">
        <w:rPr>
          <w:rFonts w:ascii="Times New Roman" w:eastAsia="Times New Roman" w:hAnsi="Times New Roman" w:cs="Times New Roman"/>
        </w:rPr>
        <w:t>, and rural areas</w:t>
      </w:r>
      <w:r w:rsidR="1EA76677" w:rsidRPr="68DA9955">
        <w:rPr>
          <w:rFonts w:ascii="Times New Roman" w:eastAsia="Times New Roman" w:hAnsi="Times New Roman" w:cs="Times New Roman"/>
        </w:rPr>
        <w:t xml:space="preserve"> (4</w:t>
      </w:r>
      <w:r w:rsidR="6C5E998E" w:rsidRPr="68DA9955">
        <w:rPr>
          <w:rFonts w:ascii="Times New Roman" w:eastAsia="Times New Roman" w:hAnsi="Times New Roman" w:cs="Times New Roman"/>
        </w:rPr>
        <w:t>.33</w:t>
      </w:r>
      <w:r w:rsidR="1EA76677" w:rsidRPr="68DA9955">
        <w:rPr>
          <w:rFonts w:ascii="Times New Roman" w:eastAsia="Times New Roman" w:hAnsi="Times New Roman" w:cs="Times New Roman"/>
        </w:rPr>
        <w:t>%)</w:t>
      </w:r>
      <w:r w:rsidR="2D013604" w:rsidRPr="68DA9955">
        <w:rPr>
          <w:rFonts w:ascii="Times New Roman" w:eastAsia="Times New Roman" w:hAnsi="Times New Roman" w:cs="Times New Roman"/>
        </w:rPr>
        <w:t xml:space="preserve">. NCAA membership was also prominent, with nearly two-thirds of institutions identified as NCAA schools. When examining student outcomes by institutional size, larger universities showed higher retention and graduation rates, a pattern that </w:t>
      </w:r>
      <w:r w:rsidR="65DFA688" w:rsidRPr="68DA9955">
        <w:rPr>
          <w:rFonts w:ascii="Times New Roman" w:eastAsia="Times New Roman" w:hAnsi="Times New Roman" w:cs="Times New Roman"/>
        </w:rPr>
        <w:t>was held</w:t>
      </w:r>
      <w:r w:rsidR="2D013604" w:rsidRPr="68DA9955">
        <w:rPr>
          <w:rFonts w:ascii="Times New Roman" w:eastAsia="Times New Roman" w:hAnsi="Times New Roman" w:cs="Times New Roman"/>
        </w:rPr>
        <w:t xml:space="preserve"> when comparing Elmhurst to institutions within similar size categories.</w:t>
      </w:r>
      <w:r w:rsidR="2C8FA3E9" w:rsidRPr="68DA9955">
        <w:rPr>
          <w:rFonts w:ascii="Times New Roman" w:eastAsia="Times New Roman" w:hAnsi="Times New Roman" w:cs="Times New Roman"/>
        </w:rPr>
        <w:t xml:space="preserve"> Elmhurst University performed at the upper end of its size category with an average </w:t>
      </w:r>
      <w:r w:rsidR="47499182" w:rsidRPr="68DA9955">
        <w:rPr>
          <w:rFonts w:ascii="Times New Roman" w:eastAsia="Times New Roman" w:hAnsi="Times New Roman" w:cs="Times New Roman"/>
        </w:rPr>
        <w:t xml:space="preserve">retention rate of 80% (compared to 76% in its size category) and </w:t>
      </w:r>
      <w:r w:rsidR="45A64A92" w:rsidRPr="68DA9955">
        <w:rPr>
          <w:rFonts w:ascii="Times New Roman" w:eastAsia="Times New Roman" w:hAnsi="Times New Roman" w:cs="Times New Roman"/>
        </w:rPr>
        <w:t xml:space="preserve">an average graduation rate of </w:t>
      </w:r>
      <w:r w:rsidR="4C95550B" w:rsidRPr="68DA9955">
        <w:rPr>
          <w:rFonts w:ascii="Times New Roman" w:eastAsia="Times New Roman" w:hAnsi="Times New Roman" w:cs="Times New Roman"/>
        </w:rPr>
        <w:t>68%</w:t>
      </w:r>
      <w:r w:rsidR="199C3542" w:rsidRPr="68DA9955">
        <w:rPr>
          <w:rFonts w:ascii="Times New Roman" w:eastAsia="Times New Roman" w:hAnsi="Times New Roman" w:cs="Times New Roman"/>
        </w:rPr>
        <w:t xml:space="preserve"> (compared to 62% in its size category)</w:t>
      </w:r>
      <w:r w:rsidR="2C8FA3E9" w:rsidRPr="68DA9955">
        <w:rPr>
          <w:rFonts w:ascii="Times New Roman" w:eastAsia="Times New Roman" w:hAnsi="Times New Roman" w:cs="Times New Roman"/>
        </w:rPr>
        <w:t>.</w:t>
      </w:r>
      <w:r w:rsidR="2D013604" w:rsidRPr="68DA9955">
        <w:rPr>
          <w:rFonts w:ascii="Times New Roman" w:eastAsia="Times New Roman" w:hAnsi="Times New Roman" w:cs="Times New Roman"/>
        </w:rPr>
        <w:t xml:space="preserve"> Elmhurst’s housing charges</w:t>
      </w:r>
      <w:r w:rsidR="7846DD6D" w:rsidRPr="68DA9955">
        <w:rPr>
          <w:rFonts w:ascii="Times New Roman" w:eastAsia="Times New Roman" w:hAnsi="Times New Roman" w:cs="Times New Roman"/>
        </w:rPr>
        <w:t xml:space="preserve"> ($</w:t>
      </w:r>
      <w:r w:rsidR="6ACF4EDF" w:rsidRPr="68DA9955">
        <w:rPr>
          <w:rFonts w:ascii="Times New Roman" w:eastAsia="Times New Roman" w:hAnsi="Times New Roman" w:cs="Times New Roman"/>
        </w:rPr>
        <w:t>6,200 for</w:t>
      </w:r>
      <w:r w:rsidR="7846DD6D" w:rsidRPr="68DA9955">
        <w:rPr>
          <w:rFonts w:ascii="Times New Roman" w:eastAsia="Times New Roman" w:hAnsi="Times New Roman" w:cs="Times New Roman"/>
        </w:rPr>
        <w:t xml:space="preserve"> room charges and $</w:t>
      </w:r>
      <w:r w:rsidR="3FD25D90" w:rsidRPr="68DA9955">
        <w:rPr>
          <w:rFonts w:ascii="Times New Roman" w:eastAsia="Times New Roman" w:hAnsi="Times New Roman" w:cs="Times New Roman"/>
        </w:rPr>
        <w:t>4,300 for</w:t>
      </w:r>
      <w:r w:rsidR="7846DD6D" w:rsidRPr="68DA9955">
        <w:rPr>
          <w:rFonts w:ascii="Times New Roman" w:eastAsia="Times New Roman" w:hAnsi="Times New Roman" w:cs="Times New Roman"/>
        </w:rPr>
        <w:t xml:space="preserve"> board charges)</w:t>
      </w:r>
      <w:r w:rsidR="2D013604" w:rsidRPr="68DA9955">
        <w:rPr>
          <w:rFonts w:ascii="Times New Roman" w:eastAsia="Times New Roman" w:hAnsi="Times New Roman" w:cs="Times New Roman"/>
        </w:rPr>
        <w:t xml:space="preserve"> were also lower than those of the top-cost institutions, which had room and board totals exceeding $14,000 annually.</w:t>
      </w:r>
      <w:r w:rsidR="54FC80EC">
        <w:rPr>
          <w:noProof/>
        </w:rPr>
        <w:drawing>
          <wp:inline distT="0" distB="0" distL="0" distR="0" wp14:anchorId="6D8581C8" wp14:editId="15044AA2">
            <wp:extent cx="5824330" cy="2790825"/>
            <wp:effectExtent l="0" t="0" r="0" b="0"/>
            <wp:docPr id="1181590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58869" name="Picture 1656258869"/>
                    <pic:cNvPicPr/>
                  </pic:nvPicPr>
                  <pic:blipFill>
                    <a:blip r:embed="rId7">
                      <a:extLst>
                        <a:ext uri="{28A0092B-C50C-407E-A947-70E740481C1C}">
                          <a14:useLocalDpi xmlns:a14="http://schemas.microsoft.com/office/drawing/2010/main"/>
                        </a:ext>
                      </a:extLst>
                    </a:blip>
                    <a:stretch>
                      <a:fillRect/>
                    </a:stretch>
                  </pic:blipFill>
                  <pic:spPr>
                    <a:xfrm>
                      <a:off x="0" y="0"/>
                      <a:ext cx="5824330" cy="2790825"/>
                    </a:xfrm>
                    <a:prstGeom prst="rect">
                      <a:avLst/>
                    </a:prstGeom>
                  </pic:spPr>
                </pic:pic>
              </a:graphicData>
            </a:graphic>
          </wp:inline>
        </w:drawing>
      </w:r>
      <w:r w:rsidR="0C67DC51">
        <w:br/>
      </w:r>
    </w:p>
    <w:p w14:paraId="2BA9BD20" w14:textId="50B54737" w:rsidR="00F80040" w:rsidRDefault="00F80040" w:rsidP="68DA9955">
      <w:pPr>
        <w:spacing w:before="240" w:after="0" w:line="480" w:lineRule="auto"/>
        <w:ind w:firstLine="720"/>
        <w:rPr>
          <w:rFonts w:ascii="Times New Roman" w:eastAsia="Times New Roman" w:hAnsi="Times New Roman" w:cs="Times New Roman"/>
        </w:rPr>
      </w:pPr>
    </w:p>
    <w:p w14:paraId="06F31105" w14:textId="4B7A54AC" w:rsidR="0C67DC51" w:rsidRDefault="73B575D8" w:rsidP="68DA9955">
      <w:pPr>
        <w:spacing w:before="240" w:after="0" w:line="480" w:lineRule="auto"/>
        <w:ind w:firstLine="720"/>
        <w:rPr>
          <w:rFonts w:ascii="Times New Roman" w:eastAsia="Times New Roman" w:hAnsi="Times New Roman" w:cs="Times New Roman"/>
        </w:rPr>
      </w:pPr>
      <w:r>
        <w:rPr>
          <w:noProof/>
        </w:rPr>
        <w:lastRenderedPageBreak/>
        <w:drawing>
          <wp:inline distT="0" distB="0" distL="0" distR="0" wp14:anchorId="3F5E8838" wp14:editId="562EFB70">
            <wp:extent cx="5824330" cy="2790825"/>
            <wp:effectExtent l="0" t="0" r="0" b="0"/>
            <wp:docPr id="1025629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58869" name="Picture 1656258869"/>
                    <pic:cNvPicPr/>
                  </pic:nvPicPr>
                  <pic:blipFill>
                    <a:blip r:embed="rId7">
                      <a:extLst>
                        <a:ext uri="{28A0092B-C50C-407E-A947-70E740481C1C}">
                          <a14:useLocalDpi xmlns:a14="http://schemas.microsoft.com/office/drawing/2010/main"/>
                        </a:ext>
                      </a:extLst>
                    </a:blip>
                    <a:stretch>
                      <a:fillRect/>
                    </a:stretch>
                  </pic:blipFill>
                  <pic:spPr>
                    <a:xfrm>
                      <a:off x="0" y="0"/>
                      <a:ext cx="5824330" cy="2790825"/>
                    </a:xfrm>
                    <a:prstGeom prst="rect">
                      <a:avLst/>
                    </a:prstGeom>
                  </pic:spPr>
                </pic:pic>
              </a:graphicData>
            </a:graphic>
          </wp:inline>
        </w:drawing>
      </w:r>
    </w:p>
    <w:p w14:paraId="09BE0AA4" w14:textId="6D0AB512" w:rsidR="0C67DC51" w:rsidRDefault="09FCB723" w:rsidP="68DA9955">
      <w:pPr>
        <w:spacing w:before="240" w:after="0" w:line="480" w:lineRule="auto"/>
        <w:ind w:firstLine="720"/>
        <w:jc w:val="right"/>
        <w:rPr>
          <w:rFonts w:ascii="Times New Roman" w:eastAsia="Times New Roman" w:hAnsi="Times New Roman" w:cs="Times New Roman"/>
        </w:rPr>
      </w:pPr>
      <w:r>
        <w:rPr>
          <w:noProof/>
        </w:rPr>
        <w:drawing>
          <wp:inline distT="0" distB="0" distL="0" distR="0" wp14:anchorId="1898CA20" wp14:editId="104CB568">
            <wp:extent cx="5800725" cy="3867150"/>
            <wp:effectExtent l="0" t="0" r="0" b="0"/>
            <wp:docPr id="1478394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75526" name="Picture 449775526"/>
                    <pic:cNvPicPr/>
                  </pic:nvPicPr>
                  <pic:blipFill>
                    <a:blip r:embed="rId8">
                      <a:extLst>
                        <a:ext uri="{28A0092B-C50C-407E-A947-70E740481C1C}">
                          <a14:useLocalDpi xmlns:a14="http://schemas.microsoft.com/office/drawing/2010/main"/>
                        </a:ext>
                      </a:extLst>
                    </a:blip>
                    <a:stretch>
                      <a:fillRect/>
                    </a:stretch>
                  </pic:blipFill>
                  <pic:spPr>
                    <a:xfrm>
                      <a:off x="0" y="0"/>
                      <a:ext cx="5800725" cy="3867150"/>
                    </a:xfrm>
                    <a:prstGeom prst="rect">
                      <a:avLst/>
                    </a:prstGeom>
                  </pic:spPr>
                </pic:pic>
              </a:graphicData>
            </a:graphic>
          </wp:inline>
        </w:drawing>
      </w:r>
    </w:p>
    <w:p w14:paraId="02AED5AE" w14:textId="6FC2982B" w:rsidR="0C67DC51" w:rsidRDefault="0C67DC51" w:rsidP="68DA9955">
      <w:pPr>
        <w:spacing w:before="240" w:after="0" w:line="480" w:lineRule="auto"/>
        <w:ind w:firstLine="720"/>
        <w:rPr>
          <w:rFonts w:ascii="Times New Roman" w:eastAsia="Times New Roman" w:hAnsi="Times New Roman" w:cs="Times New Roman"/>
        </w:rPr>
      </w:pPr>
    </w:p>
    <w:p w14:paraId="5E660D30" w14:textId="5B63A7EC" w:rsidR="0C67DC51" w:rsidRDefault="0C67DC51" w:rsidP="68DA9955">
      <w:pPr>
        <w:spacing w:before="240" w:after="0" w:line="480" w:lineRule="auto"/>
        <w:ind w:firstLine="720"/>
        <w:rPr>
          <w:rFonts w:ascii="Times New Roman" w:eastAsia="Times New Roman" w:hAnsi="Times New Roman" w:cs="Times New Roman"/>
        </w:rPr>
      </w:pPr>
    </w:p>
    <w:p w14:paraId="77EE24F6" w14:textId="2ED671C4" w:rsidR="0C67DC51" w:rsidRDefault="0C67DC51" w:rsidP="68DA9955">
      <w:pPr>
        <w:spacing w:before="240" w:after="0" w:line="480" w:lineRule="auto"/>
        <w:ind w:firstLine="720"/>
        <w:rPr>
          <w:rFonts w:ascii="Times New Roman" w:eastAsia="Times New Roman" w:hAnsi="Times New Roman" w:cs="Times New Roman"/>
        </w:rPr>
      </w:pPr>
    </w:p>
    <w:p w14:paraId="17FA0B6E" w14:textId="48A469F3" w:rsidR="0C67DC51" w:rsidRDefault="0C67DC51" w:rsidP="68DA9955">
      <w:pPr>
        <w:spacing w:before="240" w:after="0" w:line="480" w:lineRule="auto"/>
        <w:ind w:firstLine="720"/>
        <w:rPr>
          <w:rFonts w:ascii="Times New Roman" w:eastAsia="Times New Roman" w:hAnsi="Times New Roman" w:cs="Times New Roman"/>
        </w:rPr>
      </w:pPr>
    </w:p>
    <w:p w14:paraId="2D580760" w14:textId="23A56D27" w:rsidR="0C67DC51" w:rsidRDefault="0C67DC51" w:rsidP="68DA9955">
      <w:pPr>
        <w:spacing w:before="240" w:after="0" w:line="480" w:lineRule="auto"/>
        <w:ind w:firstLine="720"/>
        <w:rPr>
          <w:rFonts w:ascii="Times New Roman" w:eastAsia="Times New Roman" w:hAnsi="Times New Roman" w:cs="Times New Roman"/>
        </w:rPr>
      </w:pPr>
    </w:p>
    <w:p w14:paraId="1958E906" w14:textId="3263B4AA" w:rsidR="0C67DC51" w:rsidRDefault="0C67DC51" w:rsidP="68DA9955">
      <w:pPr>
        <w:spacing w:before="240" w:after="0" w:line="480" w:lineRule="auto"/>
        <w:ind w:firstLine="720"/>
        <w:rPr>
          <w:rFonts w:ascii="Times New Roman" w:eastAsia="Times New Roman" w:hAnsi="Times New Roman" w:cs="Times New Roman"/>
        </w:rPr>
      </w:pPr>
      <w:r>
        <w:br/>
      </w:r>
      <w:r>
        <w:br/>
      </w:r>
      <w:r>
        <w:br/>
      </w:r>
      <w:r>
        <w:tab/>
      </w:r>
      <w:r w:rsidR="10150C32" w:rsidRPr="68DA9955">
        <w:rPr>
          <w:rFonts w:ascii="Times New Roman" w:eastAsia="Times New Roman" w:hAnsi="Times New Roman" w:cs="Times New Roman"/>
        </w:rPr>
        <w:t>In terms of overall performance,</w:t>
      </w:r>
      <w:r w:rsidR="04BC5CB2" w:rsidRPr="68DA9955">
        <w:rPr>
          <w:rFonts w:ascii="Times New Roman" w:eastAsia="Times New Roman" w:hAnsi="Times New Roman" w:cs="Times New Roman"/>
        </w:rPr>
        <w:t xml:space="preserve"> </w:t>
      </w:r>
      <w:r w:rsidR="10150C32" w:rsidRPr="68DA9955">
        <w:rPr>
          <w:rFonts w:ascii="Times New Roman" w:eastAsia="Times New Roman" w:hAnsi="Times New Roman" w:cs="Times New Roman"/>
        </w:rPr>
        <w:t>Elmhurst University</w:t>
      </w:r>
      <w:r w:rsidR="17823A10" w:rsidRPr="68DA9955">
        <w:rPr>
          <w:rFonts w:ascii="Times New Roman" w:eastAsia="Times New Roman" w:hAnsi="Times New Roman" w:cs="Times New Roman"/>
        </w:rPr>
        <w:t xml:space="preserve"> shows</w:t>
      </w:r>
      <w:r w:rsidR="10150C32" w:rsidRPr="68DA9955">
        <w:rPr>
          <w:rFonts w:ascii="Times New Roman" w:eastAsia="Times New Roman" w:hAnsi="Times New Roman" w:cs="Times New Roman"/>
        </w:rPr>
        <w:t xml:space="preserve"> a mix of strengths and challenges compared to similar institutions. Its admissions yield is lower than the average every year and fluctuates more, with a particularly sharp drop in 2022 (Figure 1). This indicates that while Elmhurst University admits students, fewer of them choose to enroll compared to peer institutions. Tuition might be a contributing factor, as Elmhurst charges more than the average and rises steadily each year. On the other hand, average tuition across comparable institutions shows a sharp increase after 2021, while Elmhurst’s tuition continues its steady upward trend (Figure 6).</w:t>
      </w:r>
      <w:r>
        <w:br/>
      </w:r>
      <w:r>
        <w:tab/>
      </w:r>
      <w:r w:rsidR="27352CEA" w:rsidRPr="68DA9955">
        <w:rPr>
          <w:rFonts w:ascii="Times New Roman" w:eastAsia="Times New Roman" w:hAnsi="Times New Roman" w:cs="Times New Roman"/>
        </w:rPr>
        <w:t>At the same time, Elmhurst consistently provides more financial aid than the average school, with aid amounts increasing over time (Figure 2). This suggests that financial aid may be used strategically to attract students. Enrollment remains higher than average and stable, even increasing in 2022, while peer institutions experience slight declines (Figure 3). Graduation and retention rates are also above average. Graduation rates show a slow decline over time, while the average remains relatively flat (Figure 4). Retention rates are generally strong but experienced a noticeable dip in 2021 before recovering in 2022 (Figure 5). Figures referenced in this section (Figures 1–6) are presented on the following pages for review.</w:t>
      </w:r>
      <w:r>
        <w:br/>
      </w:r>
      <w:r>
        <w:lastRenderedPageBreak/>
        <w:tab/>
      </w:r>
      <w:r w:rsidR="48CF86AC" w:rsidRPr="68DA9955">
        <w:rPr>
          <w:rFonts w:ascii="Times New Roman" w:eastAsia="Times New Roman" w:hAnsi="Times New Roman" w:cs="Times New Roman"/>
        </w:rPr>
        <w:t xml:space="preserve">Figure 7 shows the net price for Elmhurst University compared to the average institution from 2019 to 2022. Net </w:t>
      </w:r>
      <w:r w:rsidR="42F0495B" w:rsidRPr="68DA9955">
        <w:rPr>
          <w:rFonts w:ascii="Times New Roman" w:eastAsia="Times New Roman" w:hAnsi="Times New Roman" w:cs="Times New Roman"/>
        </w:rPr>
        <w:t>prices</w:t>
      </w:r>
      <w:r w:rsidR="48CF86AC" w:rsidRPr="68DA9955">
        <w:rPr>
          <w:rFonts w:ascii="Times New Roman" w:eastAsia="Times New Roman" w:hAnsi="Times New Roman" w:cs="Times New Roman"/>
        </w:rPr>
        <w:t xml:space="preserve"> at Elmhurst </w:t>
      </w:r>
      <w:r w:rsidR="67E89198" w:rsidRPr="68DA9955">
        <w:rPr>
          <w:rFonts w:ascii="Times New Roman" w:eastAsia="Times New Roman" w:hAnsi="Times New Roman" w:cs="Times New Roman"/>
        </w:rPr>
        <w:t>increase</w:t>
      </w:r>
      <w:r w:rsidR="48CF86AC" w:rsidRPr="68DA9955">
        <w:rPr>
          <w:rFonts w:ascii="Times New Roman" w:eastAsia="Times New Roman" w:hAnsi="Times New Roman" w:cs="Times New Roman"/>
        </w:rPr>
        <w:t xml:space="preserve"> each year, with a noticeable rise in 2021. When this is compared with Figure 5 (Retention Rate), we see that retention drops for Elmhurst in the same year. In addition, Figure 2 shows that financial aid increased, but it did not fully </w:t>
      </w:r>
      <w:r w:rsidR="4699B6AD" w:rsidRPr="68DA9955">
        <w:rPr>
          <w:rFonts w:ascii="Times New Roman" w:eastAsia="Times New Roman" w:hAnsi="Times New Roman" w:cs="Times New Roman"/>
        </w:rPr>
        <w:t>balance</w:t>
      </w:r>
      <w:r w:rsidR="48CF86AC" w:rsidRPr="68DA9955">
        <w:rPr>
          <w:rFonts w:ascii="Times New Roman" w:eastAsia="Times New Roman" w:hAnsi="Times New Roman" w:cs="Times New Roman"/>
        </w:rPr>
        <w:t xml:space="preserve"> the rise in net price. This pattern may suggest a possible relationship between higher student costs and the decline in retention. This trend should be examined further to prevent future retention problems and to determine whether changes in tuition or net price directly affect students’ decisions to stay enrolled.</w:t>
      </w:r>
    </w:p>
    <w:p w14:paraId="2B214370" w14:textId="3626680E" w:rsidR="0C67DC51" w:rsidRDefault="0C67DC51" w:rsidP="7F094DFF">
      <w:pPr>
        <w:spacing w:before="240" w:after="240" w:line="480" w:lineRule="auto"/>
        <w:ind w:firstLine="720"/>
        <w:rPr>
          <w:rFonts w:ascii="Times New Roman" w:eastAsia="Times New Roman" w:hAnsi="Times New Roman" w:cs="Times New Roman"/>
          <w:color w:val="000000" w:themeColor="text1"/>
        </w:rPr>
      </w:pPr>
    </w:p>
    <w:p w14:paraId="3DFBE911" w14:textId="2ADFF2B7" w:rsidR="0C67DC51" w:rsidRDefault="0C67DC51" w:rsidP="0C67DC51">
      <w:pPr>
        <w:spacing w:after="0" w:line="480" w:lineRule="auto"/>
        <w:jc w:val="right"/>
        <w:rPr>
          <w:rFonts w:ascii="Times New Roman" w:eastAsia="Times New Roman" w:hAnsi="Times New Roman" w:cs="Times New Roman"/>
          <w:i/>
          <w:iCs/>
          <w:color w:val="000000" w:themeColor="text1"/>
          <w:sz w:val="22"/>
          <w:szCs w:val="22"/>
        </w:rPr>
      </w:pPr>
    </w:p>
    <w:p w14:paraId="48269FC6" w14:textId="793537CB" w:rsidR="0C67DC51" w:rsidRDefault="0C67DC51">
      <w:pPr>
        <w:rPr>
          <w:rFonts w:ascii="Times New Roman" w:eastAsia="Times New Roman" w:hAnsi="Times New Roman" w:cs="Times New Roman"/>
        </w:rPr>
      </w:pPr>
      <w:r w:rsidRPr="68DA9955">
        <w:rPr>
          <w:rFonts w:ascii="Times New Roman" w:eastAsia="Times New Roman" w:hAnsi="Times New Roman" w:cs="Times New Roman"/>
        </w:rPr>
        <w:br w:type="page"/>
      </w:r>
    </w:p>
    <w:p w14:paraId="0E96D4F0" w14:textId="374589C9" w:rsidR="0C67DC51" w:rsidRDefault="3B91645E" w:rsidP="1EE072C0">
      <w:pPr>
        <w:spacing w:after="0" w:line="480" w:lineRule="auto"/>
        <w:jc w:val="right"/>
        <w:rPr>
          <w:rFonts w:ascii="Times New Roman" w:eastAsia="Times New Roman" w:hAnsi="Times New Roman" w:cs="Times New Roman"/>
          <w:i/>
          <w:color w:val="000000" w:themeColor="text1"/>
          <w:sz w:val="22"/>
          <w:szCs w:val="22"/>
        </w:rPr>
      </w:pPr>
      <w:r>
        <w:lastRenderedPageBreak/>
        <w:br/>
      </w:r>
      <w:r w:rsidR="0E348AFE">
        <w:rPr>
          <w:noProof/>
        </w:rPr>
        <w:drawing>
          <wp:inline distT="0" distB="0" distL="0" distR="0" wp14:anchorId="0299FAA2" wp14:editId="0DA46FFA">
            <wp:extent cx="5943600" cy="4162425"/>
            <wp:effectExtent l="0" t="0" r="0" b="0"/>
            <wp:docPr id="1545119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19335" name="Picture 1545119335"/>
                    <pic:cNvPicPr/>
                  </pic:nvPicPr>
                  <pic:blipFill>
                    <a:blip r:embed="rId9">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r w:rsidR="031C4386" w:rsidRPr="0C67DC51">
        <w:rPr>
          <w:rFonts w:ascii="Times New Roman" w:eastAsia="Times New Roman" w:hAnsi="Times New Roman" w:cs="Times New Roman"/>
          <w:i/>
          <w:iCs/>
          <w:color w:val="000000" w:themeColor="text1"/>
          <w:sz w:val="22"/>
          <w:szCs w:val="22"/>
        </w:rPr>
        <w:t>Figure 1. Admissions Yield (%) for Elmhurst University vs. Average (2019–2022)</w:t>
      </w:r>
      <w:r>
        <w:br/>
      </w:r>
    </w:p>
    <w:p w14:paraId="5C387D6B" w14:textId="0ED48382" w:rsidR="0C67DC51" w:rsidRDefault="63C63EB6" w:rsidP="1EE072C0">
      <w:pPr>
        <w:spacing w:after="0" w:line="480" w:lineRule="auto"/>
        <w:jc w:val="right"/>
        <w:rPr>
          <w:rFonts w:ascii="Times New Roman" w:eastAsia="Times New Roman" w:hAnsi="Times New Roman" w:cs="Times New Roman"/>
          <w:i/>
          <w:color w:val="000000" w:themeColor="text1"/>
          <w:sz w:val="22"/>
          <w:szCs w:val="22"/>
        </w:rPr>
      </w:pPr>
      <w:r>
        <w:rPr>
          <w:noProof/>
        </w:rPr>
        <w:lastRenderedPageBreak/>
        <w:drawing>
          <wp:inline distT="0" distB="0" distL="0" distR="0" wp14:anchorId="0B8B1240" wp14:editId="1FBEF5E7">
            <wp:extent cx="5943600" cy="4162425"/>
            <wp:effectExtent l="0" t="0" r="0" b="0"/>
            <wp:docPr id="1255016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16111" name="Picture 1255016111"/>
                    <pic:cNvPicPr/>
                  </pic:nvPicPr>
                  <pic:blipFill>
                    <a:blip r:embed="rId10">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r w:rsidR="7EB00406" w:rsidRPr="0300D165">
        <w:rPr>
          <w:rFonts w:ascii="Times New Roman" w:eastAsia="Times New Roman" w:hAnsi="Times New Roman" w:cs="Times New Roman"/>
          <w:i/>
          <w:iCs/>
          <w:color w:val="000000" w:themeColor="text1"/>
          <w:sz w:val="22"/>
          <w:szCs w:val="22"/>
        </w:rPr>
        <w:t>Figure 2. Average Financial Aid ($) for Elmhurst University vs. Average (2019–2022)</w:t>
      </w:r>
      <w:r w:rsidR="73DE2DDA">
        <w:br/>
      </w:r>
    </w:p>
    <w:p w14:paraId="34ADB060" w14:textId="51AF99D0" w:rsidR="0C67DC51" w:rsidRDefault="0C67DC51" w:rsidP="0C67DC51">
      <w:pPr>
        <w:spacing w:after="0" w:line="480" w:lineRule="auto"/>
        <w:jc w:val="right"/>
        <w:rPr>
          <w:rFonts w:ascii="Times New Roman" w:eastAsia="Times New Roman" w:hAnsi="Times New Roman" w:cs="Times New Roman"/>
          <w:color w:val="000000" w:themeColor="text1"/>
        </w:rPr>
      </w:pPr>
    </w:p>
    <w:p w14:paraId="277F8AF9" w14:textId="543B2D16" w:rsidR="0C67DC51" w:rsidRDefault="0C67DC51" w:rsidP="0C67DC51">
      <w:pPr>
        <w:spacing w:after="0" w:line="480" w:lineRule="auto"/>
        <w:jc w:val="right"/>
        <w:rPr>
          <w:rFonts w:ascii="Times New Roman" w:eastAsia="Times New Roman" w:hAnsi="Times New Roman" w:cs="Times New Roman"/>
          <w:color w:val="000000" w:themeColor="text1"/>
        </w:rPr>
      </w:pPr>
    </w:p>
    <w:p w14:paraId="74915D95" w14:textId="33BD026C" w:rsidR="031C4386" w:rsidRDefault="10C65F03" w:rsidP="0C67DC51">
      <w:pPr>
        <w:spacing w:after="0" w:line="480" w:lineRule="auto"/>
        <w:jc w:val="right"/>
        <w:rPr>
          <w:rFonts w:ascii="Times New Roman" w:eastAsia="Times New Roman" w:hAnsi="Times New Roman" w:cs="Times New Roman"/>
          <w:i/>
          <w:iCs/>
          <w:color w:val="000000" w:themeColor="text1"/>
          <w:sz w:val="22"/>
          <w:szCs w:val="22"/>
        </w:rPr>
      </w:pPr>
      <w:r>
        <w:rPr>
          <w:noProof/>
        </w:rPr>
        <w:lastRenderedPageBreak/>
        <w:drawing>
          <wp:inline distT="0" distB="0" distL="0" distR="0" wp14:anchorId="4E8ED13A" wp14:editId="66D4F703">
            <wp:extent cx="5943600" cy="4162425"/>
            <wp:effectExtent l="0" t="0" r="0" b="0"/>
            <wp:docPr id="1520978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78614" name="Picture 1520978614"/>
                    <pic:cNvPicPr/>
                  </pic:nvPicPr>
                  <pic:blipFill>
                    <a:blip r:embed="rId11">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r w:rsidR="031C4386" w:rsidRPr="0C67DC51">
        <w:rPr>
          <w:rFonts w:ascii="Times New Roman" w:eastAsia="Times New Roman" w:hAnsi="Times New Roman" w:cs="Times New Roman"/>
          <w:color w:val="000000" w:themeColor="text1"/>
        </w:rPr>
        <w:t xml:space="preserve"> </w:t>
      </w:r>
      <w:r w:rsidR="031C4386" w:rsidRPr="0C67DC51">
        <w:rPr>
          <w:rFonts w:ascii="Times New Roman" w:eastAsia="Times New Roman" w:hAnsi="Times New Roman" w:cs="Times New Roman"/>
          <w:i/>
          <w:iCs/>
          <w:color w:val="000000" w:themeColor="text1"/>
          <w:sz w:val="22"/>
          <w:szCs w:val="22"/>
        </w:rPr>
        <w:t xml:space="preserve">Figure </w:t>
      </w:r>
      <w:r w:rsidR="031C4386" w:rsidRPr="2DB1B6D6">
        <w:rPr>
          <w:rFonts w:ascii="Times New Roman" w:eastAsia="Times New Roman" w:hAnsi="Times New Roman" w:cs="Times New Roman"/>
          <w:i/>
          <w:iCs/>
          <w:color w:val="000000" w:themeColor="text1"/>
          <w:sz w:val="22"/>
          <w:szCs w:val="22"/>
        </w:rPr>
        <w:t>3.</w:t>
      </w:r>
      <w:r w:rsidR="031C4386" w:rsidRPr="0C67DC51">
        <w:rPr>
          <w:rFonts w:ascii="Times New Roman" w:eastAsia="Times New Roman" w:hAnsi="Times New Roman" w:cs="Times New Roman"/>
          <w:i/>
          <w:iCs/>
          <w:color w:val="000000" w:themeColor="text1"/>
          <w:sz w:val="22"/>
          <w:szCs w:val="22"/>
        </w:rPr>
        <w:t xml:space="preserve"> Enrollment Levels for Elmhurst University vs. Average (2019–2022)</w:t>
      </w:r>
      <w:r w:rsidR="031C4386">
        <w:br/>
      </w:r>
      <w:r w:rsidR="031C4386">
        <w:br/>
      </w:r>
      <w:r w:rsidR="538ADDC0">
        <w:rPr>
          <w:noProof/>
        </w:rPr>
        <w:lastRenderedPageBreak/>
        <w:drawing>
          <wp:inline distT="0" distB="0" distL="0" distR="0" wp14:anchorId="156532A3" wp14:editId="2EBE4A1C">
            <wp:extent cx="5943600" cy="4162425"/>
            <wp:effectExtent l="0" t="0" r="0" b="0"/>
            <wp:docPr id="1629240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40072" name="Picture 1629240072"/>
                    <pic:cNvPicPr/>
                  </pic:nvPicPr>
                  <pic:blipFill>
                    <a:blip r:embed="rId12">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r w:rsidR="031C4386" w:rsidRPr="0C67DC51">
        <w:rPr>
          <w:rFonts w:ascii="Times New Roman" w:eastAsia="Times New Roman" w:hAnsi="Times New Roman" w:cs="Times New Roman"/>
          <w:i/>
          <w:iCs/>
          <w:color w:val="000000" w:themeColor="text1"/>
          <w:sz w:val="22"/>
          <w:szCs w:val="22"/>
        </w:rPr>
        <w:t>Figure 4. Graduation Rate (%) for Elmhurst University vs. Average (2019–2022)</w:t>
      </w:r>
      <w:r w:rsidR="031C4386">
        <w:br/>
      </w:r>
      <w:r w:rsidR="61A16EFB">
        <w:rPr>
          <w:noProof/>
        </w:rPr>
        <w:lastRenderedPageBreak/>
        <w:drawing>
          <wp:inline distT="0" distB="0" distL="0" distR="0" wp14:anchorId="7FA8DECF" wp14:editId="1D855A14">
            <wp:extent cx="5943600" cy="4162425"/>
            <wp:effectExtent l="0" t="0" r="0" b="0"/>
            <wp:docPr id="475699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99794" name="Picture 475699794"/>
                    <pic:cNvPicPr/>
                  </pic:nvPicPr>
                  <pic:blipFill>
                    <a:blip r:embed="rId13">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r w:rsidR="031C4386" w:rsidRPr="0C67DC51">
        <w:rPr>
          <w:rFonts w:ascii="Times New Roman" w:eastAsia="Times New Roman" w:hAnsi="Times New Roman" w:cs="Times New Roman"/>
          <w:i/>
          <w:iCs/>
          <w:color w:val="000000" w:themeColor="text1"/>
          <w:sz w:val="22"/>
          <w:szCs w:val="22"/>
        </w:rPr>
        <w:t>Figure 5. Retention Rate (%) for Elmhurst University vs. Average (2019–2022)</w:t>
      </w:r>
      <w:r w:rsidR="031C4386">
        <w:br/>
      </w:r>
      <w:r w:rsidR="58435D5B">
        <w:rPr>
          <w:noProof/>
        </w:rPr>
        <w:lastRenderedPageBreak/>
        <w:drawing>
          <wp:inline distT="0" distB="0" distL="0" distR="0" wp14:anchorId="397A49F8" wp14:editId="2ECD6E4E">
            <wp:extent cx="5943600" cy="4162425"/>
            <wp:effectExtent l="0" t="0" r="0" b="0"/>
            <wp:docPr id="929168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68834" name="Picture 929168834"/>
                    <pic:cNvPicPr/>
                  </pic:nvPicPr>
                  <pic:blipFill>
                    <a:blip r:embed="rId14">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r w:rsidR="031C4386" w:rsidRPr="0C67DC51">
        <w:rPr>
          <w:rFonts w:ascii="Times New Roman" w:eastAsia="Times New Roman" w:hAnsi="Times New Roman" w:cs="Times New Roman"/>
          <w:i/>
          <w:iCs/>
          <w:color w:val="000000" w:themeColor="text1"/>
          <w:sz w:val="22"/>
          <w:szCs w:val="22"/>
        </w:rPr>
        <w:t>Figure 6. Tuition ($) for Elmhurst University vs. Average (2019–2022)</w:t>
      </w:r>
    </w:p>
    <w:p w14:paraId="6F22B623" w14:textId="704DBD2F" w:rsidR="006A54E1" w:rsidRDefault="006A54E1" w:rsidP="0C67DC51">
      <w:pPr>
        <w:spacing w:after="0" w:line="480" w:lineRule="auto"/>
        <w:jc w:val="right"/>
        <w:rPr>
          <w:rFonts w:ascii="Times New Roman" w:eastAsia="Times New Roman" w:hAnsi="Times New Roman" w:cs="Times New Roman"/>
          <w:i/>
          <w:iCs/>
          <w:color w:val="000000" w:themeColor="text1"/>
          <w:sz w:val="22"/>
          <w:szCs w:val="22"/>
        </w:rPr>
      </w:pPr>
    </w:p>
    <w:p w14:paraId="536F8BDC" w14:textId="4668550B" w:rsidR="006A54E1" w:rsidRDefault="006A54E1" w:rsidP="0C67DC51">
      <w:pPr>
        <w:spacing w:after="0" w:line="480" w:lineRule="auto"/>
        <w:jc w:val="right"/>
        <w:rPr>
          <w:rFonts w:ascii="Times New Roman" w:eastAsia="Times New Roman" w:hAnsi="Times New Roman" w:cs="Times New Roman"/>
          <w:i/>
          <w:iCs/>
          <w:color w:val="000000" w:themeColor="text1"/>
          <w:sz w:val="22"/>
          <w:szCs w:val="22"/>
        </w:rPr>
      </w:pPr>
    </w:p>
    <w:p w14:paraId="5B1BE296" w14:textId="16D85A42" w:rsidR="006A54E1" w:rsidRDefault="006A54E1" w:rsidP="0C67DC51">
      <w:pPr>
        <w:spacing w:after="0" w:line="480" w:lineRule="auto"/>
        <w:jc w:val="right"/>
        <w:rPr>
          <w:rFonts w:ascii="Times New Roman" w:eastAsia="Times New Roman" w:hAnsi="Times New Roman" w:cs="Times New Roman"/>
          <w:i/>
          <w:iCs/>
          <w:color w:val="000000" w:themeColor="text1"/>
          <w:sz w:val="22"/>
          <w:szCs w:val="22"/>
        </w:rPr>
      </w:pPr>
    </w:p>
    <w:p w14:paraId="72D1FCCA" w14:textId="204E84BD" w:rsidR="006A54E1" w:rsidRDefault="006A54E1" w:rsidP="0C67DC51">
      <w:pPr>
        <w:spacing w:after="0" w:line="480" w:lineRule="auto"/>
        <w:jc w:val="right"/>
        <w:rPr>
          <w:rFonts w:ascii="Times New Roman" w:eastAsia="Times New Roman" w:hAnsi="Times New Roman" w:cs="Times New Roman"/>
          <w:i/>
          <w:iCs/>
          <w:color w:val="000000" w:themeColor="text1"/>
          <w:sz w:val="22"/>
          <w:szCs w:val="22"/>
        </w:rPr>
      </w:pPr>
    </w:p>
    <w:p w14:paraId="15639781" w14:textId="5696E53A" w:rsidR="006A54E1" w:rsidRDefault="006A54E1" w:rsidP="0C67DC51">
      <w:pPr>
        <w:spacing w:after="0" w:line="480" w:lineRule="auto"/>
        <w:jc w:val="right"/>
        <w:rPr>
          <w:rFonts w:ascii="Times New Roman" w:eastAsia="Times New Roman" w:hAnsi="Times New Roman" w:cs="Times New Roman"/>
          <w:i/>
          <w:iCs/>
          <w:color w:val="000000" w:themeColor="text1"/>
          <w:sz w:val="22"/>
          <w:szCs w:val="22"/>
        </w:rPr>
      </w:pPr>
    </w:p>
    <w:p w14:paraId="335F7DD8" w14:textId="0792EBE3" w:rsidR="006A54E1" w:rsidRDefault="006A54E1" w:rsidP="0C67DC51">
      <w:pPr>
        <w:spacing w:after="0" w:line="480" w:lineRule="auto"/>
        <w:jc w:val="right"/>
        <w:rPr>
          <w:rFonts w:ascii="Times New Roman" w:eastAsia="Times New Roman" w:hAnsi="Times New Roman" w:cs="Times New Roman"/>
          <w:i/>
          <w:iCs/>
          <w:color w:val="000000" w:themeColor="text1"/>
          <w:sz w:val="22"/>
          <w:szCs w:val="22"/>
        </w:rPr>
      </w:pPr>
    </w:p>
    <w:p w14:paraId="492F2456" w14:textId="573AEF0C" w:rsidR="006A54E1" w:rsidRDefault="006A54E1" w:rsidP="0C67DC51">
      <w:pPr>
        <w:spacing w:after="0" w:line="480" w:lineRule="auto"/>
        <w:jc w:val="right"/>
        <w:rPr>
          <w:rFonts w:ascii="Times New Roman" w:eastAsia="Times New Roman" w:hAnsi="Times New Roman" w:cs="Times New Roman"/>
          <w:i/>
          <w:iCs/>
          <w:color w:val="000000" w:themeColor="text1"/>
          <w:sz w:val="22"/>
          <w:szCs w:val="22"/>
        </w:rPr>
      </w:pPr>
    </w:p>
    <w:p w14:paraId="65CC9BC3" w14:textId="349382C9" w:rsidR="006A54E1" w:rsidRDefault="006A54E1" w:rsidP="0C67DC51">
      <w:pPr>
        <w:spacing w:after="0" w:line="480" w:lineRule="auto"/>
        <w:jc w:val="right"/>
        <w:rPr>
          <w:rFonts w:ascii="Times New Roman" w:eastAsia="Times New Roman" w:hAnsi="Times New Roman" w:cs="Times New Roman"/>
          <w:i/>
          <w:iCs/>
          <w:color w:val="000000" w:themeColor="text1"/>
          <w:sz w:val="22"/>
          <w:szCs w:val="22"/>
        </w:rPr>
      </w:pPr>
    </w:p>
    <w:p w14:paraId="5E5A6664" w14:textId="683C4C17" w:rsidR="006A54E1" w:rsidRDefault="006A54E1" w:rsidP="0C67DC51">
      <w:pPr>
        <w:spacing w:after="0" w:line="480" w:lineRule="auto"/>
        <w:jc w:val="right"/>
        <w:rPr>
          <w:rFonts w:ascii="Times New Roman" w:eastAsia="Times New Roman" w:hAnsi="Times New Roman" w:cs="Times New Roman"/>
          <w:i/>
          <w:iCs/>
          <w:color w:val="000000" w:themeColor="text1"/>
          <w:sz w:val="22"/>
          <w:szCs w:val="22"/>
        </w:rPr>
      </w:pPr>
    </w:p>
    <w:p w14:paraId="05893146" w14:textId="363E33D5" w:rsidR="006A54E1" w:rsidRDefault="006A54E1" w:rsidP="0C67DC51">
      <w:pPr>
        <w:spacing w:after="0" w:line="480" w:lineRule="auto"/>
        <w:jc w:val="right"/>
        <w:rPr>
          <w:rFonts w:ascii="Times New Roman" w:eastAsia="Times New Roman" w:hAnsi="Times New Roman" w:cs="Times New Roman"/>
          <w:i/>
          <w:iCs/>
          <w:color w:val="000000" w:themeColor="text1"/>
          <w:sz w:val="22"/>
          <w:szCs w:val="22"/>
        </w:rPr>
      </w:pPr>
    </w:p>
    <w:p w14:paraId="620FEFE6" w14:textId="775F2652" w:rsidR="68D0C4BE" w:rsidRDefault="68D0C4BE" w:rsidP="68DA9955">
      <w:pPr>
        <w:spacing w:after="0" w:line="480" w:lineRule="auto"/>
        <w:jc w:val="right"/>
        <w:rPr>
          <w:rFonts w:ascii="Times New Roman" w:eastAsia="Times New Roman" w:hAnsi="Times New Roman" w:cs="Times New Roman"/>
          <w:i/>
          <w:iCs/>
          <w:color w:val="000000" w:themeColor="text1"/>
          <w:sz w:val="22"/>
          <w:szCs w:val="22"/>
        </w:rPr>
      </w:pPr>
    </w:p>
    <w:p w14:paraId="539E5079" w14:textId="0668FE8F" w:rsidR="68D0C4BE" w:rsidRDefault="68D0C4BE" w:rsidP="68DA9955">
      <w:pPr>
        <w:spacing w:after="0" w:line="480" w:lineRule="auto"/>
        <w:jc w:val="right"/>
        <w:rPr>
          <w:rFonts w:ascii="Times New Roman" w:eastAsia="Times New Roman" w:hAnsi="Times New Roman" w:cs="Times New Roman"/>
          <w:i/>
          <w:iCs/>
          <w:color w:val="000000" w:themeColor="text1"/>
          <w:sz w:val="22"/>
          <w:szCs w:val="22"/>
        </w:rPr>
      </w:pPr>
    </w:p>
    <w:p w14:paraId="570E2F3E" w14:textId="7EB2331F" w:rsidR="24AEC377" w:rsidRDefault="50EC3C59" w:rsidP="68DA9955">
      <w:pPr>
        <w:spacing w:after="0" w:line="480" w:lineRule="auto"/>
        <w:jc w:val="right"/>
        <w:rPr>
          <w:rFonts w:ascii="Times New Roman" w:eastAsia="Times New Roman" w:hAnsi="Times New Roman" w:cs="Times New Roman"/>
          <w:i/>
          <w:iCs/>
          <w:color w:val="000000" w:themeColor="text1"/>
          <w:sz w:val="22"/>
          <w:szCs w:val="22"/>
        </w:rPr>
      </w:pPr>
      <w:r>
        <w:rPr>
          <w:noProof/>
        </w:rPr>
        <w:drawing>
          <wp:inline distT="0" distB="0" distL="0" distR="0" wp14:anchorId="659A9139" wp14:editId="163C84BD">
            <wp:extent cx="5943600" cy="4162425"/>
            <wp:effectExtent l="0" t="0" r="0" b="0"/>
            <wp:docPr id="521774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74932" name="Picture 521774932"/>
                    <pic:cNvPicPr/>
                  </pic:nvPicPr>
                  <pic:blipFill>
                    <a:blip r:embed="rId15">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r w:rsidRPr="68DA9955">
        <w:rPr>
          <w:rFonts w:ascii="Times New Roman" w:eastAsia="Times New Roman" w:hAnsi="Times New Roman" w:cs="Times New Roman"/>
          <w:i/>
          <w:iCs/>
          <w:color w:val="000000" w:themeColor="text1"/>
          <w:sz w:val="22"/>
          <w:szCs w:val="22"/>
        </w:rPr>
        <w:t xml:space="preserve">Figure 7. Net price ($) for Elmhurst </w:t>
      </w:r>
      <w:r w:rsidR="6B4D443F" w:rsidRPr="68DA9955">
        <w:rPr>
          <w:rFonts w:ascii="Times New Roman" w:eastAsia="Times New Roman" w:hAnsi="Times New Roman" w:cs="Times New Roman"/>
          <w:i/>
          <w:iCs/>
          <w:color w:val="000000" w:themeColor="text1"/>
          <w:sz w:val="22"/>
          <w:szCs w:val="22"/>
        </w:rPr>
        <w:t>University</w:t>
      </w:r>
      <w:r w:rsidRPr="68DA9955">
        <w:rPr>
          <w:rFonts w:ascii="Times New Roman" w:eastAsia="Times New Roman" w:hAnsi="Times New Roman" w:cs="Times New Roman"/>
          <w:i/>
          <w:iCs/>
          <w:color w:val="000000" w:themeColor="text1"/>
          <w:sz w:val="22"/>
          <w:szCs w:val="22"/>
        </w:rPr>
        <w:t xml:space="preserve"> vs. Average (2019-2022)</w:t>
      </w:r>
    </w:p>
    <w:p w14:paraId="6867440C" w14:textId="3FC2578E" w:rsidR="68D0C4BE" w:rsidRDefault="68D0C4BE" w:rsidP="68D0C4BE">
      <w:pPr>
        <w:spacing w:after="0" w:line="480" w:lineRule="auto"/>
        <w:ind w:firstLine="720"/>
        <w:rPr>
          <w:rFonts w:ascii="Times New Roman" w:eastAsia="Times New Roman" w:hAnsi="Times New Roman" w:cs="Times New Roman"/>
          <w:color w:val="000000" w:themeColor="text1"/>
        </w:rPr>
      </w:pPr>
    </w:p>
    <w:p w14:paraId="0B2E4F8C" w14:textId="6DF01259" w:rsidR="68D0C4BE" w:rsidRDefault="68D0C4BE" w:rsidP="68D0C4BE">
      <w:pPr>
        <w:spacing w:after="0" w:line="480" w:lineRule="auto"/>
        <w:ind w:firstLine="720"/>
        <w:rPr>
          <w:rFonts w:ascii="Times New Roman" w:eastAsia="Times New Roman" w:hAnsi="Times New Roman" w:cs="Times New Roman"/>
          <w:color w:val="000000" w:themeColor="text1"/>
        </w:rPr>
      </w:pPr>
    </w:p>
    <w:p w14:paraId="2B4A5270" w14:textId="3B648BD3" w:rsidR="68D0C4BE" w:rsidRDefault="68D0C4BE" w:rsidP="68D0C4BE">
      <w:pPr>
        <w:spacing w:after="0" w:line="480" w:lineRule="auto"/>
        <w:ind w:firstLine="720"/>
        <w:rPr>
          <w:rFonts w:ascii="Times New Roman" w:eastAsia="Times New Roman" w:hAnsi="Times New Roman" w:cs="Times New Roman"/>
          <w:color w:val="000000" w:themeColor="text1"/>
        </w:rPr>
      </w:pPr>
    </w:p>
    <w:p w14:paraId="27F66C1D" w14:textId="55934106" w:rsidR="68D0C4BE" w:rsidRDefault="68D0C4BE" w:rsidP="68D0C4BE">
      <w:pPr>
        <w:spacing w:after="0" w:line="480" w:lineRule="auto"/>
        <w:ind w:firstLine="720"/>
        <w:rPr>
          <w:rFonts w:ascii="Times New Roman" w:eastAsia="Times New Roman" w:hAnsi="Times New Roman" w:cs="Times New Roman"/>
          <w:color w:val="000000" w:themeColor="text1"/>
        </w:rPr>
      </w:pPr>
    </w:p>
    <w:p w14:paraId="21DD2D49" w14:textId="03F5CFDA" w:rsidR="68D0C4BE" w:rsidRDefault="68D0C4BE" w:rsidP="68D0C4BE">
      <w:pPr>
        <w:spacing w:after="0" w:line="480" w:lineRule="auto"/>
        <w:ind w:firstLine="720"/>
        <w:rPr>
          <w:rFonts w:ascii="Times New Roman" w:eastAsia="Times New Roman" w:hAnsi="Times New Roman" w:cs="Times New Roman"/>
          <w:color w:val="000000" w:themeColor="text1"/>
        </w:rPr>
      </w:pPr>
    </w:p>
    <w:p w14:paraId="3E7976D5" w14:textId="7C1B4655" w:rsidR="68D0C4BE" w:rsidRDefault="68D0C4BE" w:rsidP="68D0C4BE">
      <w:pPr>
        <w:spacing w:after="0" w:line="480" w:lineRule="auto"/>
        <w:ind w:firstLine="720"/>
        <w:rPr>
          <w:rFonts w:ascii="Times New Roman" w:eastAsia="Times New Roman" w:hAnsi="Times New Roman" w:cs="Times New Roman"/>
          <w:color w:val="000000" w:themeColor="text1"/>
        </w:rPr>
      </w:pPr>
    </w:p>
    <w:p w14:paraId="11E02509" w14:textId="1009D6E0" w:rsidR="68D0C4BE" w:rsidRDefault="68D0C4BE" w:rsidP="68D0C4BE">
      <w:pPr>
        <w:spacing w:after="0" w:line="480" w:lineRule="auto"/>
        <w:ind w:firstLine="720"/>
        <w:rPr>
          <w:rFonts w:ascii="Times New Roman" w:eastAsia="Times New Roman" w:hAnsi="Times New Roman" w:cs="Times New Roman"/>
          <w:color w:val="000000" w:themeColor="text1"/>
        </w:rPr>
      </w:pPr>
    </w:p>
    <w:p w14:paraId="162A9B6B" w14:textId="0F43FEC7" w:rsidR="68D0C4BE" w:rsidRDefault="68D0C4BE" w:rsidP="68D0C4BE">
      <w:pPr>
        <w:spacing w:after="0" w:line="480" w:lineRule="auto"/>
        <w:ind w:firstLine="720"/>
        <w:rPr>
          <w:rFonts w:ascii="Times New Roman" w:eastAsia="Times New Roman" w:hAnsi="Times New Roman" w:cs="Times New Roman"/>
          <w:color w:val="000000" w:themeColor="text1"/>
        </w:rPr>
      </w:pPr>
    </w:p>
    <w:p w14:paraId="2BA5BCAC" w14:textId="25C88F75" w:rsidR="68D0C4BE" w:rsidRDefault="68D0C4BE" w:rsidP="68D0C4BE">
      <w:pPr>
        <w:spacing w:after="0" w:line="480" w:lineRule="auto"/>
        <w:ind w:firstLine="720"/>
        <w:rPr>
          <w:rFonts w:ascii="Times New Roman" w:eastAsia="Times New Roman" w:hAnsi="Times New Roman" w:cs="Times New Roman"/>
          <w:color w:val="000000" w:themeColor="text1"/>
        </w:rPr>
      </w:pPr>
    </w:p>
    <w:p w14:paraId="556557A5" w14:textId="596733CB" w:rsidR="650504DB" w:rsidRDefault="1B0BDB28" w:rsidP="1FF7A68A">
      <w:pPr>
        <w:spacing w:after="0" w:line="480" w:lineRule="auto"/>
        <w:ind w:firstLine="720"/>
        <w:rPr>
          <w:rFonts w:ascii="Times New Roman" w:eastAsia="Times New Roman" w:hAnsi="Times New Roman" w:cs="Times New Roman"/>
          <w:b/>
          <w:bCs/>
        </w:rPr>
      </w:pPr>
      <w:r w:rsidRPr="68DA9955">
        <w:rPr>
          <w:rFonts w:ascii="Times New Roman" w:eastAsia="Times New Roman" w:hAnsi="Times New Roman" w:cs="Times New Roman"/>
          <w:color w:val="000000" w:themeColor="text1"/>
        </w:rPr>
        <w:lastRenderedPageBreak/>
        <w:t xml:space="preserve">Elmhurst outperforms average institutions in retention, graduation, enrollment, and financial aid, but it </w:t>
      </w:r>
      <w:r w:rsidR="3F3B9389" w:rsidRPr="68DA9955">
        <w:rPr>
          <w:rFonts w:ascii="Times New Roman" w:eastAsia="Times New Roman" w:hAnsi="Times New Roman" w:cs="Times New Roman"/>
          <w:color w:val="000000" w:themeColor="text1"/>
        </w:rPr>
        <w:t>underperforms</w:t>
      </w:r>
      <w:r w:rsidRPr="68DA9955">
        <w:rPr>
          <w:rFonts w:ascii="Times New Roman" w:eastAsia="Times New Roman" w:hAnsi="Times New Roman" w:cs="Times New Roman"/>
          <w:color w:val="000000" w:themeColor="text1"/>
        </w:rPr>
        <w:t xml:space="preserve"> admissions yield and faces higher tuition costs. These findings suggest that Elmhurst University students receive very strong academic outcomes and student support; however, high costs might make it more challenging to attract new students. </w:t>
      </w:r>
      <w:r w:rsidRPr="68DA9955">
        <w:rPr>
          <w:rFonts w:ascii="Times New Roman" w:eastAsia="Times New Roman" w:hAnsi="Times New Roman" w:cs="Times New Roman"/>
        </w:rPr>
        <w:t xml:space="preserve">Together, these findings show that Elmhurst has strong student outcomes, even though some financial and recruitment factors may limit enrollment growth. </w:t>
      </w:r>
      <w:r w:rsidR="650504DB">
        <w:br/>
      </w:r>
      <w:r w:rsidR="650504DB">
        <w:tab/>
      </w:r>
      <w:r w:rsidRPr="68DA9955">
        <w:rPr>
          <w:rFonts w:ascii="Times New Roman" w:eastAsia="Times New Roman" w:hAnsi="Times New Roman" w:cs="Times New Roman"/>
        </w:rPr>
        <w:t xml:space="preserve">Looking at the bigger picture, these results offer a focused view of how financial, academic, and institutional characteristics relate to enrollment at institutions like Elmhurst, but they do not capture every possible factor that may influence student decisions or affect other types of universities. One limitation of this project is that the dataset is unbalanced, with some schools missing information for certain years after cleaning. Because of this, it was not possible to directly compare Elmhurst to specific schools of interest over time. A balanced dataset would make this easier, as each school would have the same years of data. In the future, using a smaller but balanced dataset could allow for more direct comparisons and a better understanding of how Elmhurst performs relative to </w:t>
      </w:r>
      <w:r w:rsidR="4F876ECA" w:rsidRPr="68DA9955">
        <w:rPr>
          <w:rFonts w:ascii="Times New Roman" w:eastAsia="Times New Roman" w:hAnsi="Times New Roman" w:cs="Times New Roman"/>
        </w:rPr>
        <w:t>specific institutions</w:t>
      </w:r>
      <w:r w:rsidRPr="68DA9955">
        <w:rPr>
          <w:rFonts w:ascii="Times New Roman" w:eastAsia="Times New Roman" w:hAnsi="Times New Roman" w:cs="Times New Roman"/>
        </w:rPr>
        <w:t xml:space="preserve">, not just the average. Future research that includes more years of data, additional institutional characteristics, and qualitative information about student decision-making would also provide a more complete understanding of </w:t>
      </w:r>
      <w:r w:rsidR="3588C841" w:rsidRPr="68DA9955">
        <w:rPr>
          <w:rFonts w:ascii="Times New Roman" w:eastAsia="Times New Roman" w:hAnsi="Times New Roman" w:cs="Times New Roman"/>
        </w:rPr>
        <w:t>how enrollment</w:t>
      </w:r>
      <w:r w:rsidRPr="68DA9955">
        <w:rPr>
          <w:rFonts w:ascii="Times New Roman" w:eastAsia="Times New Roman" w:hAnsi="Times New Roman" w:cs="Times New Roman"/>
        </w:rPr>
        <w:t xml:space="preserve"> patterns evolve over time.  </w:t>
      </w:r>
      <w:r w:rsidR="650504DB">
        <w:br/>
      </w:r>
      <w:r w:rsidR="650504DB">
        <w:tab/>
      </w:r>
      <w:r w:rsidRPr="68DA9955">
        <w:rPr>
          <w:rFonts w:ascii="Times New Roman" w:eastAsia="Times New Roman" w:hAnsi="Times New Roman" w:cs="Times New Roman"/>
        </w:rPr>
        <w:t xml:space="preserve">Given these limitations and opportunities for further study, the visualizations developed for this project provide the Board with a flexible tool to explore the data in more detail. Using the filters organized by institution, year, and variable type, the Elmhurst University Board of Trustees can examine specific aspects of interest, such as changes in tuition, fluctuations in retention and graduation rates, or differences in financial aid across schools. These tools allow </w:t>
      </w:r>
      <w:r w:rsidRPr="68DA9955">
        <w:rPr>
          <w:rFonts w:ascii="Times New Roman" w:eastAsia="Times New Roman" w:hAnsi="Times New Roman" w:cs="Times New Roman"/>
        </w:rPr>
        <w:lastRenderedPageBreak/>
        <w:t>for deeper, institution-specific comparisons, complementing the broader trends identified in this analysis.</w:t>
      </w:r>
      <w:r w:rsidR="650504DB">
        <w:br/>
      </w:r>
      <w:r w:rsidR="650504DB">
        <w:tab/>
      </w:r>
      <w:r w:rsidRPr="68DA9955">
        <w:rPr>
          <w:rFonts w:ascii="Times New Roman" w:eastAsia="Times New Roman" w:hAnsi="Times New Roman" w:cs="Times New Roman"/>
        </w:rPr>
        <w:t>Finally, this project highlights the importance of data governance for institutional decision-making. As described in the methodology, some observations were missing or excluded due to incomplete information, and certain variables showed inconsistencies across years and schools. These issues created an unbalanced dataset and limited the ability to make direct comparisons between Elmhurst and specific peer institutions. Strong data governance, including standardized reporting, regular updates, and validation of variables, would help to ensure that future studies are more reliable. Improved data quality would allow the Board to make better data-driven decisions and allow comparisons that track Elmhurst’s performance relative to individual schools over time.</w:t>
      </w:r>
    </w:p>
    <w:p w14:paraId="70D3C075" w14:textId="1E691660" w:rsidR="650504DB" w:rsidRDefault="650504DB" w:rsidP="29BC2B95">
      <w:pPr>
        <w:spacing w:after="0" w:line="480" w:lineRule="auto"/>
        <w:rPr>
          <w:rFonts w:ascii="Times New Roman" w:eastAsia="Times New Roman" w:hAnsi="Times New Roman" w:cs="Times New Roman"/>
          <w:b/>
          <w:bCs/>
        </w:rPr>
      </w:pPr>
      <w:r>
        <w:br/>
      </w:r>
      <w:r w:rsidR="6D2742DD" w:rsidRPr="29BC2B95">
        <w:rPr>
          <w:rFonts w:ascii="Times New Roman" w:eastAsia="Times New Roman" w:hAnsi="Times New Roman" w:cs="Times New Roman"/>
          <w:b/>
          <w:bCs/>
        </w:rPr>
        <w:t>Conclusions</w:t>
      </w:r>
    </w:p>
    <w:p w14:paraId="76E21AC1" w14:textId="078B630D" w:rsidR="1949F41E" w:rsidRDefault="363A051F" w:rsidP="68DA9955">
      <w:pPr>
        <w:spacing w:line="480" w:lineRule="auto"/>
        <w:ind w:firstLine="720"/>
        <w:rPr>
          <w:rFonts w:ascii="Times New Roman" w:eastAsia="Times New Roman" w:hAnsi="Times New Roman" w:cs="Times New Roman"/>
        </w:rPr>
      </w:pPr>
      <w:r w:rsidRPr="68DA9955">
        <w:rPr>
          <w:rFonts w:ascii="Times New Roman" w:eastAsia="Times New Roman" w:hAnsi="Times New Roman" w:cs="Times New Roman"/>
        </w:rPr>
        <w:t xml:space="preserve">Elmhurst University performs very well in retention, graduation </w:t>
      </w:r>
      <w:r w:rsidR="1711CDCD" w:rsidRPr="68DA9955">
        <w:rPr>
          <w:rFonts w:ascii="Times New Roman" w:eastAsia="Times New Roman" w:hAnsi="Times New Roman" w:cs="Times New Roman"/>
        </w:rPr>
        <w:t>rates,</w:t>
      </w:r>
      <w:r w:rsidRPr="68DA9955">
        <w:rPr>
          <w:rFonts w:ascii="Times New Roman" w:eastAsia="Times New Roman" w:hAnsi="Times New Roman" w:cs="Times New Roman"/>
        </w:rPr>
        <w:t xml:space="preserve"> and </w:t>
      </w:r>
      <w:r w:rsidR="54C3DF59" w:rsidRPr="68DA9955">
        <w:rPr>
          <w:rFonts w:ascii="Times New Roman" w:eastAsia="Times New Roman" w:hAnsi="Times New Roman" w:cs="Times New Roman"/>
        </w:rPr>
        <w:t>enrollment</w:t>
      </w:r>
      <w:r w:rsidRPr="68DA9955">
        <w:rPr>
          <w:rFonts w:ascii="Times New Roman" w:eastAsia="Times New Roman" w:hAnsi="Times New Roman" w:cs="Times New Roman"/>
        </w:rPr>
        <w:t xml:space="preserve"> when compared to similar institutions. </w:t>
      </w:r>
      <w:r w:rsidR="703218F3" w:rsidRPr="68DA9955">
        <w:rPr>
          <w:rFonts w:ascii="Times New Roman" w:eastAsia="Times New Roman" w:hAnsi="Times New Roman" w:cs="Times New Roman"/>
        </w:rPr>
        <w:t xml:space="preserve">Students receive more financial aid than </w:t>
      </w:r>
      <w:r w:rsidR="54571911" w:rsidRPr="68DA9955">
        <w:rPr>
          <w:rFonts w:ascii="Times New Roman" w:eastAsia="Times New Roman" w:hAnsi="Times New Roman" w:cs="Times New Roman"/>
        </w:rPr>
        <w:t>average</w:t>
      </w:r>
      <w:r w:rsidR="45511C6F" w:rsidRPr="68DA9955">
        <w:rPr>
          <w:rFonts w:ascii="Times New Roman" w:eastAsia="Times New Roman" w:hAnsi="Times New Roman" w:cs="Times New Roman"/>
        </w:rPr>
        <w:t xml:space="preserve">, which helps to support their success. However, Elmhurst has lower admissions yield and higher tuition </w:t>
      </w:r>
      <w:r w:rsidR="19261AE9" w:rsidRPr="68DA9955">
        <w:rPr>
          <w:rFonts w:ascii="Times New Roman" w:eastAsia="Times New Roman" w:hAnsi="Times New Roman" w:cs="Times New Roman"/>
        </w:rPr>
        <w:t>rates,</w:t>
      </w:r>
      <w:r w:rsidR="45511C6F" w:rsidRPr="68DA9955">
        <w:rPr>
          <w:rFonts w:ascii="Times New Roman" w:eastAsia="Times New Roman" w:hAnsi="Times New Roman" w:cs="Times New Roman"/>
        </w:rPr>
        <w:t xml:space="preserve"> which may make it difficult to attract more students</w:t>
      </w:r>
      <w:r w:rsidR="08CA0729" w:rsidRPr="68DA9955">
        <w:rPr>
          <w:rFonts w:ascii="Times New Roman" w:eastAsia="Times New Roman" w:hAnsi="Times New Roman" w:cs="Times New Roman"/>
        </w:rPr>
        <w:t xml:space="preserve"> to enroll</w:t>
      </w:r>
      <w:r w:rsidR="0E3ABBE7" w:rsidRPr="68DA9955">
        <w:rPr>
          <w:rFonts w:ascii="Times New Roman" w:eastAsia="Times New Roman" w:hAnsi="Times New Roman" w:cs="Times New Roman"/>
        </w:rPr>
        <w:t xml:space="preserve"> after being admitted</w:t>
      </w:r>
      <w:r w:rsidR="08CA0729" w:rsidRPr="68DA9955">
        <w:rPr>
          <w:rFonts w:ascii="Times New Roman" w:eastAsia="Times New Roman" w:hAnsi="Times New Roman" w:cs="Times New Roman"/>
        </w:rPr>
        <w:t xml:space="preserve">. </w:t>
      </w:r>
      <w:r w:rsidR="4CC4CD8C" w:rsidRPr="68DA9955">
        <w:rPr>
          <w:rFonts w:ascii="Times New Roman" w:eastAsia="Times New Roman" w:hAnsi="Times New Roman" w:cs="Times New Roman"/>
        </w:rPr>
        <w:t xml:space="preserve">Elmhurst University helps students succeed once they are enrolled, which is supported by </w:t>
      </w:r>
      <w:r w:rsidR="42BDE589" w:rsidRPr="68DA9955">
        <w:rPr>
          <w:rFonts w:ascii="Times New Roman" w:eastAsia="Times New Roman" w:hAnsi="Times New Roman" w:cs="Times New Roman"/>
        </w:rPr>
        <w:t>higher graduation rates.</w:t>
      </w:r>
      <w:r w:rsidR="4CC4CD8C" w:rsidRPr="68DA9955">
        <w:rPr>
          <w:rFonts w:ascii="Times New Roman" w:eastAsia="Times New Roman" w:hAnsi="Times New Roman" w:cs="Times New Roman"/>
        </w:rPr>
        <w:t xml:space="preserve"> Future studies with more complete data and additional years could give a better understanding of how these factors influence student decisions. Improving data quality and consistency will help</w:t>
      </w:r>
      <w:r w:rsidR="5A97C5CB" w:rsidRPr="68DA9955">
        <w:rPr>
          <w:rFonts w:ascii="Times New Roman" w:eastAsia="Times New Roman" w:hAnsi="Times New Roman" w:cs="Times New Roman"/>
        </w:rPr>
        <w:t xml:space="preserve"> the Board of Trustees make better decisions and track performance over the years to mitigate any problems. </w:t>
      </w:r>
    </w:p>
    <w:p w14:paraId="2CC17170" w14:textId="409C0D35" w:rsidR="1949F41E" w:rsidRDefault="1949F41E" w:rsidP="29BC2B95">
      <w:pPr>
        <w:spacing w:line="480" w:lineRule="auto"/>
        <w:rPr>
          <w:rFonts w:ascii="Times New Roman" w:eastAsia="Times New Roman" w:hAnsi="Times New Roman" w:cs="Times New Roman"/>
        </w:rPr>
      </w:pPr>
    </w:p>
    <w:p w14:paraId="7DB69A42" w14:textId="3796A167" w:rsidR="1949F41E" w:rsidRDefault="2DC1A36C" w:rsidP="29BC2B95">
      <w:pPr>
        <w:spacing w:line="480" w:lineRule="auto"/>
        <w:rPr>
          <w:rFonts w:ascii="Times New Roman" w:eastAsia="Times New Roman" w:hAnsi="Times New Roman" w:cs="Times New Roman"/>
        </w:rPr>
      </w:pPr>
      <w:r w:rsidRPr="29BC2B95">
        <w:rPr>
          <w:rFonts w:ascii="Times New Roman" w:eastAsia="Times New Roman" w:hAnsi="Times New Roman" w:cs="Times New Roman"/>
        </w:rPr>
        <w:lastRenderedPageBreak/>
        <w:t>Appendix A. Data Availability Statement</w:t>
      </w:r>
    </w:p>
    <w:p w14:paraId="4DF2E571" w14:textId="58A40D5F" w:rsidR="55D28BD3" w:rsidRDefault="3803BDA0" w:rsidP="68D0C4BE">
      <w:pPr>
        <w:spacing w:before="240" w:after="240" w:line="480" w:lineRule="auto"/>
        <w:rPr>
          <w:rFonts w:ascii="Times New Roman" w:eastAsia="Times New Roman" w:hAnsi="Times New Roman" w:cs="Times New Roman"/>
        </w:rPr>
      </w:pPr>
      <w:r w:rsidRPr="29BC2B95">
        <w:rPr>
          <w:rFonts w:ascii="Times New Roman" w:eastAsia="Times New Roman" w:hAnsi="Times New Roman" w:cs="Times New Roman"/>
        </w:rPr>
        <w:t>The dataset used in this study was sourced from publicly available IPEDS data</w:t>
      </w:r>
      <w:r w:rsidR="4AEE615D" w:rsidRPr="68DA9955">
        <w:rPr>
          <w:rFonts w:ascii="Times New Roman" w:eastAsia="Times New Roman" w:hAnsi="Times New Roman" w:cs="Times New Roman"/>
        </w:rPr>
        <w:t>, which can be accessed at:</w:t>
      </w:r>
      <w:r w:rsidR="4889128A" w:rsidRPr="29BC2B95">
        <w:rPr>
          <w:rFonts w:ascii="Times New Roman" w:eastAsia="Times New Roman" w:hAnsi="Times New Roman" w:cs="Times New Roman"/>
        </w:rPr>
        <w:t xml:space="preserve"> https://nces.ed.gov/ipeds/use-the-data</w:t>
      </w:r>
      <w:r w:rsidRPr="29BC2B95">
        <w:rPr>
          <w:rFonts w:ascii="Times New Roman" w:eastAsia="Times New Roman" w:hAnsi="Times New Roman" w:cs="Times New Roman"/>
        </w:rPr>
        <w:t>. The cleaned dataset can be provided by the authors upon request.</w:t>
      </w:r>
    </w:p>
    <w:sectPr w:rsidR="55D28BD3">
      <w:headerReference w:type="default" r:id="rId16"/>
      <w:footerReference w:type="default" r:id="rId17"/>
      <w:headerReference w:type="first" r:id="rId18"/>
      <w:footerReference w:type="firs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B6870" w14:textId="77777777" w:rsidR="00D41B32" w:rsidRDefault="00D41B32">
      <w:pPr>
        <w:spacing w:after="0" w:line="240" w:lineRule="auto"/>
      </w:pPr>
      <w:r>
        <w:separator/>
      </w:r>
    </w:p>
  </w:endnote>
  <w:endnote w:type="continuationSeparator" w:id="0">
    <w:p w14:paraId="5E0EF973" w14:textId="77777777" w:rsidR="00D41B32" w:rsidRDefault="00D41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9BC2B95" w14:paraId="7B5BCCEE" w14:textId="77777777" w:rsidTr="29BC2B95">
      <w:trPr>
        <w:trHeight w:val="300"/>
      </w:trPr>
      <w:tc>
        <w:tcPr>
          <w:tcW w:w="3120" w:type="dxa"/>
        </w:tcPr>
        <w:p w14:paraId="2D3BDB04" w14:textId="5DE11D17" w:rsidR="29BC2B95" w:rsidRDefault="29BC2B95" w:rsidP="29BC2B95">
          <w:pPr>
            <w:pStyle w:val="Header"/>
            <w:ind w:left="-115"/>
          </w:pPr>
        </w:p>
      </w:tc>
      <w:tc>
        <w:tcPr>
          <w:tcW w:w="3120" w:type="dxa"/>
        </w:tcPr>
        <w:p w14:paraId="7A0A41B4" w14:textId="59A7D42E" w:rsidR="29BC2B95" w:rsidRDefault="29BC2B95" w:rsidP="29BC2B95">
          <w:pPr>
            <w:pStyle w:val="Header"/>
            <w:jc w:val="center"/>
          </w:pPr>
        </w:p>
      </w:tc>
      <w:tc>
        <w:tcPr>
          <w:tcW w:w="3120" w:type="dxa"/>
        </w:tcPr>
        <w:p w14:paraId="105BD300" w14:textId="3A207239" w:rsidR="29BC2B95" w:rsidRDefault="29BC2B95" w:rsidP="29BC2B95">
          <w:pPr>
            <w:pStyle w:val="Header"/>
            <w:ind w:right="-115"/>
            <w:jc w:val="right"/>
          </w:pPr>
        </w:p>
      </w:tc>
    </w:tr>
  </w:tbl>
  <w:p w14:paraId="24B3592D" w14:textId="542074F1" w:rsidR="29BC2B95" w:rsidRDefault="29BC2B95" w:rsidP="29BC2B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9BC2B95" w14:paraId="5E9D5B81" w14:textId="77777777" w:rsidTr="29BC2B95">
      <w:trPr>
        <w:trHeight w:val="300"/>
      </w:trPr>
      <w:tc>
        <w:tcPr>
          <w:tcW w:w="3120" w:type="dxa"/>
        </w:tcPr>
        <w:p w14:paraId="7DAFC8CD" w14:textId="5A95A9F3" w:rsidR="29BC2B95" w:rsidRDefault="29BC2B95" w:rsidP="29BC2B95">
          <w:pPr>
            <w:pStyle w:val="Header"/>
            <w:ind w:left="-115"/>
          </w:pPr>
        </w:p>
      </w:tc>
      <w:tc>
        <w:tcPr>
          <w:tcW w:w="3120" w:type="dxa"/>
        </w:tcPr>
        <w:p w14:paraId="11211A5C" w14:textId="14AABCC8" w:rsidR="29BC2B95" w:rsidRDefault="29BC2B95" w:rsidP="29BC2B95">
          <w:pPr>
            <w:pStyle w:val="Header"/>
            <w:jc w:val="center"/>
          </w:pPr>
        </w:p>
      </w:tc>
      <w:tc>
        <w:tcPr>
          <w:tcW w:w="3120" w:type="dxa"/>
        </w:tcPr>
        <w:p w14:paraId="52216090" w14:textId="0AA5F0AD" w:rsidR="29BC2B95" w:rsidRDefault="29BC2B95" w:rsidP="29BC2B95">
          <w:pPr>
            <w:pStyle w:val="Header"/>
            <w:ind w:right="-115"/>
            <w:jc w:val="right"/>
          </w:pPr>
        </w:p>
      </w:tc>
    </w:tr>
  </w:tbl>
  <w:p w14:paraId="5826297F" w14:textId="0B9F8B7D" w:rsidR="29BC2B95" w:rsidRDefault="29BC2B95" w:rsidP="29BC2B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05BD0" w14:textId="77777777" w:rsidR="00D41B32" w:rsidRDefault="00D41B32">
      <w:pPr>
        <w:spacing w:after="0" w:line="240" w:lineRule="auto"/>
      </w:pPr>
      <w:r>
        <w:separator/>
      </w:r>
    </w:p>
  </w:footnote>
  <w:footnote w:type="continuationSeparator" w:id="0">
    <w:p w14:paraId="45465051" w14:textId="77777777" w:rsidR="00D41B32" w:rsidRDefault="00D41B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9BC2B95" w14:paraId="149B9C72" w14:textId="77777777" w:rsidTr="29BC2B95">
      <w:trPr>
        <w:trHeight w:val="300"/>
      </w:trPr>
      <w:tc>
        <w:tcPr>
          <w:tcW w:w="3120" w:type="dxa"/>
        </w:tcPr>
        <w:p w14:paraId="3F2921F7" w14:textId="394DA726" w:rsidR="29BC2B95" w:rsidRDefault="29BC2B95" w:rsidP="29BC2B95">
          <w:pPr>
            <w:pStyle w:val="Header"/>
            <w:ind w:left="-115"/>
          </w:pPr>
        </w:p>
      </w:tc>
      <w:tc>
        <w:tcPr>
          <w:tcW w:w="3120" w:type="dxa"/>
        </w:tcPr>
        <w:p w14:paraId="3294C579" w14:textId="162BE526" w:rsidR="29BC2B95" w:rsidRDefault="29BC2B95" w:rsidP="29BC2B95">
          <w:pPr>
            <w:pStyle w:val="Header"/>
            <w:jc w:val="center"/>
          </w:pPr>
        </w:p>
      </w:tc>
      <w:tc>
        <w:tcPr>
          <w:tcW w:w="3120" w:type="dxa"/>
        </w:tcPr>
        <w:p w14:paraId="2AF54549" w14:textId="29E1ACE2" w:rsidR="29BC2B95" w:rsidRDefault="29BC2B95" w:rsidP="29BC2B95">
          <w:pPr>
            <w:pStyle w:val="Header"/>
            <w:ind w:right="-115"/>
            <w:jc w:val="right"/>
          </w:pPr>
          <w:r w:rsidRPr="29BC2B95">
            <w:fldChar w:fldCharType="begin"/>
          </w:r>
          <w:r>
            <w:instrText>PAGE</w:instrText>
          </w:r>
          <w:r w:rsidRPr="29BC2B95">
            <w:fldChar w:fldCharType="separate"/>
          </w:r>
          <w:r w:rsidR="005B0D3E">
            <w:rPr>
              <w:noProof/>
            </w:rPr>
            <w:t>1</w:t>
          </w:r>
          <w:r w:rsidRPr="29BC2B95">
            <w:fldChar w:fldCharType="end"/>
          </w:r>
        </w:p>
      </w:tc>
    </w:tr>
  </w:tbl>
  <w:p w14:paraId="13E62AC9" w14:textId="586B044E" w:rsidR="29BC2B95" w:rsidRDefault="29BC2B95" w:rsidP="29BC2B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9BC2B95" w14:paraId="3C16F4AA" w14:textId="77777777" w:rsidTr="29BC2B95">
      <w:trPr>
        <w:trHeight w:val="300"/>
      </w:trPr>
      <w:tc>
        <w:tcPr>
          <w:tcW w:w="3120" w:type="dxa"/>
        </w:tcPr>
        <w:p w14:paraId="3C695955" w14:textId="59EA0CB3" w:rsidR="29BC2B95" w:rsidRDefault="29BC2B95" w:rsidP="29BC2B95">
          <w:pPr>
            <w:pStyle w:val="Header"/>
            <w:ind w:left="-115"/>
          </w:pPr>
        </w:p>
      </w:tc>
      <w:tc>
        <w:tcPr>
          <w:tcW w:w="3120" w:type="dxa"/>
        </w:tcPr>
        <w:p w14:paraId="220B0245" w14:textId="6BCDC621" w:rsidR="29BC2B95" w:rsidRDefault="29BC2B95" w:rsidP="29BC2B95">
          <w:pPr>
            <w:pStyle w:val="Header"/>
            <w:jc w:val="center"/>
          </w:pPr>
        </w:p>
      </w:tc>
      <w:tc>
        <w:tcPr>
          <w:tcW w:w="3120" w:type="dxa"/>
        </w:tcPr>
        <w:p w14:paraId="215F8750" w14:textId="0622A08C" w:rsidR="29BC2B95" w:rsidRDefault="29BC2B95" w:rsidP="29BC2B95">
          <w:pPr>
            <w:pStyle w:val="Header"/>
            <w:ind w:right="-115"/>
            <w:jc w:val="right"/>
          </w:pPr>
        </w:p>
      </w:tc>
    </w:tr>
  </w:tbl>
  <w:p w14:paraId="5A5F6844" w14:textId="5BC28AF8" w:rsidR="29BC2B95" w:rsidRDefault="29BC2B95" w:rsidP="29BC2B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41D1D"/>
    <w:multiLevelType w:val="hybridMultilevel"/>
    <w:tmpl w:val="23A86708"/>
    <w:lvl w:ilvl="0" w:tplc="3A36B378">
      <w:start w:val="1"/>
      <w:numFmt w:val="bullet"/>
      <w:lvlText w:val=""/>
      <w:lvlJc w:val="left"/>
      <w:pPr>
        <w:ind w:left="720" w:hanging="360"/>
      </w:pPr>
      <w:rPr>
        <w:rFonts w:ascii="Symbol" w:hAnsi="Symbol" w:hint="default"/>
      </w:rPr>
    </w:lvl>
    <w:lvl w:ilvl="1" w:tplc="B5F89DD8">
      <w:start w:val="1"/>
      <w:numFmt w:val="bullet"/>
      <w:lvlText w:val="o"/>
      <w:lvlJc w:val="left"/>
      <w:pPr>
        <w:ind w:left="1440" w:hanging="360"/>
      </w:pPr>
      <w:rPr>
        <w:rFonts w:ascii="Courier New" w:hAnsi="Courier New" w:hint="default"/>
      </w:rPr>
    </w:lvl>
    <w:lvl w:ilvl="2" w:tplc="183AE040">
      <w:start w:val="1"/>
      <w:numFmt w:val="bullet"/>
      <w:lvlText w:val=""/>
      <w:lvlJc w:val="left"/>
      <w:pPr>
        <w:ind w:left="2160" w:hanging="360"/>
      </w:pPr>
      <w:rPr>
        <w:rFonts w:ascii="Wingdings" w:hAnsi="Wingdings" w:hint="default"/>
      </w:rPr>
    </w:lvl>
    <w:lvl w:ilvl="3" w:tplc="72324666">
      <w:start w:val="1"/>
      <w:numFmt w:val="bullet"/>
      <w:lvlText w:val=""/>
      <w:lvlJc w:val="left"/>
      <w:pPr>
        <w:ind w:left="2880" w:hanging="360"/>
      </w:pPr>
      <w:rPr>
        <w:rFonts w:ascii="Symbol" w:hAnsi="Symbol" w:hint="default"/>
      </w:rPr>
    </w:lvl>
    <w:lvl w:ilvl="4" w:tplc="2F761936">
      <w:start w:val="1"/>
      <w:numFmt w:val="bullet"/>
      <w:lvlText w:val="o"/>
      <w:lvlJc w:val="left"/>
      <w:pPr>
        <w:ind w:left="3600" w:hanging="360"/>
      </w:pPr>
      <w:rPr>
        <w:rFonts w:ascii="Courier New" w:hAnsi="Courier New" w:hint="default"/>
      </w:rPr>
    </w:lvl>
    <w:lvl w:ilvl="5" w:tplc="99C8FE5E">
      <w:start w:val="1"/>
      <w:numFmt w:val="bullet"/>
      <w:lvlText w:val=""/>
      <w:lvlJc w:val="left"/>
      <w:pPr>
        <w:ind w:left="4320" w:hanging="360"/>
      </w:pPr>
      <w:rPr>
        <w:rFonts w:ascii="Wingdings" w:hAnsi="Wingdings" w:hint="default"/>
      </w:rPr>
    </w:lvl>
    <w:lvl w:ilvl="6" w:tplc="0D54B992">
      <w:start w:val="1"/>
      <w:numFmt w:val="bullet"/>
      <w:lvlText w:val=""/>
      <w:lvlJc w:val="left"/>
      <w:pPr>
        <w:ind w:left="5040" w:hanging="360"/>
      </w:pPr>
      <w:rPr>
        <w:rFonts w:ascii="Symbol" w:hAnsi="Symbol" w:hint="default"/>
      </w:rPr>
    </w:lvl>
    <w:lvl w:ilvl="7" w:tplc="9800BDB0">
      <w:start w:val="1"/>
      <w:numFmt w:val="bullet"/>
      <w:lvlText w:val="o"/>
      <w:lvlJc w:val="left"/>
      <w:pPr>
        <w:ind w:left="5760" w:hanging="360"/>
      </w:pPr>
      <w:rPr>
        <w:rFonts w:ascii="Courier New" w:hAnsi="Courier New" w:hint="default"/>
      </w:rPr>
    </w:lvl>
    <w:lvl w:ilvl="8" w:tplc="8E48D8AE">
      <w:start w:val="1"/>
      <w:numFmt w:val="bullet"/>
      <w:lvlText w:val=""/>
      <w:lvlJc w:val="left"/>
      <w:pPr>
        <w:ind w:left="6480" w:hanging="360"/>
      </w:pPr>
      <w:rPr>
        <w:rFonts w:ascii="Wingdings" w:hAnsi="Wingdings" w:hint="default"/>
      </w:rPr>
    </w:lvl>
  </w:abstractNum>
  <w:abstractNum w:abstractNumId="1" w15:restartNumberingAfterBreak="0">
    <w:nsid w:val="5A86AE15"/>
    <w:multiLevelType w:val="hybridMultilevel"/>
    <w:tmpl w:val="A3429418"/>
    <w:lvl w:ilvl="0" w:tplc="FE5A7400">
      <w:start w:val="1"/>
      <w:numFmt w:val="bullet"/>
      <w:lvlText w:val=""/>
      <w:lvlJc w:val="left"/>
      <w:pPr>
        <w:ind w:left="720" w:hanging="360"/>
      </w:pPr>
      <w:rPr>
        <w:rFonts w:ascii="Symbol" w:hAnsi="Symbol" w:hint="default"/>
      </w:rPr>
    </w:lvl>
    <w:lvl w:ilvl="1" w:tplc="9C98EFFC">
      <w:start w:val="1"/>
      <w:numFmt w:val="bullet"/>
      <w:lvlText w:val="o"/>
      <w:lvlJc w:val="left"/>
      <w:pPr>
        <w:ind w:left="1440" w:hanging="360"/>
      </w:pPr>
      <w:rPr>
        <w:rFonts w:ascii="Courier New" w:hAnsi="Courier New" w:hint="default"/>
      </w:rPr>
    </w:lvl>
    <w:lvl w:ilvl="2" w:tplc="3274EDF8">
      <w:start w:val="1"/>
      <w:numFmt w:val="bullet"/>
      <w:lvlText w:val=""/>
      <w:lvlJc w:val="left"/>
      <w:pPr>
        <w:ind w:left="2160" w:hanging="360"/>
      </w:pPr>
      <w:rPr>
        <w:rFonts w:ascii="Wingdings" w:hAnsi="Wingdings" w:hint="default"/>
      </w:rPr>
    </w:lvl>
    <w:lvl w:ilvl="3" w:tplc="D40ED388">
      <w:start w:val="1"/>
      <w:numFmt w:val="bullet"/>
      <w:lvlText w:val=""/>
      <w:lvlJc w:val="left"/>
      <w:pPr>
        <w:ind w:left="2880" w:hanging="360"/>
      </w:pPr>
      <w:rPr>
        <w:rFonts w:ascii="Symbol" w:hAnsi="Symbol" w:hint="default"/>
      </w:rPr>
    </w:lvl>
    <w:lvl w:ilvl="4" w:tplc="B380E4CE">
      <w:start w:val="1"/>
      <w:numFmt w:val="bullet"/>
      <w:lvlText w:val="o"/>
      <w:lvlJc w:val="left"/>
      <w:pPr>
        <w:ind w:left="3600" w:hanging="360"/>
      </w:pPr>
      <w:rPr>
        <w:rFonts w:ascii="Courier New" w:hAnsi="Courier New" w:hint="default"/>
      </w:rPr>
    </w:lvl>
    <w:lvl w:ilvl="5" w:tplc="343A0AAE">
      <w:start w:val="1"/>
      <w:numFmt w:val="bullet"/>
      <w:lvlText w:val=""/>
      <w:lvlJc w:val="left"/>
      <w:pPr>
        <w:ind w:left="4320" w:hanging="360"/>
      </w:pPr>
      <w:rPr>
        <w:rFonts w:ascii="Wingdings" w:hAnsi="Wingdings" w:hint="default"/>
      </w:rPr>
    </w:lvl>
    <w:lvl w:ilvl="6" w:tplc="096A62F6">
      <w:start w:val="1"/>
      <w:numFmt w:val="bullet"/>
      <w:lvlText w:val=""/>
      <w:lvlJc w:val="left"/>
      <w:pPr>
        <w:ind w:left="5040" w:hanging="360"/>
      </w:pPr>
      <w:rPr>
        <w:rFonts w:ascii="Symbol" w:hAnsi="Symbol" w:hint="default"/>
      </w:rPr>
    </w:lvl>
    <w:lvl w:ilvl="7" w:tplc="DC100EC4">
      <w:start w:val="1"/>
      <w:numFmt w:val="bullet"/>
      <w:lvlText w:val="o"/>
      <w:lvlJc w:val="left"/>
      <w:pPr>
        <w:ind w:left="5760" w:hanging="360"/>
      </w:pPr>
      <w:rPr>
        <w:rFonts w:ascii="Courier New" w:hAnsi="Courier New" w:hint="default"/>
      </w:rPr>
    </w:lvl>
    <w:lvl w:ilvl="8" w:tplc="EDE85D02">
      <w:start w:val="1"/>
      <w:numFmt w:val="bullet"/>
      <w:lvlText w:val=""/>
      <w:lvlJc w:val="left"/>
      <w:pPr>
        <w:ind w:left="6480" w:hanging="360"/>
      </w:pPr>
      <w:rPr>
        <w:rFonts w:ascii="Wingdings" w:hAnsi="Wingdings" w:hint="default"/>
      </w:rPr>
    </w:lvl>
  </w:abstractNum>
  <w:num w:numId="1" w16cid:durableId="1692295599">
    <w:abstractNumId w:val="0"/>
  </w:num>
  <w:num w:numId="2" w16cid:durableId="414327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DBB4C3"/>
    <w:rsid w:val="00006A8F"/>
    <w:rsid w:val="000451B1"/>
    <w:rsid w:val="00055F48"/>
    <w:rsid w:val="0006323A"/>
    <w:rsid w:val="00095FEF"/>
    <w:rsid w:val="00101C93"/>
    <w:rsid w:val="00107D23"/>
    <w:rsid w:val="001533A7"/>
    <w:rsid w:val="001C7D90"/>
    <w:rsid w:val="001F33E1"/>
    <w:rsid w:val="00251194"/>
    <w:rsid w:val="00253238"/>
    <w:rsid w:val="0025328A"/>
    <w:rsid w:val="002A3806"/>
    <w:rsid w:val="002C3240"/>
    <w:rsid w:val="002D6EE5"/>
    <w:rsid w:val="002F21B6"/>
    <w:rsid w:val="002F64E0"/>
    <w:rsid w:val="003570AF"/>
    <w:rsid w:val="003725A4"/>
    <w:rsid w:val="00374152"/>
    <w:rsid w:val="003A167D"/>
    <w:rsid w:val="003C0F09"/>
    <w:rsid w:val="003D0777"/>
    <w:rsid w:val="003E19F5"/>
    <w:rsid w:val="0048746F"/>
    <w:rsid w:val="004B57A7"/>
    <w:rsid w:val="004D279D"/>
    <w:rsid w:val="004D39F2"/>
    <w:rsid w:val="004D5EEE"/>
    <w:rsid w:val="004E0B28"/>
    <w:rsid w:val="004E1A82"/>
    <w:rsid w:val="00522FD1"/>
    <w:rsid w:val="00534B71"/>
    <w:rsid w:val="00584615"/>
    <w:rsid w:val="005A43EE"/>
    <w:rsid w:val="005B0D3E"/>
    <w:rsid w:val="0065057D"/>
    <w:rsid w:val="00674DF2"/>
    <w:rsid w:val="006A54E1"/>
    <w:rsid w:val="006E3E2E"/>
    <w:rsid w:val="0071536B"/>
    <w:rsid w:val="0071594D"/>
    <w:rsid w:val="0072266A"/>
    <w:rsid w:val="0073237C"/>
    <w:rsid w:val="00751AA0"/>
    <w:rsid w:val="007634E2"/>
    <w:rsid w:val="00776DE0"/>
    <w:rsid w:val="007E26A3"/>
    <w:rsid w:val="00800DF1"/>
    <w:rsid w:val="00817EF2"/>
    <w:rsid w:val="00824B79"/>
    <w:rsid w:val="0088347D"/>
    <w:rsid w:val="009018C9"/>
    <w:rsid w:val="00981729"/>
    <w:rsid w:val="0099CC68"/>
    <w:rsid w:val="009A2FF1"/>
    <w:rsid w:val="00A2253F"/>
    <w:rsid w:val="00A227C7"/>
    <w:rsid w:val="00A2E46D"/>
    <w:rsid w:val="00A528CC"/>
    <w:rsid w:val="00A767D2"/>
    <w:rsid w:val="00A964A6"/>
    <w:rsid w:val="00AA3DD4"/>
    <w:rsid w:val="00AD7E56"/>
    <w:rsid w:val="00AE1452"/>
    <w:rsid w:val="00AF20E7"/>
    <w:rsid w:val="00B16830"/>
    <w:rsid w:val="00B31293"/>
    <w:rsid w:val="00B55018"/>
    <w:rsid w:val="00B72E72"/>
    <w:rsid w:val="00B73FD9"/>
    <w:rsid w:val="00BE5185"/>
    <w:rsid w:val="00BF6695"/>
    <w:rsid w:val="00C172FB"/>
    <w:rsid w:val="00C46334"/>
    <w:rsid w:val="00C510E4"/>
    <w:rsid w:val="00C5647A"/>
    <w:rsid w:val="00C72CDF"/>
    <w:rsid w:val="00CA01B9"/>
    <w:rsid w:val="00CC0E35"/>
    <w:rsid w:val="00CC1A79"/>
    <w:rsid w:val="00CF4C22"/>
    <w:rsid w:val="00D273EE"/>
    <w:rsid w:val="00D41B32"/>
    <w:rsid w:val="00D74833"/>
    <w:rsid w:val="00DF023C"/>
    <w:rsid w:val="00DF53B1"/>
    <w:rsid w:val="00E24509"/>
    <w:rsid w:val="00E32A1A"/>
    <w:rsid w:val="00E73B8E"/>
    <w:rsid w:val="00E915BE"/>
    <w:rsid w:val="00EB06CF"/>
    <w:rsid w:val="00ED0C84"/>
    <w:rsid w:val="00EE6B4C"/>
    <w:rsid w:val="00EF7D81"/>
    <w:rsid w:val="00F17BB2"/>
    <w:rsid w:val="00F700EA"/>
    <w:rsid w:val="00F7510E"/>
    <w:rsid w:val="00F80040"/>
    <w:rsid w:val="00F83D41"/>
    <w:rsid w:val="01107801"/>
    <w:rsid w:val="013C1FA1"/>
    <w:rsid w:val="02DD9BDF"/>
    <w:rsid w:val="0300D165"/>
    <w:rsid w:val="031C4386"/>
    <w:rsid w:val="03F33C65"/>
    <w:rsid w:val="04104614"/>
    <w:rsid w:val="04BBBA89"/>
    <w:rsid w:val="04BC5CB2"/>
    <w:rsid w:val="05D368B8"/>
    <w:rsid w:val="06BB24C6"/>
    <w:rsid w:val="0743E01C"/>
    <w:rsid w:val="07605862"/>
    <w:rsid w:val="0776F030"/>
    <w:rsid w:val="07985475"/>
    <w:rsid w:val="08037F4E"/>
    <w:rsid w:val="0825B131"/>
    <w:rsid w:val="08CA0729"/>
    <w:rsid w:val="08D1B1B7"/>
    <w:rsid w:val="08F63FCE"/>
    <w:rsid w:val="099BEB86"/>
    <w:rsid w:val="09C5EA8E"/>
    <w:rsid w:val="09F1D544"/>
    <w:rsid w:val="09FCB723"/>
    <w:rsid w:val="0A2203E3"/>
    <w:rsid w:val="0A34D359"/>
    <w:rsid w:val="0A59179B"/>
    <w:rsid w:val="0B78D621"/>
    <w:rsid w:val="0BF3F727"/>
    <w:rsid w:val="0C67DC51"/>
    <w:rsid w:val="0C8DB407"/>
    <w:rsid w:val="0D7E244E"/>
    <w:rsid w:val="0DC6EF24"/>
    <w:rsid w:val="0DF46A5E"/>
    <w:rsid w:val="0E348AFE"/>
    <w:rsid w:val="0E3ABBE7"/>
    <w:rsid w:val="0E4AF357"/>
    <w:rsid w:val="0E76D776"/>
    <w:rsid w:val="0E7E5856"/>
    <w:rsid w:val="0EAB3D38"/>
    <w:rsid w:val="0F367960"/>
    <w:rsid w:val="0FC6D417"/>
    <w:rsid w:val="0FDD9ECC"/>
    <w:rsid w:val="0FE45BF0"/>
    <w:rsid w:val="1004662B"/>
    <w:rsid w:val="10150C32"/>
    <w:rsid w:val="102B7330"/>
    <w:rsid w:val="1040F4CB"/>
    <w:rsid w:val="10C65F03"/>
    <w:rsid w:val="10CF4245"/>
    <w:rsid w:val="11425222"/>
    <w:rsid w:val="1265AD93"/>
    <w:rsid w:val="12DD4F93"/>
    <w:rsid w:val="13407CC2"/>
    <w:rsid w:val="13B4DD14"/>
    <w:rsid w:val="13CA0989"/>
    <w:rsid w:val="13F0D169"/>
    <w:rsid w:val="13FFD058"/>
    <w:rsid w:val="160636BF"/>
    <w:rsid w:val="167F0C0F"/>
    <w:rsid w:val="167F84BA"/>
    <w:rsid w:val="169B714F"/>
    <w:rsid w:val="1711CDCD"/>
    <w:rsid w:val="177EE7CF"/>
    <w:rsid w:val="17823A10"/>
    <w:rsid w:val="17A301FB"/>
    <w:rsid w:val="17CA7DC2"/>
    <w:rsid w:val="17D2BA13"/>
    <w:rsid w:val="17DB587A"/>
    <w:rsid w:val="1841C725"/>
    <w:rsid w:val="1876BBC5"/>
    <w:rsid w:val="188F1475"/>
    <w:rsid w:val="19011523"/>
    <w:rsid w:val="19261AE9"/>
    <w:rsid w:val="1949F41E"/>
    <w:rsid w:val="1963E870"/>
    <w:rsid w:val="1986FD14"/>
    <w:rsid w:val="199C3542"/>
    <w:rsid w:val="19A1A45C"/>
    <w:rsid w:val="19CBCCE5"/>
    <w:rsid w:val="1A9DE739"/>
    <w:rsid w:val="1AB85DEB"/>
    <w:rsid w:val="1ADAA8A9"/>
    <w:rsid w:val="1B0BDB28"/>
    <w:rsid w:val="1B8B8A2D"/>
    <w:rsid w:val="1C758FCF"/>
    <w:rsid w:val="1D20BBD4"/>
    <w:rsid w:val="1D351033"/>
    <w:rsid w:val="1D5B2497"/>
    <w:rsid w:val="1DB5808B"/>
    <w:rsid w:val="1E05A50B"/>
    <w:rsid w:val="1E3F7220"/>
    <w:rsid w:val="1EA76677"/>
    <w:rsid w:val="1EB9FA29"/>
    <w:rsid w:val="1EE072C0"/>
    <w:rsid w:val="1EE896F0"/>
    <w:rsid w:val="1F02B174"/>
    <w:rsid w:val="1F030686"/>
    <w:rsid w:val="1F3CD4C3"/>
    <w:rsid w:val="1FC6B80E"/>
    <w:rsid w:val="1FF7A68A"/>
    <w:rsid w:val="2067C17A"/>
    <w:rsid w:val="21BBE442"/>
    <w:rsid w:val="21F96887"/>
    <w:rsid w:val="221C8D8D"/>
    <w:rsid w:val="22E1C8A1"/>
    <w:rsid w:val="234BC58A"/>
    <w:rsid w:val="2432EB11"/>
    <w:rsid w:val="248AD23A"/>
    <w:rsid w:val="24AEC377"/>
    <w:rsid w:val="25226AAB"/>
    <w:rsid w:val="2638AC7C"/>
    <w:rsid w:val="263B79FF"/>
    <w:rsid w:val="26A00B87"/>
    <w:rsid w:val="26C9EE13"/>
    <w:rsid w:val="26EC6CB2"/>
    <w:rsid w:val="27178BF8"/>
    <w:rsid w:val="27352CEA"/>
    <w:rsid w:val="276E68D8"/>
    <w:rsid w:val="27868F13"/>
    <w:rsid w:val="281672C4"/>
    <w:rsid w:val="295C08ED"/>
    <w:rsid w:val="29AD6B36"/>
    <w:rsid w:val="29B9A39B"/>
    <w:rsid w:val="29BC2B95"/>
    <w:rsid w:val="29DBB4C3"/>
    <w:rsid w:val="29E5227B"/>
    <w:rsid w:val="2A066905"/>
    <w:rsid w:val="2AD6AF60"/>
    <w:rsid w:val="2B56EF7F"/>
    <w:rsid w:val="2BA7263D"/>
    <w:rsid w:val="2C44392A"/>
    <w:rsid w:val="2C4D46CD"/>
    <w:rsid w:val="2C8FA3E9"/>
    <w:rsid w:val="2CCC93A4"/>
    <w:rsid w:val="2D013604"/>
    <w:rsid w:val="2DAC651E"/>
    <w:rsid w:val="2DB1B6D6"/>
    <w:rsid w:val="2DC1A36C"/>
    <w:rsid w:val="2DD32AB0"/>
    <w:rsid w:val="2E93A138"/>
    <w:rsid w:val="2F0BC794"/>
    <w:rsid w:val="304695FB"/>
    <w:rsid w:val="3064D621"/>
    <w:rsid w:val="30AEE2AE"/>
    <w:rsid w:val="31583125"/>
    <w:rsid w:val="3192EADF"/>
    <w:rsid w:val="31CEA600"/>
    <w:rsid w:val="321DE873"/>
    <w:rsid w:val="3242B21F"/>
    <w:rsid w:val="3254FEB9"/>
    <w:rsid w:val="32C76C1C"/>
    <w:rsid w:val="33036A78"/>
    <w:rsid w:val="33179CE5"/>
    <w:rsid w:val="33209724"/>
    <w:rsid w:val="3323E9C9"/>
    <w:rsid w:val="3342E04B"/>
    <w:rsid w:val="3370EBA9"/>
    <w:rsid w:val="339827FE"/>
    <w:rsid w:val="347A6DB2"/>
    <w:rsid w:val="356EBFEF"/>
    <w:rsid w:val="3588C841"/>
    <w:rsid w:val="35B57455"/>
    <w:rsid w:val="3607AD75"/>
    <w:rsid w:val="36083DDC"/>
    <w:rsid w:val="363A051F"/>
    <w:rsid w:val="3803BDA0"/>
    <w:rsid w:val="38685313"/>
    <w:rsid w:val="391FA70E"/>
    <w:rsid w:val="3931DADD"/>
    <w:rsid w:val="39775780"/>
    <w:rsid w:val="39ED5B4A"/>
    <w:rsid w:val="3A409164"/>
    <w:rsid w:val="3A749E64"/>
    <w:rsid w:val="3ABBD163"/>
    <w:rsid w:val="3B6B6A44"/>
    <w:rsid w:val="3B91645E"/>
    <w:rsid w:val="3BE93B0B"/>
    <w:rsid w:val="3BFCE5A3"/>
    <w:rsid w:val="3C3FC1B7"/>
    <w:rsid w:val="3CF7F350"/>
    <w:rsid w:val="3D12FD70"/>
    <w:rsid w:val="3D59AA81"/>
    <w:rsid w:val="3D92FBDB"/>
    <w:rsid w:val="3D9807C2"/>
    <w:rsid w:val="3DAAC6F3"/>
    <w:rsid w:val="3EE06773"/>
    <w:rsid w:val="3EF18A7B"/>
    <w:rsid w:val="3F37184F"/>
    <w:rsid w:val="3F3B9389"/>
    <w:rsid w:val="3F94F227"/>
    <w:rsid w:val="3FB9EE21"/>
    <w:rsid w:val="3FD25D90"/>
    <w:rsid w:val="3FDB4C32"/>
    <w:rsid w:val="4014DE9E"/>
    <w:rsid w:val="406893CF"/>
    <w:rsid w:val="40C55C6E"/>
    <w:rsid w:val="41215AC7"/>
    <w:rsid w:val="41887240"/>
    <w:rsid w:val="42BDE589"/>
    <w:rsid w:val="42F0495B"/>
    <w:rsid w:val="4359C68F"/>
    <w:rsid w:val="43A79891"/>
    <w:rsid w:val="44509724"/>
    <w:rsid w:val="4453D47E"/>
    <w:rsid w:val="44B12A49"/>
    <w:rsid w:val="45335645"/>
    <w:rsid w:val="454A4BC5"/>
    <w:rsid w:val="45511C6F"/>
    <w:rsid w:val="4564C4C6"/>
    <w:rsid w:val="45A64A92"/>
    <w:rsid w:val="465B0113"/>
    <w:rsid w:val="4699B6AD"/>
    <w:rsid w:val="469ED47A"/>
    <w:rsid w:val="46DD8502"/>
    <w:rsid w:val="47499182"/>
    <w:rsid w:val="479ABE3B"/>
    <w:rsid w:val="47DF443E"/>
    <w:rsid w:val="47FFDECF"/>
    <w:rsid w:val="480F37A0"/>
    <w:rsid w:val="483779F7"/>
    <w:rsid w:val="4889128A"/>
    <w:rsid w:val="48B7C541"/>
    <w:rsid w:val="48CF86AC"/>
    <w:rsid w:val="49654000"/>
    <w:rsid w:val="496D8F06"/>
    <w:rsid w:val="49A69ABA"/>
    <w:rsid w:val="4A498D18"/>
    <w:rsid w:val="4A79394A"/>
    <w:rsid w:val="4AEE615D"/>
    <w:rsid w:val="4B415668"/>
    <w:rsid w:val="4B4B377A"/>
    <w:rsid w:val="4B74B67A"/>
    <w:rsid w:val="4B7588FA"/>
    <w:rsid w:val="4BA1DCC2"/>
    <w:rsid w:val="4BC4CAB4"/>
    <w:rsid w:val="4BE5A1BE"/>
    <w:rsid w:val="4C31DDD2"/>
    <w:rsid w:val="4C95550B"/>
    <w:rsid w:val="4CC4CD8C"/>
    <w:rsid w:val="4CEC6F9B"/>
    <w:rsid w:val="4CF85121"/>
    <w:rsid w:val="4D2F02FF"/>
    <w:rsid w:val="4D478C0C"/>
    <w:rsid w:val="4D7D98EA"/>
    <w:rsid w:val="4D90DC4D"/>
    <w:rsid w:val="4DA8B418"/>
    <w:rsid w:val="4DC63F70"/>
    <w:rsid w:val="4DF2D99C"/>
    <w:rsid w:val="4EFDFFA6"/>
    <w:rsid w:val="4F5F7369"/>
    <w:rsid w:val="4F876ECA"/>
    <w:rsid w:val="4F8E075C"/>
    <w:rsid w:val="50552CA8"/>
    <w:rsid w:val="5068E246"/>
    <w:rsid w:val="509469A3"/>
    <w:rsid w:val="50954B33"/>
    <w:rsid w:val="50EC3C59"/>
    <w:rsid w:val="5116FB2C"/>
    <w:rsid w:val="51E19AC0"/>
    <w:rsid w:val="520665CC"/>
    <w:rsid w:val="525CCFDE"/>
    <w:rsid w:val="52E3250A"/>
    <w:rsid w:val="536F1A6E"/>
    <w:rsid w:val="538ADDC0"/>
    <w:rsid w:val="53B29C10"/>
    <w:rsid w:val="5445E58B"/>
    <w:rsid w:val="54571911"/>
    <w:rsid w:val="549E76C5"/>
    <w:rsid w:val="54C3DF59"/>
    <w:rsid w:val="54FC80EC"/>
    <w:rsid w:val="5512A7DA"/>
    <w:rsid w:val="556A9BB7"/>
    <w:rsid w:val="55775EEA"/>
    <w:rsid w:val="55787527"/>
    <w:rsid w:val="55D28BD3"/>
    <w:rsid w:val="56856B91"/>
    <w:rsid w:val="568C807B"/>
    <w:rsid w:val="56FB41CF"/>
    <w:rsid w:val="571BA332"/>
    <w:rsid w:val="58032136"/>
    <w:rsid w:val="58435D5B"/>
    <w:rsid w:val="584B65C6"/>
    <w:rsid w:val="58547D5F"/>
    <w:rsid w:val="590E3FEF"/>
    <w:rsid w:val="592687B3"/>
    <w:rsid w:val="5966A8CB"/>
    <w:rsid w:val="596CD768"/>
    <w:rsid w:val="598903C8"/>
    <w:rsid w:val="5989057F"/>
    <w:rsid w:val="59986954"/>
    <w:rsid w:val="59CFAA25"/>
    <w:rsid w:val="5A6AF68D"/>
    <w:rsid w:val="5A7416CD"/>
    <w:rsid w:val="5A97C5CB"/>
    <w:rsid w:val="5B698297"/>
    <w:rsid w:val="5B6AB05D"/>
    <w:rsid w:val="5BA752B0"/>
    <w:rsid w:val="5CA5BA86"/>
    <w:rsid w:val="5D0DED43"/>
    <w:rsid w:val="5D21BFC5"/>
    <w:rsid w:val="5D55D401"/>
    <w:rsid w:val="5DC41295"/>
    <w:rsid w:val="5E89B9AB"/>
    <w:rsid w:val="5EAE427A"/>
    <w:rsid w:val="5EE1F8C5"/>
    <w:rsid w:val="5FEB246A"/>
    <w:rsid w:val="60047469"/>
    <w:rsid w:val="60B5ADF2"/>
    <w:rsid w:val="60ED6718"/>
    <w:rsid w:val="610B2D91"/>
    <w:rsid w:val="611893F6"/>
    <w:rsid w:val="612617E7"/>
    <w:rsid w:val="61662A89"/>
    <w:rsid w:val="61A16EFB"/>
    <w:rsid w:val="62695132"/>
    <w:rsid w:val="62BBEEF0"/>
    <w:rsid w:val="62F8582F"/>
    <w:rsid w:val="632F722D"/>
    <w:rsid w:val="6334CE26"/>
    <w:rsid w:val="63682398"/>
    <w:rsid w:val="63A98A76"/>
    <w:rsid w:val="63C63EB6"/>
    <w:rsid w:val="63C66D3A"/>
    <w:rsid w:val="6421B129"/>
    <w:rsid w:val="64800671"/>
    <w:rsid w:val="6496D736"/>
    <w:rsid w:val="650504DB"/>
    <w:rsid w:val="652ABE6C"/>
    <w:rsid w:val="65DFA688"/>
    <w:rsid w:val="65F750D9"/>
    <w:rsid w:val="67D7DB85"/>
    <w:rsid w:val="67E89198"/>
    <w:rsid w:val="681CBBC3"/>
    <w:rsid w:val="68D0C4BE"/>
    <w:rsid w:val="68D20C88"/>
    <w:rsid w:val="68DA9955"/>
    <w:rsid w:val="68E3C4C0"/>
    <w:rsid w:val="697CF61C"/>
    <w:rsid w:val="69C724AE"/>
    <w:rsid w:val="6A1572DF"/>
    <w:rsid w:val="6A2933B3"/>
    <w:rsid w:val="6A4DAB8F"/>
    <w:rsid w:val="6ACF4EDF"/>
    <w:rsid w:val="6AE0A3E9"/>
    <w:rsid w:val="6AF22276"/>
    <w:rsid w:val="6B4D443F"/>
    <w:rsid w:val="6BC3599F"/>
    <w:rsid w:val="6BCDD1F1"/>
    <w:rsid w:val="6C5E998E"/>
    <w:rsid w:val="6D07024B"/>
    <w:rsid w:val="6D2742DD"/>
    <w:rsid w:val="6D5DF25D"/>
    <w:rsid w:val="6D6F86CE"/>
    <w:rsid w:val="6D8FABFB"/>
    <w:rsid w:val="6DAEB9D4"/>
    <w:rsid w:val="6E78C535"/>
    <w:rsid w:val="6F0D0BBC"/>
    <w:rsid w:val="6F7211EB"/>
    <w:rsid w:val="6F7941F7"/>
    <w:rsid w:val="6F95B5C3"/>
    <w:rsid w:val="703218F3"/>
    <w:rsid w:val="704D66DE"/>
    <w:rsid w:val="70B75104"/>
    <w:rsid w:val="70C96A38"/>
    <w:rsid w:val="70D269A1"/>
    <w:rsid w:val="70D3404B"/>
    <w:rsid w:val="718A92DC"/>
    <w:rsid w:val="71CA3C60"/>
    <w:rsid w:val="71CC1F84"/>
    <w:rsid w:val="72320FC8"/>
    <w:rsid w:val="7248473E"/>
    <w:rsid w:val="72CC8124"/>
    <w:rsid w:val="7318B1D7"/>
    <w:rsid w:val="732A5E5C"/>
    <w:rsid w:val="7351D119"/>
    <w:rsid w:val="73A71CDF"/>
    <w:rsid w:val="73B575D8"/>
    <w:rsid w:val="73DBF5FC"/>
    <w:rsid w:val="73DE2DDA"/>
    <w:rsid w:val="743D448D"/>
    <w:rsid w:val="74F1F3C5"/>
    <w:rsid w:val="74FF8883"/>
    <w:rsid w:val="751D5ECA"/>
    <w:rsid w:val="754F2478"/>
    <w:rsid w:val="768138FB"/>
    <w:rsid w:val="76B7AA7F"/>
    <w:rsid w:val="78098D1E"/>
    <w:rsid w:val="7846DD6D"/>
    <w:rsid w:val="78672C6A"/>
    <w:rsid w:val="7898AE02"/>
    <w:rsid w:val="799788ED"/>
    <w:rsid w:val="7A191765"/>
    <w:rsid w:val="7A2CBD7D"/>
    <w:rsid w:val="7A37442F"/>
    <w:rsid w:val="7BD40534"/>
    <w:rsid w:val="7BE4DF9D"/>
    <w:rsid w:val="7BE7BD33"/>
    <w:rsid w:val="7C311D40"/>
    <w:rsid w:val="7C9C3811"/>
    <w:rsid w:val="7CDF8FC0"/>
    <w:rsid w:val="7D793BD9"/>
    <w:rsid w:val="7EB00406"/>
    <w:rsid w:val="7EB071D3"/>
    <w:rsid w:val="7F094DFF"/>
    <w:rsid w:val="7F3D0A44"/>
    <w:rsid w:val="7F525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9077B"/>
  <w15:chartTrackingRefBased/>
  <w15:docId w15:val="{2879F69B-F40B-C04C-A9D0-CC457C53D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949F41E"/>
    <w:pPr>
      <w:ind w:left="720"/>
      <w:contextualSpacing/>
    </w:pPr>
  </w:style>
  <w:style w:type="paragraph" w:styleId="Header">
    <w:name w:val="header"/>
    <w:basedOn w:val="Normal"/>
    <w:uiPriority w:val="99"/>
    <w:unhideWhenUsed/>
    <w:rsid w:val="29BC2B95"/>
    <w:pPr>
      <w:tabs>
        <w:tab w:val="center" w:pos="4680"/>
        <w:tab w:val="right" w:pos="9360"/>
      </w:tabs>
      <w:spacing w:after="0" w:line="240" w:lineRule="auto"/>
    </w:pPr>
  </w:style>
  <w:style w:type="paragraph" w:styleId="Footer">
    <w:name w:val="footer"/>
    <w:basedOn w:val="Normal"/>
    <w:uiPriority w:val="99"/>
    <w:unhideWhenUsed/>
    <w:rsid w:val="29BC2B9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1877</Words>
  <Characters>11242</Characters>
  <Application>Microsoft Office Word</Application>
  <DocSecurity>0</DocSecurity>
  <Lines>227</Lines>
  <Paragraphs>19</Paragraphs>
  <ScaleCrop>false</ScaleCrop>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Weronika Papp</dc:creator>
  <cp:keywords/>
  <dc:description/>
  <cp:lastModifiedBy>Tanja Gllafce</cp:lastModifiedBy>
  <cp:revision>2</cp:revision>
  <dcterms:created xsi:type="dcterms:W3CDTF">2025-12-14T01:47:00Z</dcterms:created>
  <dcterms:modified xsi:type="dcterms:W3CDTF">2025-12-14T01:47:00Z</dcterms:modified>
</cp:coreProperties>
</file>