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基层治理数字化转型工作汇报</w:t>
      </w:r>
    </w:p>
    <w:p>
      <w:pPr>
        <w:pStyle w:val="Heading1"/>
      </w:pPr>
      <w:r>
        <w:t xml:space="preserve">一、工作背景</w:t>
      </w:r>
    </w:p>
    <w:p>
      <w:pPr>
        <w:spacing w:after="160"/>
      </w:pPr>
      <w:r>
        <w:t xml:space="preserve">近年来，国家陆续出台《关于加强基层治理体系和治理能力现代化建设的意见》《数字乡村发展战略纲要》《关于加快推进政务服务标准化规范化便利化的指导意见》等政策文件，明确提出以数字技术赋能基层治理、提升治理效能的总体要求。基层治理数字化已成为推进国家治理体系和治理能力现代化的重要突破口。</w:t>
      </w:r>
    </w:p>
    <w:p>
      <w:pPr>
        <w:pStyle w:val="ListParagraph"/>
        <w:numPr>
          <w:ilvl w:val="0"/>
          <w:numId w:val="1"/>
        </w:numPr>
      </w:pPr>
      <w:r>
        <w:t xml:space="preserve">1.1 政策驱动：国家层面密集部署数字政府与数字乡村建设，各省市相继出台数字化转型行动方案。</w:t>
      </w:r>
    </w:p>
    <w:p>
      <w:pPr>
        <w:pStyle w:val="ListParagraph"/>
        <w:numPr>
          <w:ilvl w:val="0"/>
          <w:numId w:val="1"/>
        </w:numPr>
      </w:pPr>
      <w:r>
        <w:t xml:space="preserve">1.2 基层治理现实需求：基层人少事多、信息孤岛、响应滞后、群众办事多次跑等痛点亟待解决。</w:t>
      </w:r>
    </w:p>
    <w:p>
      <w:pPr>
        <w:pStyle w:val="ListParagraph"/>
        <w:numPr>
          <w:ilvl w:val="0"/>
          <w:numId w:val="1"/>
        </w:numPr>
      </w:pPr>
      <w:r>
        <w:t xml:space="preserve">1.3 技术条件成熟：5G网络覆盖、物联网终端成本下降、AI大模型及大数据分析能力提升，为基层数字化提供了坚实底座。</w:t>
      </w:r>
    </w:p>
    <w:p>
      <w:pPr>
        <w:pStyle w:val="Heading1"/>
      </w:pPr>
      <w:r>
        <w:t xml:space="preserve">二、推进举措</w:t>
      </w:r>
    </w:p>
    <w:p>
      <w:pPr>
        <w:spacing w:after="160"/>
      </w:pPr>
      <w:r>
        <w:t xml:space="preserve">围绕「数据贯通、服务下沉、决策智能、能力提升」四大方向，系统性推进基层治理数字化转型。</w:t>
      </w:r>
    </w:p>
    <w:p>
      <w:pPr>
        <w:pStyle w:val="ListParagraph"/>
        <w:numPr>
          <w:ilvl w:val="0"/>
          <w:numId w:val="1"/>
        </w:numPr>
      </w:pPr>
      <w:r>
        <w:t xml:space="preserve">2.1 数据底座建设：建成统一基层数据中台，汇聚民政、卫健、人社、公安等12个部门共计3.2亿条基础数据，实现人口、法人、房屋、事件四大基础库全量归集，数据更新频率提升至T+1。</w:t>
      </w:r>
    </w:p>
    <w:p>
      <w:pPr>
        <w:pStyle w:val="ListParagraph"/>
        <w:numPr>
          <w:ilvl w:val="0"/>
          <w:numId w:val="1"/>
        </w:numPr>
      </w:pPr>
      <w:r>
        <w:t xml:space="preserve">2.2 数字化便民服务平台：推出「基层一网通办」小程序与政务自助终端，集成104项高频事项在线办理，群众平均跑腿次数由3.5次降至0.8次；上线智能客服「小基助手」，问答准确率达91%。</w:t>
      </w:r>
    </w:p>
    <w:p>
      <w:pPr>
        <w:pStyle w:val="ListParagraph"/>
        <w:numPr>
          <w:ilvl w:val="0"/>
          <w:numId w:val="1"/>
        </w:numPr>
      </w:pPr>
      <w:r>
        <w:t xml:space="preserve">2.3 网格化管理与智能决策：将全市划分为5832个数字网格，配备智能巡检终端；建设基层治理智慧大屏，实现矛盾纠纷预警、重点人群管理、应急调度一张图指挥；基于AI算法实现突发事件的自动研判与分级响应，处置效率提升42%。</w:t>
      </w:r>
    </w:p>
    <w:p>
      <w:pPr>
        <w:pStyle w:val="ListParagraph"/>
        <w:numPr>
          <w:ilvl w:val="0"/>
          <w:numId w:val="1"/>
        </w:numPr>
      </w:pPr>
      <w:r>
        <w:t xml:space="preserve">2.4 数字素养培训体系：针对基层干部开展「数字能力提升工程」，累计培训1.8万人次，覆盖社区工作者、网格员、村两委干部；编制《基层数字化操作手册（2026版）》。</w:t>
      </w:r>
    </w:p>
    <w:p>
      <w:pPr>
        <w:pStyle w:val="Heading1"/>
      </w:pPr>
      <w:r>
        <w:t xml:space="preserve">三、下一步计划</w:t>
      </w:r>
    </w:p>
    <w:p>
      <w:pPr>
        <w:spacing w:after="160"/>
      </w:pPr>
      <w:r>
        <w:t xml:space="preserve">巩固前期成果，聚焦深层次问题，推动基层治理数字化从「建好」迈向「用好、管好、可持续」。</w:t>
      </w:r>
    </w:p>
    <w:p>
      <w:pPr>
        <w:pStyle w:val="ListParagraph"/>
        <w:numPr>
          <w:ilvl w:val="0"/>
          <w:numId w:val="1"/>
        </w:numPr>
      </w:pPr>
      <w:r>
        <w:t xml:space="preserve">3.1 深化数据共享与安全：编制基层数据资源目录2.0，推进省市县三级数据回流；部署数据安全分级分类与隐私计算平台，确保个人信息与敏感数据合规使用。</w:t>
      </w:r>
    </w:p>
    <w:p>
      <w:pPr>
        <w:pStyle w:val="ListParagraph"/>
        <w:numPr>
          <w:ilvl w:val="0"/>
          <w:numId w:val="1"/>
        </w:numPr>
      </w:pPr>
      <w:r>
        <w:t xml:space="preserve">3.2 拓展智慧应用场景：试点AI辅助基层公文写作、智能政策解读、民生诉求自动分拨；建设数字孪生社区，实现消防、排水、安防等公共设施的远程监测与预警。</w:t>
      </w:r>
    </w:p>
    <w:p>
      <w:pPr>
        <w:pStyle w:val="ListParagraph"/>
        <w:numPr>
          <w:ilvl w:val="0"/>
          <w:numId w:val="1"/>
        </w:numPr>
      </w:pPr>
      <w:r>
        <w:t xml:space="preserve">3.3 健全长效机制保障：将数字化运维经费纳入财政预算常态化保障；建立「以评促建」考核体系，每季度发布基层治理数字化指数排行榜。</w:t>
      </w:r>
    </w:p>
    <w:p>
      <w:pPr>
        <w:pStyle w:val="Heading1"/>
      </w:pPr>
      <w:r>
        <w:t xml:space="preserve">四、结语</w:t>
      </w:r>
    </w:p>
    <w:p>
      <w:pPr>
        <w:spacing w:after="160"/>
      </w:pPr>
      <w:r>
        <w:t xml:space="preserve">基层治理数字化转型是一项系统性、长期性工程。下一步将继续坚持问题导向、需求导向，以数字技术推动治理重心下移、资源下沉、服务下延，切实提升群众的获得感和满意度。</w:t>
      </w:r>
    </w:p>
    <w:p>
      <w:pPr>
        <w:pStyle w:val="Heading1"/>
      </w:pPr>
      <w:r>
        <w:t xml:space="preserve">参考文献</w:t>
      </w:r>
    </w:p>
    <w:p>
      <w:pPr>
        <w:spacing w:after="160"/>
      </w:pPr>
      <w:r>
        <w:t xml:space="preserve">本文参考以下政策文件与研究资料：1. 中共中央、国务院，《关于加强基层治理体系和治理能力现代化建设的意见》（2021年4月）2. 国务院办公厅，《关于加快推进政务服务标准化规范化便利化的指导意见》（国办发〔2022〕5号）3. 中央网信办等，《数字乡村发展战略纲要》（2019年）4. 国家数据局，《数字中国建设整体布局规划》（2023年）以上政策文件均可通过中国政府网（www.gov.cn）核验。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基层治理数字化转型工作汇报</dc:title>
  <dc:creator>codeCN</dc:creator>
  <cp:lastModifiedBy>Un-named</cp:lastModifiedBy>
  <cp:revision>1</cp:revision>
  <dcterms:created xsi:type="dcterms:W3CDTF">2026-08-25T08:21:05.083Z</dcterms:created>
  <dcterms:modified xsi:type="dcterms:W3CDTF">2026-08-25T08:21:05.083Z</dcterms:modified>
</cp:coreProperties>
</file>

<file path=docProps/custom.xml><?xml version="1.0" encoding="utf-8"?>
<Properties xmlns="http://schemas.openxmlformats.org/officeDocument/2006/custom-properties" xmlns:vt="http://schemas.openxmlformats.org/officeDocument/2006/docPropsVTypes"/>
</file>