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720"/>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Students performance in Exam </w:t>
      </w:r>
      <w:r w:rsidDel="00000000" w:rsidR="00000000" w:rsidRPr="00000000">
        <w:rPr>
          <w:sz w:val="24"/>
          <w:szCs w:val="24"/>
          <w:rtl w:val="0"/>
        </w:rPr>
        <w:t xml:space="preserve">dataset contains 1000 records. It includes 8 variables: gender, race.ethnicity, </w:t>
      </w:r>
      <w:hyperlink r:id="rId6">
        <w:r w:rsidDel="00000000" w:rsidR="00000000" w:rsidRPr="00000000">
          <w:rPr>
            <w:sz w:val="24"/>
            <w:szCs w:val="24"/>
            <w:rtl w:val="0"/>
          </w:rPr>
          <w:t xml:space="preserve">parental</w:t>
        </w:r>
      </w:hyperlink>
      <w:hyperlink r:id="rId7">
        <w:r w:rsidDel="00000000" w:rsidR="00000000" w:rsidRPr="00000000">
          <w:rPr>
            <w:sz w:val="24"/>
            <w:szCs w:val="24"/>
            <w:rtl w:val="0"/>
          </w:rPr>
          <w:t xml:space="preserve">.</w:t>
        </w:r>
      </w:hyperlink>
      <w:hyperlink r:id="rId8">
        <w:r w:rsidDel="00000000" w:rsidR="00000000" w:rsidRPr="00000000">
          <w:rPr>
            <w:sz w:val="24"/>
            <w:szCs w:val="24"/>
            <w:rtl w:val="0"/>
          </w:rPr>
          <w:t xml:space="preserve">level</w:t>
        </w:r>
      </w:hyperlink>
      <w:hyperlink r:id="rId9">
        <w:r w:rsidDel="00000000" w:rsidR="00000000" w:rsidRPr="00000000">
          <w:rPr>
            <w:sz w:val="24"/>
            <w:szCs w:val="24"/>
            <w:rtl w:val="0"/>
          </w:rPr>
          <w:t xml:space="preserve">.</w:t>
        </w:r>
      </w:hyperlink>
      <w:hyperlink r:id="rId10">
        <w:r w:rsidDel="00000000" w:rsidR="00000000" w:rsidRPr="00000000">
          <w:rPr>
            <w:sz w:val="24"/>
            <w:szCs w:val="24"/>
            <w:rtl w:val="0"/>
          </w:rPr>
          <w:t xml:space="preserve">of</w:t>
        </w:r>
      </w:hyperlink>
      <w:r w:rsidDel="00000000" w:rsidR="00000000" w:rsidRPr="00000000">
        <w:rPr>
          <w:sz w:val="24"/>
          <w:szCs w:val="24"/>
          <w:rtl w:val="0"/>
        </w:rPr>
        <w:t xml:space="preserve">.ed</w:t>
      </w:r>
      <w:r w:rsidDel="00000000" w:rsidR="00000000" w:rsidRPr="00000000">
        <w:rPr>
          <w:sz w:val="24"/>
          <w:szCs w:val="24"/>
          <w:rtl w:val="0"/>
        </w:rPr>
        <w:t xml:space="preserve">ucation, lunch, test.preparation.course, math.score, reading.score, writing.score.   5 columns contain categorical data and 3 contain numerical data.</w:t>
      </w:r>
    </w:p>
    <w:p w:rsidR="00000000" w:rsidDel="00000000" w:rsidP="00000000" w:rsidRDefault="00000000" w:rsidRPr="00000000" w14:paraId="00000002">
      <w:pPr>
        <w:jc w:val="both"/>
        <w:rPr>
          <w:sz w:val="24"/>
          <w:szCs w:val="24"/>
        </w:rPr>
      </w:pPr>
      <w:r w:rsidDel="00000000" w:rsidR="00000000" w:rsidRPr="00000000">
        <w:rPr>
          <w:rtl w:val="0"/>
        </w:rPr>
      </w:r>
    </w:p>
    <w:tbl>
      <w:tblPr>
        <w:tblStyle w:val="Table1"/>
        <w:tblW w:w="4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0"/>
        <w:gridCol w:w="860"/>
        <w:gridCol w:w="1020"/>
        <w:gridCol w:w="1220"/>
        <w:tblGridChange w:id="0">
          <w:tblGrid>
            <w:gridCol w:w="1360"/>
            <w:gridCol w:w="860"/>
            <w:gridCol w:w="1020"/>
            <w:gridCol w:w="12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Mean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Standard Deviation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Math.score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66.1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15.16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reading.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69.17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14.60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writing.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68.05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69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15.2</w:t>
            </w:r>
          </w:p>
        </w:tc>
      </w:tr>
    </w:tbl>
    <w:p w:rsidR="00000000" w:rsidDel="00000000" w:rsidP="00000000" w:rsidRDefault="00000000" w:rsidRPr="00000000" w14:paraId="00000013">
      <w:pPr>
        <w:jc w:val="both"/>
        <w:rPr>
          <w:sz w:val="24"/>
          <w:szCs w:val="24"/>
        </w:rPr>
      </w:pPr>
      <w:r w:rsidDel="00000000" w:rsidR="00000000" w:rsidRPr="00000000">
        <w:rPr>
          <w:rtl w:val="0"/>
        </w:rPr>
      </w:r>
    </w:p>
    <w:p w:rsidR="00000000" w:rsidDel="00000000" w:rsidP="00000000" w:rsidRDefault="00000000" w:rsidRPr="00000000" w14:paraId="00000014">
      <w:pPr>
        <w:ind w:left="0" w:firstLine="0"/>
        <w:jc w:val="center"/>
        <w:rPr>
          <w:b w:val="1"/>
          <w:bCs w:val="1"/>
          <w:i w:val="1"/>
          <w:iCs w:val="1"/>
          <w:sz w:val="24"/>
          <w:szCs w:val="24"/>
        </w:rPr>
      </w:pPr>
      <w:r w:rsidDel="00000000" w:rsidR="00000000" w:rsidRPr="00000000">
        <w:rPr>
          <w:b w:val="1"/>
          <w:bCs w:val="1"/>
          <w:i w:val="1"/>
          <w:iCs w:val="1"/>
          <w:sz w:val="24"/>
          <w:szCs w:val="24"/>
          <w:rtl w:val="0"/>
        </w:rPr>
        <w:t xml:space="preserve">Figure 1. Mean, Median and Mode of math, reading, and writing scores</w:t>
      </w:r>
    </w:p>
    <w:p w:rsidR="00000000" w:rsidDel="00000000" w:rsidP="00000000" w:rsidRDefault="00000000" w:rsidRPr="00000000" w14:paraId="00000015">
      <w:pPr>
        <w:ind w:left="0" w:firstLine="0"/>
        <w:jc w:val="center"/>
        <w:rPr>
          <w:b w:val="1"/>
          <w:bCs w:val="1"/>
          <w:i w:val="1"/>
          <w:iCs w:val="1"/>
          <w:sz w:val="24"/>
          <w:szCs w:val="24"/>
        </w:rPr>
      </w:pPr>
      <w:r w:rsidDel="00000000" w:rsidR="00000000" w:rsidRPr="00000000">
        <w:rPr>
          <w:rtl w:val="0"/>
        </w:rPr>
      </w:r>
    </w:p>
    <w:p w:rsidR="00000000" w:rsidDel="00000000" w:rsidP="00000000" w:rsidRDefault="00000000" w:rsidRPr="00000000" w14:paraId="00000016">
      <w:pPr>
        <w:ind w:left="0" w:firstLine="720"/>
        <w:jc w:val="both"/>
        <w:rPr>
          <w:sz w:val="24"/>
          <w:szCs w:val="24"/>
        </w:rPr>
      </w:pPr>
      <w:r w:rsidDel="00000000" w:rsidR="00000000" w:rsidRPr="00000000">
        <w:rPr>
          <w:sz w:val="24"/>
          <w:szCs w:val="24"/>
          <w:rtl w:val="0"/>
        </w:rPr>
        <w:t xml:space="preserve">Based on the descriptive statistics, the  </w:t>
      </w:r>
      <w:r w:rsidDel="00000000" w:rsidR="00000000" w:rsidRPr="00000000">
        <w:rPr>
          <w:b w:val="1"/>
          <w:bCs w:val="1"/>
          <w:sz w:val="24"/>
          <w:szCs w:val="24"/>
          <w:rtl w:val="0"/>
        </w:rPr>
        <w:t xml:space="preserve">math.score</w:t>
      </w:r>
      <w:r w:rsidDel="00000000" w:rsidR="00000000" w:rsidRPr="00000000">
        <w:rPr>
          <w:sz w:val="24"/>
          <w:szCs w:val="24"/>
          <w:rtl w:val="0"/>
        </w:rPr>
        <w:t xml:space="preserve"> variable has a </w:t>
      </w:r>
      <w:r w:rsidDel="00000000" w:rsidR="00000000" w:rsidRPr="00000000">
        <w:rPr>
          <w:sz w:val="24"/>
          <w:szCs w:val="24"/>
          <w:rtl w:val="0"/>
        </w:rPr>
        <w:t xml:space="preserve">mean of 66.1, a median of 66, and a standard deviation of 15.16, indicating the distribution and variability of the scores. The </w:t>
      </w:r>
      <w:r w:rsidDel="00000000" w:rsidR="00000000" w:rsidRPr="00000000">
        <w:rPr>
          <w:b w:val="1"/>
          <w:bCs w:val="1"/>
          <w:sz w:val="24"/>
          <w:szCs w:val="24"/>
          <w:rtl w:val="0"/>
        </w:rPr>
        <w:t xml:space="preserve">reading.score</w:t>
      </w:r>
      <w:r w:rsidDel="00000000" w:rsidR="00000000" w:rsidRPr="00000000">
        <w:rPr>
          <w:sz w:val="24"/>
          <w:szCs w:val="24"/>
          <w:rtl w:val="0"/>
        </w:rPr>
        <w:t xml:space="preserve"> variable has a mean of 69.17, a median of 70, and a standard deviation of 14.60. Lastly the </w:t>
      </w:r>
      <w:r w:rsidDel="00000000" w:rsidR="00000000" w:rsidRPr="00000000">
        <w:rPr>
          <w:b w:val="1"/>
          <w:bCs w:val="1"/>
          <w:sz w:val="24"/>
          <w:szCs w:val="24"/>
          <w:rtl w:val="0"/>
        </w:rPr>
        <w:t xml:space="preserve">writing.score </w:t>
      </w:r>
      <w:r w:rsidDel="00000000" w:rsidR="00000000" w:rsidRPr="00000000">
        <w:rPr>
          <w:sz w:val="24"/>
          <w:szCs w:val="24"/>
          <w:rtl w:val="0"/>
        </w:rPr>
        <w:t xml:space="preserve">variable has a mean of 68.05, a median of 69, and a standard deviation of 15.2, describing the central tendency and spread of the data.</w:t>
      </w:r>
    </w:p>
    <w:p w:rsidR="00000000" w:rsidDel="00000000" w:rsidP="00000000" w:rsidRDefault="00000000" w:rsidRPr="00000000" w14:paraId="00000017">
      <w:pPr>
        <w:ind w:firstLine="720"/>
        <w:jc w:val="both"/>
        <w:rPr>
          <w:sz w:val="24"/>
          <w:szCs w:val="24"/>
        </w:rPr>
      </w:pPr>
      <w:r w:rsidDel="00000000" w:rsidR="00000000" w:rsidRPr="00000000">
        <w:rPr>
          <w:rtl w:val="0"/>
        </w:rPr>
      </w:r>
    </w:p>
    <w:p w:rsidR="00000000" w:rsidDel="00000000" w:rsidP="00000000" w:rsidRDefault="00000000" w:rsidRPr="00000000" w14:paraId="00000018">
      <w:pPr>
        <w:ind w:left="0" w:firstLine="0"/>
        <w:jc w:val="both"/>
        <w:rPr>
          <w:sz w:val="24"/>
          <w:szCs w:val="24"/>
        </w:rPr>
      </w:pPr>
      <w:r w:rsidDel="00000000" w:rsidR="00000000" w:rsidRPr="00000000">
        <w:rPr>
          <w:rtl w:val="0"/>
        </w:rPr>
      </w:r>
    </w:p>
    <w:p w:rsidR="00000000" w:rsidDel="00000000" w:rsidP="00000000" w:rsidRDefault="00000000" w:rsidRPr="00000000" w14:paraId="00000019">
      <w:pPr>
        <w:ind w:left="0" w:firstLine="0"/>
        <w:jc w:val="both"/>
        <w:rPr>
          <w:sz w:val="24"/>
          <w:szCs w:val="24"/>
        </w:rPr>
      </w:pPr>
      <w:r w:rsidDel="00000000" w:rsidR="00000000" w:rsidRPr="00000000">
        <w:rPr>
          <w:rtl w:val="0"/>
        </w:rPr>
      </w:r>
    </w:p>
    <w:p w:rsidR="00000000" w:rsidDel="00000000" w:rsidP="00000000" w:rsidRDefault="00000000" w:rsidRPr="00000000" w14:paraId="0000001A">
      <w:pPr>
        <w:ind w:left="0" w:firstLine="0"/>
        <w:jc w:val="both"/>
        <w:rPr>
          <w:sz w:val="24"/>
          <w:szCs w:val="24"/>
        </w:rPr>
      </w:pPr>
      <w:r w:rsidDel="00000000" w:rsidR="00000000" w:rsidRPr="00000000">
        <w:rPr>
          <w:rtl w:val="0"/>
        </w:rPr>
      </w:r>
    </w:p>
    <w:tbl>
      <w:tblPr>
        <w:tblStyle w:val="Table2"/>
        <w:tblW w:w="48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675"/>
        <w:gridCol w:w="885"/>
        <w:gridCol w:w="855"/>
        <w:gridCol w:w="1380"/>
        <w:tblGridChange w:id="0">
          <w:tblGrid>
            <w:gridCol w:w="1020"/>
            <w:gridCol w:w="675"/>
            <w:gridCol w:w="885"/>
            <w:gridCol w:w="855"/>
            <w:gridCol w:w="13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IQR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Upper fence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Lower fence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Outliers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math.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reading.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writing.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25.125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108.875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5</w:t>
            </w:r>
          </w:p>
        </w:tc>
      </w:tr>
    </w:tbl>
    <w:p w:rsidR="00000000" w:rsidDel="00000000" w:rsidP="00000000" w:rsidRDefault="00000000" w:rsidRPr="00000000" w14:paraId="0000002F">
      <w:pPr>
        <w:ind w:left="0" w:right="-490.3937007874026" w:firstLine="0"/>
        <w:jc w:val="center"/>
        <w:rPr>
          <w:sz w:val="24"/>
          <w:szCs w:val="24"/>
        </w:rPr>
      </w:pPr>
      <w:r w:rsidDel="00000000" w:rsidR="00000000" w:rsidRPr="00000000">
        <w:rPr>
          <w:sz w:val="24"/>
          <w:szCs w:val="24"/>
          <w:rtl w:val="0"/>
        </w:rPr>
        <w:br w:type="textWrapping"/>
      </w:r>
      <w:r w:rsidDel="00000000" w:rsidR="00000000" w:rsidRPr="00000000">
        <w:rPr>
          <w:b w:val="1"/>
          <w:bCs w:val="1"/>
          <w:i w:val="1"/>
          <w:iCs w:val="1"/>
          <w:sz w:val="24"/>
          <w:szCs w:val="24"/>
          <w:rtl w:val="0"/>
        </w:rPr>
        <w:t xml:space="preserve">Figure 2. IQR and Outliers of math, reading, and writing scores</w:t>
      </w:r>
      <w:r w:rsidDel="00000000" w:rsidR="00000000" w:rsidRPr="00000000">
        <w:rPr>
          <w:rtl w:val="0"/>
        </w:rPr>
      </w:r>
    </w:p>
    <w:p w:rsidR="00000000" w:rsidDel="00000000" w:rsidP="00000000" w:rsidRDefault="00000000" w:rsidRPr="00000000" w14:paraId="00000030">
      <w:pPr>
        <w:ind w:left="0" w:firstLine="720"/>
        <w:jc w:val="both"/>
        <w:rPr>
          <w:sz w:val="24"/>
          <w:szCs w:val="24"/>
        </w:rPr>
      </w:pPr>
      <w:r w:rsidDel="00000000" w:rsidR="00000000" w:rsidRPr="00000000">
        <w:rPr>
          <w:rtl w:val="0"/>
        </w:rPr>
      </w:r>
    </w:p>
    <w:p w:rsidR="00000000" w:rsidDel="00000000" w:rsidP="00000000" w:rsidRDefault="00000000" w:rsidRPr="00000000" w14:paraId="00000031">
      <w:pPr>
        <w:ind w:left="0" w:right="-566.9291338582677" w:firstLine="720"/>
        <w:jc w:val="both"/>
        <w:rPr>
          <w:sz w:val="24"/>
          <w:szCs w:val="24"/>
        </w:rPr>
      </w:pPr>
      <w:r w:rsidDel="00000000" w:rsidR="00000000" w:rsidRPr="00000000">
        <w:rPr>
          <w:sz w:val="24"/>
          <w:szCs w:val="24"/>
          <w:rtl w:val="0"/>
        </w:rPr>
        <w:t xml:space="preserve">Based on the computed Interquartile Range (IQR), as well as the lower fence and upper fence values for each column, several outliers were detected in the dataset. The math.score has 8 outliers, while the reading.score and writing.score columns have 5 outliers. These outliers are considered as insignificant data, because they fall below the lower fence or exceed the upper fence, indicating values that are unusually low or high compared to the majority of the data.</w:t>
      </w:r>
    </w:p>
    <w:p w:rsidR="00000000" w:rsidDel="00000000" w:rsidP="00000000" w:rsidRDefault="00000000" w:rsidRPr="00000000" w14:paraId="00000032">
      <w:pPr>
        <w:ind w:left="0" w:firstLine="0"/>
        <w:jc w:val="both"/>
        <w:rPr>
          <w:sz w:val="24"/>
          <w:szCs w:val="24"/>
        </w:rPr>
      </w:pPr>
      <w:r w:rsidDel="00000000" w:rsidR="00000000" w:rsidRPr="00000000">
        <w:rPr>
          <w:rtl w:val="0"/>
        </w:rPr>
      </w:r>
    </w:p>
    <w:p w:rsidR="00000000" w:rsidDel="00000000" w:rsidP="00000000" w:rsidRDefault="00000000" w:rsidRPr="00000000" w14:paraId="00000033">
      <w:pPr>
        <w:ind w:left="0" w:firstLine="0"/>
        <w:jc w:val="both"/>
        <w:rPr>
          <w:sz w:val="24"/>
          <w:szCs w:val="24"/>
        </w:rPr>
      </w:pPr>
      <w:r w:rsidDel="00000000" w:rsidR="00000000" w:rsidRPr="00000000">
        <w:rPr>
          <w:sz w:val="24"/>
          <w:szCs w:val="24"/>
        </w:rPr>
        <w:drawing>
          <wp:inline distB="114300" distT="114300" distL="114300" distR="114300">
            <wp:extent cx="3306255" cy="153026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306255" cy="153026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ind w:left="0" w:right="-566.9291338582677" w:firstLine="0"/>
        <w:jc w:val="center"/>
        <w:rPr>
          <w:b w:val="1"/>
          <w:bCs w:val="1"/>
          <w:i w:val="1"/>
          <w:iCs w:val="1"/>
          <w:sz w:val="24"/>
          <w:szCs w:val="24"/>
        </w:rPr>
      </w:pPr>
      <w:r w:rsidDel="00000000" w:rsidR="00000000" w:rsidRPr="00000000">
        <w:rPr>
          <w:sz w:val="24"/>
          <w:szCs w:val="24"/>
          <w:rtl w:val="0"/>
        </w:rPr>
        <w:t xml:space="preserve">  </w:t>
      </w:r>
      <w:r w:rsidDel="00000000" w:rsidR="00000000" w:rsidRPr="00000000">
        <w:rPr>
          <w:b w:val="1"/>
          <w:bCs w:val="1"/>
          <w:i w:val="1"/>
          <w:iCs w:val="1"/>
          <w:sz w:val="24"/>
          <w:szCs w:val="24"/>
          <w:rtl w:val="0"/>
        </w:rPr>
        <w:t xml:space="preserve">Figure 3. Boxplot Chart of math, reading, and writing scores</w:t>
      </w:r>
    </w:p>
    <w:p w:rsidR="00000000" w:rsidDel="00000000" w:rsidP="00000000" w:rsidRDefault="00000000" w:rsidRPr="00000000" w14:paraId="00000035">
      <w:pPr>
        <w:ind w:left="0" w:right="-566.9291338582677" w:firstLine="720"/>
        <w:jc w:val="both"/>
        <w:rPr>
          <w:sz w:val="24"/>
          <w:szCs w:val="24"/>
        </w:rPr>
      </w:pPr>
      <w:r w:rsidDel="00000000" w:rsidR="00000000" w:rsidRPr="00000000">
        <w:rPr>
          <w:sz w:val="24"/>
          <w:szCs w:val="24"/>
          <w:rtl w:val="0"/>
        </w:rPr>
        <w:t xml:space="preserve">The boxplot illustrates the distribution of student scores in Math, Reading, and Writing, showing the median, quartiles, range, and potential outliers. The boxes represent the middle 50% of the scores, with the line inside each box indicating the median score, while the whiskers show the spread of most scores within 1.5 times the interquartile range. A few dots below the whiskers indicate low outliers, meaning some students scored significantly lower than the majority. Overall, the plot shows that students generally performed similarly across the three subjects, with most scores falling between approximately 60 and 80, and the median scores for all three subjects are fairly close, suggesting consistent performance with a few students scoring much lower than their peers.</w:t>
      </w:r>
    </w:p>
    <w:p w:rsidR="00000000" w:rsidDel="00000000" w:rsidP="00000000" w:rsidRDefault="00000000" w:rsidRPr="00000000" w14:paraId="00000036">
      <w:pPr>
        <w:jc w:val="both"/>
        <w:rPr>
          <w:sz w:val="24"/>
          <w:szCs w:val="24"/>
        </w:rPr>
      </w:pPr>
      <w:r w:rsidDel="00000000" w:rsidR="00000000" w:rsidRPr="00000000">
        <w:rPr>
          <w:sz w:val="24"/>
          <w:szCs w:val="24"/>
          <w:rtl w:val="0"/>
        </w:rPr>
        <w:br w:type="textWrapping"/>
      </w:r>
      <w:r w:rsidDel="00000000" w:rsidR="00000000" w:rsidRPr="00000000">
        <w:rPr>
          <w:sz w:val="24"/>
          <w:szCs w:val="24"/>
        </w:rPr>
        <w:drawing>
          <wp:inline distB="114300" distT="114300" distL="114300" distR="114300">
            <wp:extent cx="2962275" cy="990600"/>
            <wp:effectExtent b="0" l="0" r="0" t="0"/>
            <wp:docPr id="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962275" cy="9906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b w:val="1"/>
          <w:bCs w:val="1"/>
          <w:i w:val="1"/>
          <w:iCs w:val="1"/>
          <w:sz w:val="24"/>
          <w:szCs w:val="24"/>
        </w:rPr>
      </w:pPr>
      <w:r w:rsidDel="00000000" w:rsidR="00000000" w:rsidRPr="00000000">
        <w:rPr>
          <w:b w:val="1"/>
          <w:bCs w:val="1"/>
          <w:i w:val="1"/>
          <w:iCs w:val="1"/>
          <w:sz w:val="24"/>
          <w:szCs w:val="24"/>
          <w:rtl w:val="0"/>
        </w:rPr>
        <w:t xml:space="preserve">Figure 4. Histogram of Math, Reading, and Writing Scores</w:t>
      </w:r>
    </w:p>
    <w:p w:rsidR="00000000" w:rsidDel="00000000" w:rsidP="00000000" w:rsidRDefault="00000000" w:rsidRPr="00000000" w14:paraId="00000038">
      <w:pPr>
        <w:jc w:val="both"/>
        <w:rPr>
          <w:sz w:val="24"/>
          <w:szCs w:val="24"/>
        </w:rPr>
      </w:pPr>
      <w:r w:rsidDel="00000000" w:rsidR="00000000" w:rsidRPr="00000000">
        <w:rPr>
          <w:sz w:val="24"/>
          <w:szCs w:val="24"/>
          <w:rtl w:val="0"/>
        </w:rPr>
        <w:t xml:space="preserve">As can be seen from the figure 4, most of the students scored in the mid to high 60s for each of the three subjects, which stood at 66.09 for math, 69.17 for reading, and 68.05 for writing. The same trend can be supported by the medians fo reach of the tree columns which stood at 66 for math, 70 fo reading, and 69 for writing. The range of each of the distributions appears to be relatively wide, with a standard deviation of approximately 14.6 to 15.2. This suggest that there is a significant variation in the performance of all the students in all the subjects. A small number of students have scored very low in each of the subjects, which is in line with the discussion of the outliers. </w:t>
      </w:r>
    </w:p>
    <w:p w:rsidR="00000000" w:rsidDel="00000000" w:rsidP="00000000" w:rsidRDefault="00000000" w:rsidRPr="00000000" w14:paraId="00000039">
      <w:pPr>
        <w:jc w:val="center"/>
        <w:rPr>
          <w:b w:val="1"/>
          <w:bCs w:val="1"/>
          <w:i w:val="1"/>
          <w:iCs w:val="1"/>
          <w:sz w:val="24"/>
          <w:szCs w:val="24"/>
        </w:rPr>
      </w:pPr>
      <w:r w:rsidDel="00000000" w:rsidR="00000000" w:rsidRPr="00000000">
        <w:rPr>
          <w:sz w:val="24"/>
          <w:szCs w:val="24"/>
        </w:rPr>
        <w:drawing>
          <wp:inline distB="114300" distT="114300" distL="114300" distR="114300">
            <wp:extent cx="2962275" cy="1854200"/>
            <wp:effectExtent b="0" l="0" r="0" t="0"/>
            <wp:docPr id="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962275" cy="1854200"/>
                    </a:xfrm>
                    <a:prstGeom prst="rect"/>
                    <a:ln/>
                  </pic:spPr>
                </pic:pic>
              </a:graphicData>
            </a:graphic>
          </wp:inline>
        </w:drawing>
      </w:r>
      <w:r w:rsidDel="00000000" w:rsidR="00000000" w:rsidRPr="00000000">
        <w:rPr>
          <w:b w:val="1"/>
          <w:bCs w:val="1"/>
          <w:i w:val="1"/>
          <w:iCs w:val="1"/>
          <w:sz w:val="24"/>
          <w:szCs w:val="24"/>
          <w:rtl w:val="0"/>
        </w:rPr>
        <w:t xml:space="preserve">Figure 5. Distributions of Gender</w:t>
      </w:r>
    </w:p>
    <w:p w:rsidR="00000000" w:rsidDel="00000000" w:rsidP="00000000" w:rsidRDefault="00000000" w:rsidRPr="00000000" w14:paraId="0000003A">
      <w:pPr>
        <w:jc w:val="center"/>
        <w:rPr>
          <w:b w:val="1"/>
          <w:bCs w:val="1"/>
          <w:i w:val="1"/>
          <w:iCs w:val="1"/>
          <w:sz w:val="24"/>
          <w:szCs w:val="24"/>
        </w:rPr>
      </w:pPr>
      <w:r w:rsidDel="00000000" w:rsidR="00000000" w:rsidRPr="00000000">
        <w:rPr>
          <w:sz w:val="24"/>
          <w:szCs w:val="24"/>
          <w:rtl w:val="0"/>
        </w:rPr>
        <w:t xml:space="preserve">The graph indicates the number of female and male students. THe total number of female students is 518, which represents 51.8%, and the total number of male students is 482, which represents 48.2%. This will be useful in comparing the performance between gender groups. </w:t>
      </w:r>
      <w:r w:rsidDel="00000000" w:rsidR="00000000" w:rsidRPr="00000000">
        <w:rPr>
          <w:rtl w:val="0"/>
        </w:rPr>
      </w:r>
    </w:p>
    <w:p w:rsidR="00000000" w:rsidDel="00000000" w:rsidP="00000000" w:rsidRDefault="00000000" w:rsidRPr="00000000" w14:paraId="0000003B">
      <w:pPr>
        <w:jc w:val="center"/>
        <w:rPr>
          <w:b w:val="1"/>
          <w:bCs w:val="1"/>
          <w:i w:val="1"/>
          <w:iCs w:val="1"/>
          <w:sz w:val="24"/>
          <w:szCs w:val="24"/>
        </w:rPr>
      </w:pPr>
      <w:r w:rsidDel="00000000" w:rsidR="00000000" w:rsidRPr="00000000">
        <w:rPr>
          <w:b w:val="1"/>
          <w:bCs w:val="1"/>
          <w:i w:val="1"/>
          <w:iCs w:val="1"/>
          <w:sz w:val="24"/>
          <w:szCs w:val="24"/>
        </w:rPr>
        <w:drawing>
          <wp:inline distB="114300" distT="114300" distL="114300" distR="114300">
            <wp:extent cx="2962275" cy="1854200"/>
            <wp:effectExtent b="0" l="0" r="0" t="0"/>
            <wp:docPr id="1"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962275" cy="1854200"/>
                    </a:xfrm>
                    <a:prstGeom prst="rect"/>
                    <a:ln/>
                  </pic:spPr>
                </pic:pic>
              </a:graphicData>
            </a:graphic>
          </wp:inline>
        </w:drawing>
      </w:r>
      <w:r w:rsidDel="00000000" w:rsidR="00000000" w:rsidRPr="00000000">
        <w:rPr>
          <w:b w:val="1"/>
          <w:bCs w:val="1"/>
          <w:i w:val="1"/>
          <w:iCs w:val="1"/>
          <w:sz w:val="24"/>
          <w:szCs w:val="24"/>
          <w:rtl w:val="0"/>
        </w:rPr>
        <w:t xml:space="preserve">Figure 6. Distributions of Test Preparation</w:t>
      </w:r>
    </w:p>
    <w:p w:rsidR="00000000" w:rsidDel="00000000" w:rsidP="00000000" w:rsidRDefault="00000000" w:rsidRPr="00000000" w14:paraId="0000003C">
      <w:pPr>
        <w:jc w:val="center"/>
        <w:rPr>
          <w:sz w:val="24"/>
          <w:szCs w:val="24"/>
        </w:rPr>
      </w:pPr>
      <w:r w:rsidDel="00000000" w:rsidR="00000000" w:rsidRPr="00000000">
        <w:rPr>
          <w:sz w:val="24"/>
          <w:szCs w:val="24"/>
          <w:rtl w:val="0"/>
        </w:rPr>
        <w:t xml:space="preserve">The majority of students did not complete the test preparation course. The number of students in the none group is 642 (64.2%), and in the completed group is 358 (35.8%). This can be taken into accoun in interpreting hypothesis tests for comparisons of these two groups. </w:t>
      </w:r>
    </w:p>
    <w:p w:rsidR="00000000" w:rsidDel="00000000" w:rsidP="00000000" w:rsidRDefault="00000000" w:rsidRPr="00000000" w14:paraId="0000003D">
      <w:pPr>
        <w:jc w:val="center"/>
        <w:rPr>
          <w:b w:val="1"/>
          <w:bCs w:val="1"/>
          <w:i w:val="1"/>
          <w:iCs w:val="1"/>
          <w:sz w:val="24"/>
          <w:szCs w:val="24"/>
        </w:rPr>
      </w:pPr>
      <w:r w:rsidDel="00000000" w:rsidR="00000000" w:rsidRPr="00000000">
        <w:rPr>
          <w:b w:val="1"/>
          <w:bCs w:val="1"/>
          <w:i w:val="1"/>
          <w:iCs w:val="1"/>
          <w:sz w:val="24"/>
          <w:szCs w:val="24"/>
        </w:rPr>
        <w:drawing>
          <wp:inline distB="114300" distT="114300" distL="114300" distR="114300">
            <wp:extent cx="2962275" cy="2120900"/>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962275" cy="2120900"/>
                    </a:xfrm>
                    <a:prstGeom prst="rect"/>
                    <a:ln/>
                  </pic:spPr>
                </pic:pic>
              </a:graphicData>
            </a:graphic>
          </wp:inline>
        </w:drawing>
      </w:r>
      <w:r w:rsidDel="00000000" w:rsidR="00000000" w:rsidRPr="00000000">
        <w:rPr>
          <w:b w:val="1"/>
          <w:bCs w:val="1"/>
          <w:i w:val="1"/>
          <w:iCs w:val="1"/>
          <w:sz w:val="24"/>
          <w:szCs w:val="24"/>
          <w:rtl w:val="0"/>
        </w:rPr>
        <w:t xml:space="preserve">Figure 7. Scatterplot of Math Score vs Reading Score</w:t>
      </w:r>
    </w:p>
    <w:p w:rsidR="00000000" w:rsidDel="00000000" w:rsidP="00000000" w:rsidRDefault="00000000" w:rsidRPr="00000000" w14:paraId="0000003E">
      <w:pPr>
        <w:jc w:val="both"/>
        <w:rPr>
          <w:b w:val="1"/>
          <w:bCs w:val="1"/>
          <w:i w:val="1"/>
          <w:iCs w:val="1"/>
          <w:sz w:val="24"/>
          <w:szCs w:val="24"/>
        </w:rPr>
      </w:pPr>
      <w:r w:rsidDel="00000000" w:rsidR="00000000" w:rsidRPr="00000000">
        <w:rPr>
          <w:i w:val="1"/>
          <w:iCs w:val="1"/>
          <w:sz w:val="24"/>
          <w:szCs w:val="24"/>
          <w:rtl w:val="0"/>
        </w:rPr>
        <w:t xml:space="preserve">Figure 7 shows that there is a strong positive linear association between math and reading scores. If a student performs well in math, it is likely it also performs well in reading. Moreover, the Pearson correlation coefficient of the two 0.818, showing that there is a strong linear association between these two scores.</w:t>
      </w:r>
      <w:r w:rsidDel="00000000" w:rsidR="00000000" w:rsidRPr="00000000">
        <w:rPr>
          <w:b w:val="1"/>
          <w:bCs w:val="1"/>
          <w:i w:val="1"/>
          <w:iCs w:val="1"/>
          <w:sz w:val="24"/>
          <w:szCs w:val="24"/>
        </w:rPr>
        <w:drawing>
          <wp:inline distB="114300" distT="114300" distL="114300" distR="114300">
            <wp:extent cx="2962275" cy="2120900"/>
            <wp:effectExtent b="0" l="0" r="0" t="0"/>
            <wp:docPr id="3"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2962275" cy="2120900"/>
                    </a:xfrm>
                    <a:prstGeom prst="rect"/>
                    <a:ln/>
                  </pic:spPr>
                </pic:pic>
              </a:graphicData>
            </a:graphic>
          </wp:inline>
        </w:drawing>
      </w:r>
      <w:r w:rsidDel="00000000" w:rsidR="00000000" w:rsidRPr="00000000">
        <w:rPr>
          <w:b w:val="1"/>
          <w:bCs w:val="1"/>
          <w:i w:val="1"/>
          <w:iCs w:val="1"/>
          <w:sz w:val="24"/>
          <w:szCs w:val="24"/>
          <w:rtl w:val="0"/>
        </w:rPr>
        <w:t xml:space="preserve">Figure 8. Scatterplot of Math Score vs Writing Score</w:t>
      </w:r>
    </w:p>
    <w:p w:rsidR="00000000" w:rsidDel="00000000" w:rsidP="00000000" w:rsidRDefault="00000000" w:rsidRPr="00000000" w14:paraId="0000003F">
      <w:pPr>
        <w:jc w:val="both"/>
        <w:rPr>
          <w:b w:val="1"/>
          <w:bCs w:val="1"/>
          <w:i w:val="1"/>
          <w:iCs w:val="1"/>
          <w:sz w:val="24"/>
          <w:szCs w:val="24"/>
        </w:rPr>
      </w:pPr>
      <w:r w:rsidDel="00000000" w:rsidR="00000000" w:rsidRPr="00000000">
        <w:rPr>
          <w:sz w:val="24"/>
          <w:szCs w:val="24"/>
          <w:rtl w:val="0"/>
        </w:rPr>
        <w:t xml:space="preserve">Figure 8 also shows a strong positive linear association between math and writing scores. If a student performs well in math, it is likely that it is also performing well in writing. Furthermore, the Pearson correlation coefficient of math and writing is 0.803, showing that there is a strong linear association between these two scores. </w:t>
      </w:r>
      <w:r w:rsidDel="00000000" w:rsidR="00000000" w:rsidRPr="00000000">
        <w:rPr>
          <w:b w:val="1"/>
          <w:bCs w:val="1"/>
          <w:i w:val="1"/>
          <w:iCs w:val="1"/>
          <w:sz w:val="24"/>
          <w:szCs w:val="24"/>
        </w:rPr>
        <w:drawing>
          <wp:inline distB="114300" distT="114300" distL="114300" distR="114300">
            <wp:extent cx="2962275" cy="2120900"/>
            <wp:effectExtent b="0" l="0" r="0" t="0"/>
            <wp:docPr id="6"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962275" cy="2120900"/>
                    </a:xfrm>
                    <a:prstGeom prst="rect"/>
                    <a:ln/>
                  </pic:spPr>
                </pic:pic>
              </a:graphicData>
            </a:graphic>
          </wp:inline>
        </w:drawing>
      </w:r>
      <w:r w:rsidDel="00000000" w:rsidR="00000000" w:rsidRPr="00000000">
        <w:rPr>
          <w:b w:val="1"/>
          <w:bCs w:val="1"/>
          <w:i w:val="1"/>
          <w:iCs w:val="1"/>
          <w:sz w:val="24"/>
          <w:szCs w:val="24"/>
          <w:rtl w:val="0"/>
        </w:rPr>
        <w:t xml:space="preserve">Figure 9. Scatterplot of Reading Score vs Writing Score</w:t>
      </w:r>
    </w:p>
    <w:p w:rsidR="00000000" w:rsidDel="00000000" w:rsidP="00000000" w:rsidRDefault="00000000" w:rsidRPr="00000000" w14:paraId="00000040">
      <w:pPr>
        <w:jc w:val="both"/>
        <w:rPr>
          <w:sz w:val="24"/>
          <w:szCs w:val="24"/>
        </w:rPr>
      </w:pPr>
      <w:r w:rsidDel="00000000" w:rsidR="00000000" w:rsidRPr="00000000">
        <w:rPr>
          <w:sz w:val="24"/>
          <w:szCs w:val="24"/>
          <w:rtl w:val="0"/>
        </w:rPr>
        <w:t xml:space="preserve">Figure 9 also shows a strong positive linear association between the scores. In addition, the association between the two is the strongest compared to Figure 7 and Figure 8. The Pearson correlation coefficient of reading and writing is 0.955. </w:t>
      </w:r>
    </w:p>
    <w:p w:rsidR="00000000" w:rsidDel="00000000" w:rsidP="00000000" w:rsidRDefault="00000000" w:rsidRPr="00000000" w14:paraId="00000041">
      <w:pPr>
        <w:jc w:val="both"/>
        <w:rPr>
          <w:sz w:val="24"/>
          <w:szCs w:val="24"/>
        </w:rPr>
      </w:pPr>
      <w:r w:rsidDel="00000000" w:rsidR="00000000" w:rsidRPr="00000000">
        <w:rPr>
          <w:rtl w:val="0"/>
        </w:rPr>
      </w:r>
    </w:p>
    <w:p w:rsidR="00000000" w:rsidDel="00000000" w:rsidP="00000000" w:rsidRDefault="00000000" w:rsidRPr="00000000" w14:paraId="00000042">
      <w:pPr>
        <w:jc w:val="both"/>
        <w:rPr>
          <w:sz w:val="24"/>
          <w:szCs w:val="24"/>
        </w:rPr>
      </w:pPr>
      <w:r w:rsidDel="00000000" w:rsidR="00000000" w:rsidRPr="00000000">
        <w:rPr>
          <w:sz w:val="24"/>
          <w:szCs w:val="24"/>
          <w:rtl w:val="0"/>
        </w:rPr>
        <w:t xml:space="preserve">The data set has 1000 data points and 8 variables, with five categorical variables (gender, race/ethnicity, parental level of education, lunch, and test preparation course) and three numeric variables (math, reading, and writing scores). The descriptive statistics reveal similar average performance in all three subjects, with reading scores slightly higher than writing and math scores. The histogram (Figure 4) represents the distributions of scores, and the barcharts (Figures 5-6) provide an overview of the essential categorical variables. The scatter plots (Figure 7-9) illustrate strong positive correlation between the numeric variables, indicating students who perform better in one subject tend to perform better in another. </w:t>
      </w:r>
    </w:p>
    <w:p w:rsidR="00000000" w:rsidDel="00000000" w:rsidP="00000000" w:rsidRDefault="00000000" w:rsidRPr="00000000" w14:paraId="00000043">
      <w:pPr>
        <w:jc w:val="both"/>
        <w:rPr>
          <w:sz w:val="24"/>
          <w:szCs w:val="24"/>
        </w:rPr>
      </w:pPr>
      <w:r w:rsidDel="00000000" w:rsidR="00000000" w:rsidRPr="00000000">
        <w:rPr>
          <w:rtl w:val="0"/>
        </w:rPr>
      </w:r>
    </w:p>
    <w:sectPr>
      <w:headerReference r:id="rId18" w:type="default"/>
      <w:headerReference r:id="rId19" w:type="first"/>
      <w:footerReference r:id="rId20" w:type="first"/>
      <w:pgSz w:h="15840" w:w="12240" w:orient="portrait"/>
      <w:pgMar w:bottom="1440" w:top="1440" w:left="850.3937007874016" w:right="1440" w:header="720" w:footer="720"/>
      <w:pgNumType w:start="1"/>
      <w:cols w:equalWidth="0" w:num="2">
        <w:col w:space="610.3499999999999" w:w="4669.62"/>
        <w:col w:space="0" w:w="4669.62"/>
      </w:cols>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jc w:val="center"/>
      <w:rPr>
        <w:b w:val="1"/>
        <w:bCs w:val="1"/>
        <w:sz w:val="28"/>
        <w:szCs w:val="28"/>
      </w:rPr>
    </w:pPr>
    <w:r w:rsidDel="00000000" w:rsidR="00000000" w:rsidRPr="00000000">
      <w:rPr>
        <w:rtl w:val="0"/>
      </w:rPr>
    </w:r>
  </w:p>
  <w:p w:rsidR="00000000" w:rsidDel="00000000" w:rsidP="00000000" w:rsidRDefault="00000000" w:rsidRPr="00000000" w14:paraId="00000045">
    <w:pPr>
      <w:jc w:val="center"/>
      <w:rPr>
        <w:b w:val="1"/>
        <w:bCs w:val="1"/>
        <w:sz w:val="28"/>
        <w:szCs w:val="28"/>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jc w:val="center"/>
      <w:rPr>
        <w:b w:val="1"/>
        <w:bCs w:val="1"/>
        <w:sz w:val="28"/>
        <w:szCs w:val="28"/>
      </w:rPr>
    </w:pPr>
    <w:r w:rsidDel="00000000" w:rsidR="00000000" w:rsidRPr="00000000">
      <w:rPr>
        <w:b w:val="1"/>
        <w:bCs w:val="1"/>
        <w:sz w:val="28"/>
        <w:szCs w:val="28"/>
        <w:rtl w:val="0"/>
      </w:rPr>
      <w:t xml:space="preserve">Exploratory Data Analysis (EDA) of Student Performance in Exams: Kaggle Dataset </w:t>
    </w:r>
  </w:p>
  <w:p w:rsidR="00000000" w:rsidDel="00000000" w:rsidP="00000000" w:rsidRDefault="00000000" w:rsidRPr="00000000" w14:paraId="00000047">
    <w:pPr>
      <w:jc w:val="center"/>
      <w:rPr>
        <w:b w:val="1"/>
        <w:bCs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i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3.png"/><Relationship Id="rId10" Type="http://schemas.openxmlformats.org/officeDocument/2006/relationships/hyperlink" Target="http://parental.level.of" TargetMode="External"/><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parental.level.of" TargetMode="External"/><Relationship Id="rId15" Type="http://schemas.openxmlformats.org/officeDocument/2006/relationships/image" Target="media/image1.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4.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hyperlink" Target="http://parental.level.of" TargetMode="External"/><Relationship Id="rId18" Type="http://schemas.openxmlformats.org/officeDocument/2006/relationships/header" Target="header1.xml"/><Relationship Id="rId7" Type="http://schemas.openxmlformats.org/officeDocument/2006/relationships/hyperlink" Target="http://parental.level.of" TargetMode="External"/><Relationship Id="rId8" Type="http://schemas.openxmlformats.org/officeDocument/2006/relationships/hyperlink" Target="http://parental.level.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