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C447C"/>
          <w:sz w:val="32"/>
          <w:szCs w:val="32"/>
        </w:rPr>
        <w:t xml:space="preserve">Telecom Customer Insights &amp; Retention Analysis</w:t>
      </w:r>
    </w:p>
    <w:p>
      <w:pPr>
        <w:spacing w:after="200"/>
      </w:pPr>
      <w:r>
        <w:rPr>
          <w:i/>
          <w:iCs/>
          <w:color w:val="5B5B5B"/>
          <w:sz w:val="20"/>
          <w:szCs w:val="20"/>
        </w:rPr>
        <w:t xml:space="preserve">Business Recommendations — Based on Customer Churn Analysis (7,043 customers, IBM Telco dataset)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Overview:  </w:t>
      </w:r>
      <w:r>
        <w:rPr>
          <w:color w:val="3A3A3A"/>
          <w:sz w:val="20"/>
          <w:szCs w:val="20"/>
        </w:rPr>
        <w:t xml:space="preserve">Overall churn rate stands at 26.5%. Analysis of contract type, tenure, pricing, support services, and payment method identified clear, actionable drivers of churn. The recommendations below target the highest-impact customer segments to reduce churn and improve retention.</w:t>
      </w:r>
    </w:p>
    <w:tbl>
      <w:tblPr>
        <w:tblW w:type="dxa" w:w="936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E0E0E0" w:sz="4"/>
          <w:insideV w:val="single" w:color="E0E0E0" w:sz="4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C447C"/>
                <w:sz w:val="21"/>
                <w:szCs w:val="21"/>
              </w:rPr>
              <w:t xml:space="preserve">Convert month-to-month customers to annual contracts</w:t>
            </w:r>
          </w:p>
          <w:p>
            <w:pPr>
              <w:spacing w:after="40"/>
            </w:pPr>
            <w:r>
              <w:rPr>
                <w:b/>
                <w:bCs/>
                <w:color w:val="444441"/>
                <w:sz w:val="19"/>
                <w:szCs w:val="19"/>
              </w:rPr>
              <w:t xml:space="preserve">Finding: </w:t>
            </w:r>
            <w:r>
              <w:rPr>
                <w:color w:val="444441"/>
                <w:sz w:val="19"/>
                <w:szCs w:val="19"/>
              </w:rPr>
              <w:t xml:space="preserve">Month-to-month churn is 42.7%, versus 11.3% for one-year and 2.8% for two-year contracts.</w:t>
            </w:r>
          </w:p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Recommendation: </w:t>
            </w:r>
            <w:r>
              <w:rPr>
                <w:color w:val="1A1A1A"/>
                <w:sz w:val="19"/>
                <w:szCs w:val="19"/>
              </w:rPr>
              <w:t xml:space="preserve">Offer a limited-time discount or bonus data/perks for switching to a 1- or 2-year plan, targeted at month-to-month customers in their first year.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C447C"/>
                <w:sz w:val="21"/>
                <w:szCs w:val="21"/>
              </w:rPr>
              <w:t xml:space="preserve">Strengthen onboarding in the first 12 months</w:t>
            </w:r>
          </w:p>
          <w:p>
            <w:pPr>
              <w:spacing w:after="40"/>
            </w:pPr>
            <w:r>
              <w:rPr>
                <w:b/>
                <w:bCs/>
                <w:color w:val="444441"/>
                <w:sz w:val="19"/>
                <w:szCs w:val="19"/>
              </w:rPr>
              <w:t xml:space="preserve">Finding: </w:t>
            </w:r>
            <w:r>
              <w:rPr>
                <w:color w:val="444441"/>
                <w:sz w:val="19"/>
                <w:szCs w:val="19"/>
              </w:rPr>
              <w:t xml:space="preserve">New customers (0-12 months tenure) churn at 47.7%, dropping sharply as tenure increases.</w:t>
            </w:r>
          </w:p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Recommendation: </w:t>
            </w:r>
            <w:r>
              <w:rPr>
                <w:color w:val="1A1A1A"/>
                <w:sz w:val="19"/>
                <w:szCs w:val="19"/>
              </w:rPr>
              <w:t xml:space="preserve">Introduce a structured onboarding journey — 30/60/90-day check-ins, proactive support outreach, or an early-tenure loyalty incentive — to get customers past the highest-risk window.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C447C"/>
                <w:sz w:val="21"/>
                <w:szCs w:val="21"/>
              </w:rPr>
              <w:t xml:space="preserve">Bundle support services for at-risk customers</w:t>
            </w:r>
          </w:p>
          <w:p>
            <w:pPr>
              <w:spacing w:after="40"/>
            </w:pPr>
            <w:r>
              <w:rPr>
                <w:b/>
                <w:bCs/>
                <w:color w:val="444441"/>
                <w:sz w:val="19"/>
                <w:szCs w:val="19"/>
              </w:rPr>
              <w:t xml:space="preserve">Finding: </w:t>
            </w:r>
            <w:r>
              <w:rPr>
                <w:color w:val="444441"/>
                <w:sz w:val="19"/>
                <w:szCs w:val="19"/>
              </w:rPr>
              <w:t xml:space="preserve">Customers without Tech Support or Online Security churn at ~42%, versus ~15% for those who have either service.</w:t>
            </w:r>
          </w:p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Recommendation: </w:t>
            </w:r>
            <w:r>
              <w:rPr>
                <w:color w:val="1A1A1A"/>
                <w:sz w:val="19"/>
                <w:szCs w:val="19"/>
              </w:rPr>
              <w:t xml:space="preserve">Offer a free trial of tech support/security add-ons for at-risk segments, especially High-Risk New and Price-Sensitive At-Risk customers, to increase perceived value and stickiness.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C447C"/>
                <w:sz w:val="21"/>
                <w:szCs w:val="21"/>
              </w:rPr>
              <w:t xml:space="preserve">Address price sensitivity at high charge tiers</w:t>
            </w:r>
          </w:p>
          <w:p>
            <w:pPr>
              <w:spacing w:after="40"/>
            </w:pPr>
            <w:r>
              <w:rPr>
                <w:b/>
                <w:bCs/>
                <w:color w:val="444441"/>
                <w:sz w:val="19"/>
                <w:szCs w:val="19"/>
              </w:rPr>
              <w:t xml:space="preserve">Finding: </w:t>
            </w:r>
            <w:r>
              <w:rPr>
                <w:color w:val="444441"/>
                <w:sz w:val="19"/>
                <w:szCs w:val="19"/>
              </w:rPr>
              <w:t xml:space="preserve">Churn peaks at $70-90/month (37.8%), the highest of any monthly charge bracket.</w:t>
            </w:r>
          </w:p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Recommendation: </w:t>
            </w:r>
            <w:r>
              <w:rPr>
                <w:color w:val="1A1A1A"/>
                <w:sz w:val="19"/>
                <w:szCs w:val="19"/>
              </w:rPr>
              <w:t xml:space="preserve">Review pricing and value perception at this tier specifically; consider loyalty pricing, added perks, or tiered retention offers rather than blanket discounts.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C447C"/>
                <w:sz w:val="21"/>
                <w:szCs w:val="21"/>
              </w:rPr>
              <w:t xml:space="preserve">Encourage auto-pay adoption</w:t>
            </w:r>
          </w:p>
          <w:p>
            <w:pPr>
              <w:spacing w:after="40"/>
            </w:pPr>
            <w:r>
              <w:rPr>
                <w:b/>
                <w:bCs/>
                <w:color w:val="444441"/>
                <w:sz w:val="19"/>
                <w:szCs w:val="19"/>
              </w:rPr>
              <w:t xml:space="preserve">Finding: </w:t>
            </w:r>
            <w:r>
              <w:rPr>
                <w:color w:val="444441"/>
                <w:sz w:val="19"/>
                <w:szCs w:val="19"/>
              </w:rPr>
              <w:t xml:space="preserve">Electronic check users churn at 45.3%, versus 15-17% for automatic bank transfer or credit card users.</w:t>
            </w:r>
          </w:p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Recommendation: </w:t>
            </w:r>
            <w:r>
              <w:rPr>
                <w:color w:val="1A1A1A"/>
                <w:sz w:val="19"/>
                <w:szCs w:val="19"/>
              </w:rPr>
              <w:t xml:space="preserve">Promote auto-pay sign-up with a small discount or incentive — a low-cost switch that correlates strongly with retention.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0C447C"/>
                <w:sz w:val="21"/>
                <w:szCs w:val="21"/>
              </w:rPr>
              <w:t xml:space="preserve">Prioritize retention resources on the two riskiest segments</w:t>
            </w:r>
          </w:p>
          <w:p>
            <w:pPr>
              <w:spacing w:after="40"/>
            </w:pPr>
            <w:r>
              <w:rPr>
                <w:b/>
                <w:bCs/>
                <w:color w:val="444441"/>
                <w:sz w:val="19"/>
                <w:szCs w:val="19"/>
              </w:rPr>
              <w:t xml:space="preserve">Finding: </w:t>
            </w:r>
            <w:r>
              <w:rPr>
                <w:color w:val="444441"/>
                <w:sz w:val="19"/>
                <w:szCs w:val="19"/>
              </w:rPr>
              <w:t xml:space="preserve">High-Risk New (59% churn) and Price-Sensitive At-Risk (43% churn) together make up about 38% of the customer base.</w:t>
            </w:r>
          </w:p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Recommendation: </w:t>
            </w:r>
            <w:r>
              <w:rPr>
                <w:color w:val="1A1A1A"/>
                <w:sz w:val="19"/>
                <w:szCs w:val="19"/>
              </w:rPr>
              <w:t xml:space="preserve">Focus retention campaigns on these two segments first — the highest impact per dollar spent, since they are both large and highly actionable.</w:t>
            </w:r>
          </w:p>
        </w:tc>
      </w:tr>
    </w:tbl>
    <w:p>
      <w:pPr>
        <w:pBdr>
          <w:top w:val="single" w:color="D0D0D0" w:sz="4" w:space="4"/>
        </w:pBdr>
        <w:spacing w:before="260"/>
      </w:pPr>
      <w:r>
        <w:rPr>
          <w:i/>
          <w:iCs/>
          <w:color w:val="8A8A8A"/>
          <w:sz w:val="16"/>
          <w:szCs w:val="16"/>
        </w:rPr>
        <w:t xml:space="preserve">Prepared by Tanjina Faria  |  Data source: IBM Telco Customer Churn dataset  |  Full analysis, dashboard, and code: github.com/tanjina1261/telecom-customer-churn-analysis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2026-09-09T07:41:49.852Z</dcterms:created>
  <dcterms:modified xsi:type="dcterms:W3CDTF">2026-09-09T07:41:49.864Z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