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b44adc2a36fddbf178ec75450a6a8506b8c7630"/>
      <w:r>
        <w:t xml:space="preserve">Relay — AI Agent &amp; Knowledge Subsystem "Aide" (RFC-003)</w:t>
      </w:r>
      <w:bookmarkEnd w:id="20"/>
    </w:p>
    <w:p>
      <w:pPr>
        <w:pStyle w:val="FirstParagraph"/>
      </w:pPr>
      <w:r>
        <w:rPr>
          <w:i/>
        </w:rPr>
        <w:t xml:space="preserve">Status: Draft · Author: Architecture WG · Date: 2026-07-22</w:t>
      </w:r>
      <w:r>
        <w:t xml:space="preserve"> </w:t>
      </w:r>
      <w:r>
        <w:rPr>
          <w:i/>
        </w:rPr>
        <w:t xml:space="preserve">One-line summary: The autonomous support agent (Fin-equivalent) and agent-facing Copilot: ingestion → hybrid retrieval → orchestrated generation with guardrails, actions and procedures, a resolution/billing definition, and an eval loop — designed as a worker-tier subsystem, not a separate platform.</w:t>
      </w:r>
    </w:p>
    <w:p>
      <w:pPr>
        <w:pStyle w:val="BodyText"/>
      </w:pPr>
      <w:r>
        <w:t xml:space="preserve">Companion docs: RFC-001 (runs in the</w:t>
      </w:r>
      <w:r>
        <w:t xml:space="preserve"> </w:t>
      </w:r>
      <w:r>
        <w:rPr>
          <w:rStyle w:val="VerbatimChar"/>
        </w:rPr>
        <w:t xml:space="preserve">ai.*</w:t>
      </w:r>
      <w:r>
        <w:t xml:space="preserve"> </w:t>
      </w:r>
      <w:r>
        <w:t xml:space="preserve">worker queues; provider resilience posture), RFC-002 (§5.5 owns the storage), RFC-000 (Aide roadmap per phase).</w:t>
      </w:r>
    </w:p>
    <w:p>
      <w:pPr>
        <w:pStyle w:val="Heading2"/>
      </w:pPr>
      <w:bookmarkStart w:id="21" w:name="X265e01035c77579affd9814daddafe9b19e1359"/>
      <w:r>
        <w:t xml:space="preserve">1. Context &amp; problem</w:t>
      </w:r>
      <w:bookmarkEnd w:id="21"/>
    </w:p>
    <w:p>
      <w:pPr>
        <w:pStyle w:val="FirstParagraph"/>
      </w:pPr>
      <w:r>
        <w:t xml:space="preserve">Aide must (a) resolve a majority of eligible inbound conversations without a human, (b) never dead-end a customer, (c) stay strictly inside each tenant's knowledge and policy boundary, and (d) make money at ≈$0.99/resolution pricing. The engineering problem is less "call an LLM" than: retrieval quality, orchestration under multi-second latencies, tenant isolation, injection-resistant tool use, and</w:t>
      </w:r>
      <w:r>
        <w:t xml:space="preserve"> </w:t>
      </w:r>
      <w:r>
        <w:rPr>
          <w:b/>
        </w:rPr>
        <w:t xml:space="preserve">measurement</w:t>
      </w:r>
      <w:r>
        <w:t xml:space="preserve"> </w:t>
      </w:r>
      <w:r>
        <w:t xml:space="preserve">— you cannot sell a resolution rate you cannot measure.</w:t>
      </w:r>
    </w:p>
    <w:p>
      <w:pPr>
        <w:pStyle w:val="BodyText"/>
      </w:pPr>
      <w:r>
        <w:t xml:space="preserve">Treat LLM providers as slow, flaky, expensive, rate-limited dependencies (RFC-001 §9 posture) and design the subsystem so a model outage degrades to "a human answers," never to silence.</w:t>
      </w:r>
    </w:p>
    <w:p>
      <w:pPr>
        <w:pStyle w:val="Heading2"/>
      </w:pPr>
      <w:bookmarkStart w:id="22" w:name="X5f1bc8ab395b2550c3cf440f0eef85e6a1f6e03"/>
      <w:r>
        <w:t xml:space="preserve">2. Goals / non-goals</w:t>
      </w:r>
      <w:bookmarkEnd w:id="22"/>
    </w:p>
    <w:p>
      <w:pPr>
        <w:pStyle w:val="FirstParagraph"/>
      </w:pPr>
      <w:r>
        <w:rPr>
          <w:b/>
        </w:rPr>
        <w:t xml:space="preserve">Goals:</w:t>
      </w:r>
      <w:r>
        <w:t xml:space="preserve"> </w:t>
      </w:r>
      <w:r>
        <w:t xml:space="preserve">≥35% resolution on eligible traffic at phase-1 exit, ≥50% at phase-2 (RFC-000 gates); first streamed token p95 &lt; 3 s; per-conversation model cost ≤ $0.05 p90; every answer grounded in tenant sources with citations; all tool side effects idempotent and audited; per-tenant evals runnable before any prompt/model change ships.</w:t>
      </w:r>
    </w:p>
    <w:p>
      <w:pPr>
        <w:pStyle w:val="BodyText"/>
      </w:pPr>
      <w:r>
        <w:rPr>
          <w:b/>
        </w:rPr>
        <w:t xml:space="preserve">Non-goals (≤ phase 3):</w:t>
      </w:r>
      <w:r>
        <w:t xml:space="preserve"> </w:t>
      </w:r>
      <w:r>
        <w:t xml:space="preserve">training/fine-tuning custom models (prompted frontier models + retrieval win on iteration speed); voice pipeline internals (phase 3 doc); fully autonomous multi-turn</w:t>
      </w:r>
      <w:r>
        <w:t xml:space="preserve"> </w:t>
      </w:r>
      <w:r>
        <w:rPr>
          <w:i/>
        </w:rPr>
        <w:t xml:space="preserve">actions</w:t>
      </w:r>
      <w:r>
        <w:t xml:space="preserve"> </w:t>
      </w:r>
      <w:r>
        <w:t xml:space="preserve">without an allowlist (never a goal, actually).</w:t>
      </w:r>
    </w:p>
    <w:p>
      <w:pPr>
        <w:pStyle w:val="Heading2"/>
      </w:pPr>
      <w:bookmarkStart w:id="23" w:name="X43c0f9050e0a111ee33804b762f4b8fe9e21313"/>
      <w:r>
        <w:t xml:space="preserve">3. Architecture overview</w:t>
      </w:r>
      <w:bookmarkEnd w:id="23"/>
    </w:p>
    <w:p>
      <w:pPr>
        <w:pStyle w:val="FirstParagraph"/>
      </w:pPr>
      <w:r>
        <w:t xml:space="preserve">Aide is</w:t>
      </w:r>
      <w:r>
        <w:t xml:space="preserve"> </w:t>
      </w:r>
      <w:r>
        <w:rPr>
          <w:b/>
        </w:rPr>
        <w:t xml:space="preserve">stateless orchestration code in the worker tier</w:t>
      </w:r>
      <w:r>
        <w:t xml:space="preserve"> </w:t>
      </w:r>
      <w:r>
        <w:t xml:space="preserve">over state in Postgres/Redis — no separate "AI platform" service (RFC-001 §6.1 rationale; the module seam exists if it ever earns independence).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Ingestion [Knowledge ingestion - async]</w:t>
      </w:r>
      <w:r>
        <w:br/>
      </w:r>
      <w:r>
        <w:rPr>
          <w:rStyle w:val="VerbatimChar"/>
        </w:rPr>
        <w:t xml:space="preserve">    SRC[Articles · PDFs · URL sync ·&lt;br/&gt;snippets · custom answers] --&gt; NORM[Normalize + clean]</w:t>
      </w:r>
      <w:r>
        <w:br/>
      </w:r>
      <w:r>
        <w:rPr>
          <w:rStyle w:val="VerbatimChar"/>
        </w:rPr>
        <w:t xml:space="preserve">    NORM --&gt; CHUNK[Semantic chunking&lt;br/&gt;400-800 tok, heading-aware]</w:t>
      </w:r>
      <w:r>
        <w:br/>
      </w:r>
      <w:r>
        <w:rPr>
          <w:rStyle w:val="VerbatimChar"/>
        </w:rPr>
        <w:t xml:space="preserve">    CHUNK --&gt; EMB[Batch embed&lt;br/&gt;versioned model] --&gt; CC[(content_chunks&lt;br/&gt;halfvec + tsv)]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Turn [Per conversation turn - ai.interactive queue]</w:t>
      </w:r>
      <w:r>
        <w:br/>
      </w:r>
      <w:r>
        <w:rPr>
          <w:rStyle w:val="VerbatimChar"/>
        </w:rPr>
        <w:t xml:space="preserve">    MSG[Customer message&lt;br/&gt;via outbox] --&gt; PRE[Preflight: language,&lt;br/&gt;eligibility, safety class&lt;br/&gt;small model, sub-400ms]</w:t>
      </w:r>
      <w:r>
        <w:br/>
      </w:r>
      <w:r>
        <w:rPr>
          <w:rStyle w:val="VerbatimChar"/>
        </w:rPr>
        <w:t xml:space="preserve">    PRE --&gt; RET[Hybrid retrieval&lt;br/&gt;RRF: vector + FTS&lt;br/&gt;RFC-002 App. B]</w:t>
      </w:r>
      <w:r>
        <w:br/>
      </w:r>
      <w:r>
        <w:rPr>
          <w:rStyle w:val="VerbatimChar"/>
        </w:rPr>
        <w:t xml:space="preserve">    RET --&gt; GATE{Grounding&lt;br/&gt;sufficient?}</w:t>
      </w:r>
      <w:r>
        <w:br/>
      </w:r>
      <w:r>
        <w:rPr>
          <w:rStyle w:val="VerbatimChar"/>
        </w:rPr>
        <w:t xml:space="preserve">    GATE -- no --&gt; CLAR[Clarify once&lt;br/&gt;or handoff]</w:t>
      </w:r>
      <w:r>
        <w:br/>
      </w:r>
      <w:r>
        <w:rPr>
          <w:rStyle w:val="VerbatimChar"/>
        </w:rPr>
        <w:t xml:space="preserve">    GATE -- yes --&gt; GEN[Generate, streamed&lt;br/&gt;frontier model&lt;br/&gt;+ citations]</w:t>
      </w:r>
      <w:r>
        <w:br/>
      </w:r>
      <w:r>
        <w:rPr>
          <w:rStyle w:val="VerbatimChar"/>
        </w:rPr>
        <w:t xml:space="preserve">    GEN --&gt; VER[Verify: groundedness +&lt;br/&gt;policy + PII filters]</w:t>
      </w:r>
      <w:r>
        <w:br/>
      </w:r>
      <w:r>
        <w:rPr>
          <w:rStyle w:val="VerbatimChar"/>
        </w:rPr>
        <w:t xml:space="preserve">    VER --&gt; ACT{Needs&lt;br/&gt;action/procedure?}</w:t>
      </w:r>
      <w:r>
        <w:br/>
      </w:r>
      <w:r>
        <w:rPr>
          <w:rStyle w:val="VerbatimChar"/>
        </w:rPr>
        <w:t xml:space="preserve">    ACT -- yes --&gt; TOOLS[Allowlisted tool loop&lt;br/&gt;SSRF-proxied, idempotent]</w:t>
      </w:r>
      <w:r>
        <w:br/>
      </w:r>
      <w:r>
        <w:rPr>
          <w:rStyle w:val="VerbatimChar"/>
        </w:rPr>
        <w:t xml:space="preserve">    TOOLS --&gt; GEN</w:t>
      </w:r>
      <w:r>
        <w:br/>
      </w:r>
      <w:r>
        <w:rPr>
          <w:rStyle w:val="VerbatimChar"/>
        </w:rPr>
        <w:t xml:space="preserve">    ACT -- no --&gt; OUT[Stream to customer&lt;br/&gt;via gateway]</w:t>
      </w:r>
      <w:r>
        <w:br/>
      </w:r>
      <w:r>
        <w:rPr>
          <w:rStyle w:val="VerbatimChar"/>
        </w:rPr>
        <w:t xml:space="preserve">    CLAR --&gt; OUT</w:t>
      </w:r>
      <w:r>
        <w:br/>
      </w:r>
      <w:r>
        <w:rPr>
          <w:rStyle w:val="VerbatimChar"/>
        </w:rPr>
        <w:t xml:space="preserve">    OUT --&gt; LEDGER[(agent_runs:&lt;br/&gt;retrieval set, tokens,&lt;br/&gt;cost, outcome)]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CC --&gt; RET</w:t>
      </w:r>
    </w:p>
    <w:p>
      <w:pPr>
        <w:pStyle w:val="FirstParagraph"/>
      </w:pPr>
      <w:r>
        <w:t xml:space="preserve">Every turn writes an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row (retrieved chunk ids + scores, prompts hash, model, token counts, cost, outcome, latency breakdown) — the substrate for analytics, billing, debugging, and evals. Nothing about a turn is unreproducible.</w:t>
      </w:r>
    </w:p>
    <w:p>
      <w:pPr>
        <w:pStyle w:val="Heading2"/>
      </w:pPr>
      <w:bookmarkStart w:id="24" w:name="Xa4c8976af63dea2b6cb7efa77055064ed6a5f3e"/>
      <w:r>
        <w:t xml:space="preserve">4. Retrieval quality (where resolution rate actually lives)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Ingestion:</w:t>
      </w:r>
      <w:r>
        <w:t xml:space="preserve"> </w:t>
      </w:r>
      <w:r>
        <w:t xml:space="preserve">normalize to clean text blocks (strip nav/boilerplate on URL sync; OCR fallback for PDFs); heading-aware semantic chunking 400–800 tokens with 10–15% overlap; chunk metadata carries source, locale, audience filters, freshness. Re-sync diffs re-embed only changed chunks.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Hybrid retrieval:</w:t>
      </w:r>
      <w:r>
        <w:t xml:space="preserve"> </w:t>
      </w:r>
      <w:r>
        <w:t xml:space="preserve">pgvector ANN + Postgres FTS fused with reciprocal-rank fusion (query shape in RFC-002 Appendix B); filters: workspace (hard, RLS-backed), locale, audience. Top-40 oversample → optional</w:t>
      </w:r>
      <w:r>
        <w:t xml:space="preserve"> </w:t>
      </w:r>
      <w:r>
        <w:rPr>
          <w:b/>
        </w:rPr>
        <w:t xml:space="preserve">rerank</w:t>
      </w:r>
      <w:r>
        <w:t xml:space="preserve"> </w:t>
      </w:r>
      <w:r>
        <w:t xml:space="preserve">(small cross-encoder-style scoring via cheap LLM) → top 6–10 into context.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 answers</w:t>
      </w:r>
      <w:r>
        <w:t xml:space="preserve"> </w:t>
      </w:r>
      <w:r>
        <w:t xml:space="preserve">short-circuit retrieval: admin-curated responses matched by intent similarity (embedding threshold + confirmation margin); they are also the admin's repair tool when generation disappoints.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Query understanding:</w:t>
      </w:r>
      <w:r>
        <w:t xml:space="preserve"> </w:t>
      </w:r>
      <w:r>
        <w:t xml:space="preserve">preflight rewrites the customer message into a search query (conversation-context-aware, multilingual → source-locale). Cheap model, cached.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Freshness:</w:t>
      </w:r>
      <w:r>
        <w:t xml:space="preserve"> </w:t>
      </w:r>
      <w:r>
        <w:t xml:space="preserve">ingestion is outbox-driven (article publish → re-chunk within minutes); retrieval requires</w:t>
      </w:r>
      <w:r>
        <w:t xml:space="preserve"> </w:t>
      </w:r>
      <w:r>
        <w:rPr>
          <w:rStyle w:val="VerbatimChar"/>
        </w:rPr>
        <w:t xml:space="preserve">emb_version = current</w:t>
      </w:r>
      <w:r>
        <w:t xml:space="preserve"> </w:t>
      </w:r>
      <w:r>
        <w:t xml:space="preserve">so re-embed migrations cut over atomically per workspace.</w:t>
      </w:r>
    </w:p>
    <w:p>
      <w:pPr>
        <w:pStyle w:val="Heading2"/>
      </w:pPr>
      <w:bookmarkStart w:id="25" w:name="X6fac308fcf7dcba0cb1041c1c738cf6df248515"/>
      <w:r>
        <w:t xml:space="preserve">5. Orchestration, actions, procedures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State machine per turn</w:t>
      </w:r>
      <w:r>
        <w:t xml:space="preserve"> </w:t>
      </w:r>
      <w:r>
        <w:t xml:space="preserve">(diagram §3): every edge has a timeout and a fallback; total turn budget 20 s hard cap, first token &lt; 3 s p95 (stream directly through Redis pub/sub → gateway; tokens are never stored mid-flight, only the final part).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Grounding gate:</w:t>
      </w:r>
      <w:r>
        <w:t xml:space="preserve"> </w:t>
      </w:r>
      <w:r>
        <w:t xml:space="preserve">if fused retrieval confidence is low → ask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clarifying question (tracked; never loops) or hand off. This single gate is the difference between "helpful" and "confidently wrong," and it is tunable per tenant (conservative ↔ eager).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Actions</w:t>
      </w:r>
      <w:r>
        <w:t xml:space="preserve"> </w:t>
      </w:r>
      <w:r>
        <w:t xml:space="preserve">= admin-defined HTTP tools (OpenAPI-ish schema: method, URL template, auth ref, input/output schema, PII flags). Execution: through the SSRF-guard proxy (RFC-001 §10), per-action rate limits, idempotency keys on mutating calls, dry-run test console for admins, response allowlisted into context (schema-validated — a tool response is untrusted input).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Procedures</w:t>
      </w:r>
      <w:r>
        <w:t xml:space="preserve"> </w:t>
      </w:r>
      <w:r>
        <w:t xml:space="preserve">= versioned, declarative multi-step policies ("refund if: order &lt; 30 days AND …") compiled into a constrained plan the orchestrator walks step-by-step — the model fills slots and drafts messages;</w:t>
      </w:r>
      <w:r>
        <w:t xml:space="preserve"> </w:t>
      </w:r>
      <w:r>
        <w:rPr>
          <w:b/>
        </w:rPr>
        <w:t xml:space="preserve">the ledger, not the model, owns control flow</w:t>
      </w:r>
      <w:r>
        <w:t xml:space="preserve"> </w:t>
      </w:r>
      <w:r>
        <w:t xml:space="preserve">(steps recorded like workflow runs, RFC-002 §5.6). This is how multi-step stays auditable and replay-safe.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Handoff:</w:t>
      </w:r>
      <w:r>
        <w:t xml:space="preserve"> </w:t>
      </w:r>
      <w:r>
        <w:t xml:space="preserve">always available ("talk to a person" honored immediately); on handoff Aide posts a private summary note (conversation recap, attempted sources, customer sentiment) so the human starts warm. If workflows route post-handoff, RFC-001 §6.7 takes over.</w:t>
      </w:r>
    </w:p>
    <w:p>
      <w:pPr>
        <w:pStyle w:val="Heading2"/>
      </w:pPr>
      <w:bookmarkStart w:id="26" w:name="Xbea72b855dd80a2f97947c42d3314fd2fc5f9af"/>
      <w:r>
        <w:t xml:space="preserve">6. Safety &amp; tenant isolation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Injection posture:</w:t>
      </w:r>
      <w:r>
        <w:t xml:space="preserve"> </w:t>
      </w:r>
      <w:r>
        <w:t xml:space="preserve">retrieved content and customer text are data, never instructions — delimited and typed in the prompt; system policy holds instruction hierarchy; tool calls only from the allowlist with schema-validated args; generation must cite retrieved chunk ids, and the verifier rejects claims with no supporting chunk (groundedness check on a cheap model). Red-team suite (injection corpus incl. "ignore previous instructions" families, tool-exfiltration attempts, cross-tenant probes) runs in CI.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Isolation:</w:t>
      </w:r>
      <w:r>
        <w:t xml:space="preserve"> </w:t>
      </w:r>
      <w:r>
        <w:t xml:space="preserve">retrieval queries run under the same RLS +</w:t>
      </w:r>
      <w:r>
        <w:t xml:space="preserve"> </w:t>
      </w:r>
      <w:r>
        <w:rPr>
          <w:rStyle w:val="VerbatimChar"/>
        </w:rPr>
        <w:t xml:space="preserve">app.ws</w:t>
      </w:r>
      <w:r>
        <w:t xml:space="preserve"> </w:t>
      </w:r>
      <w:r>
        <w:t xml:space="preserve">regime as everything else (RFC-002 §7) — the model can never be prompted into another tenant's corpus because the SQL layer cannot return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Output filters:</w:t>
      </w:r>
      <w:r>
        <w:t xml:space="preserve"> </w:t>
      </w:r>
      <w:r>
        <w:t xml:space="preserve">PII redaction option per tenant; policy filters (no legal/medical advice beyond sources, configurable); profanity/abuse de-escalation path routes to humans.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Kill switches:</w:t>
      </w:r>
      <w:r>
        <w:t xml:space="preserve"> </w:t>
      </w:r>
      <w:r>
        <w:t xml:space="preserve">per-workspace Aide disable; global model-route flag; per-action disable — all Unleash flags, no deploy needed.</w:t>
      </w:r>
    </w:p>
    <w:p>
      <w:pPr>
        <w:pStyle w:val="Heading2"/>
      </w:pPr>
      <w:bookmarkStart w:id="27" w:name="X87d96bd9721de169a2ea58f605ddbbedc3d7d3c"/>
      <w:r>
        <w:t xml:space="preserve">7. Copilot (agent-facing) &amp; voice (forward pointer)</w:t>
      </w:r>
      <w:bookmarkEnd w:id="27"/>
    </w:p>
    <w:p>
      <w:pPr>
        <w:pStyle w:val="FirstParagraph"/>
      </w:pPr>
      <w:r>
        <w:t xml:space="preserve">Copilot reuses the identical retrieval +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machinery with a different surface: draft suggestions (never auto-send), conversation summarization, tone rewrite, article-from-resolution drafting (closes the knowledge loop: resolved-by-human conversations become suggested articles). Zero additional storage design. Voice (phase 3): streaming ASR → same turn pipeline with partial-utterance handling → streaming TTS; latency budget forces a smaller model tier and aggressive custom-answer matching; separate design doc at phase-3 start.</w:t>
      </w:r>
    </w:p>
    <w:p>
      <w:pPr>
        <w:pStyle w:val="Heading2"/>
      </w:pPr>
      <w:bookmarkStart w:id="28" w:name="Xe875670dadec843f7840545fe37ddae1c0e40f0"/>
      <w:r>
        <w:t xml:space="preserve">8. Measurement: resolutions, analytics, evals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Resolution definition (billing-grade, decided now):</w:t>
      </w:r>
      <w:r>
        <w:t xml:space="preserve"> </w:t>
      </w:r>
      <w:r>
        <w:t xml:space="preserve">a conversation counts as an Aide resolution iff Aide participated, no human teammate replied after Aide's last answer, the customer confirmed resolution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went silent for 72 h after the answer,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conversation was not reopened within 72 h. Reopens claw back the meter (usage_records are appended, corrections are negative rows — never mutated; RFC-002 W8).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Analytics (per tenant):</w:t>
      </w:r>
      <w:r>
        <w:t xml:space="preserve"> </w:t>
      </w:r>
      <w:r>
        <w:t xml:space="preserve">resolution &amp; deflection rate, handoff reasons, CSAT delta (Aide-touched vs not), latency, cost;</w:t>
      </w:r>
      <w:r>
        <w:t xml:space="preserve"> </w:t>
      </w:r>
      <w:r>
        <w:rPr>
          <w:b/>
        </w:rPr>
        <w:t xml:space="preserve">content gaps</w:t>
      </w:r>
      <w:r>
        <w:t xml:space="preserve"> </w:t>
      </w:r>
      <w:r>
        <w:t xml:space="preserve">= unresolved/handoff turns clustered by embedding (HDBSCAN over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embeddings, weekly batch) surfaced as "write an article about X" suggestions — this closes the retrieval-quality flywheel.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Evals (the release gate for any prompt/model/retrieval change):</w:t>
      </w:r>
    </w:p>
    <w:p>
      <w:pPr>
        <w:numPr>
          <w:ilvl w:val="1"/>
          <w:numId w:val="1005"/>
        </w:numPr>
        <w:pStyle w:val="Compact"/>
      </w:pPr>
      <w:r>
        <w:rPr>
          <w:i/>
        </w:rPr>
        <w:t xml:space="preserve">Golden sets:</w:t>
      </w:r>
      <w:r>
        <w:t xml:space="preserve"> </w:t>
      </w:r>
      <w:r>
        <w:t xml:space="preserve">per-tenant opt-in sampled transcripts + synthetic sets per vertical; graded by LLM-judge on groundedness/correctness/tone with human spot-audit calibration (κ tracked).</w:t>
      </w:r>
    </w:p>
    <w:p>
      <w:pPr>
        <w:numPr>
          <w:ilvl w:val="1"/>
          <w:numId w:val="1005"/>
        </w:numPr>
        <w:pStyle w:val="Compact"/>
      </w:pPr>
      <w:r>
        <w:rPr>
          <w:i/>
        </w:rPr>
        <w:t xml:space="preserve">Offline in CI:</w:t>
      </w:r>
      <w:r>
        <w:t xml:space="preserve"> </w:t>
      </w:r>
      <w:r>
        <w:t xml:space="preserve">retrieval recall@k on labeled corpora; end-to-end judge scores; injection red-team suite; cost/latency regression budgets.</w:t>
      </w:r>
    </w:p>
    <w:p>
      <w:pPr>
        <w:numPr>
          <w:ilvl w:val="1"/>
          <w:numId w:val="1005"/>
        </w:numPr>
        <w:pStyle w:val="Compact"/>
      </w:pPr>
      <w:r>
        <w:rPr>
          <w:i/>
        </w:rPr>
        <w:t xml:space="preserve">Online:</w:t>
      </w:r>
      <w:r>
        <w:t xml:space="preserve"> </w:t>
      </w:r>
      <w:r>
        <w:t xml:space="preserve">shadow mode (Aide drafts silently on real traffic, judged offline) before enable per tenant; then A/B vs control cohort; auto-halt flag if resolution or CSAT degrades &gt; X% (symptom alert, RFC-001 §9).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Debuggability:</w:t>
      </w:r>
      <w:r>
        <w:t xml:space="preserve"> </w:t>
      </w:r>
      <w:r>
        <w:t xml:space="preserve">every production answer reconstructs from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(chunks, prompt hash, model, seed where supported) — support can answer "why did it say that?"</w:t>
      </w:r>
    </w:p>
    <w:p>
      <w:pPr>
        <w:pStyle w:val="Heading2"/>
      </w:pPr>
      <w:bookmarkStart w:id="29" w:name="X541c49d3b34c0e6fd33ff2b4a47de6af7b24a6b"/>
      <w:r>
        <w:t xml:space="preserve">9. Cost model &amp; unit economics</w:t>
      </w:r>
      <w:bookmarkEnd w:id="29"/>
    </w:p>
    <w:p>
      <w:pPr>
        <w:pStyle w:val="FirstParagraph"/>
      </w:pPr>
      <w:r>
        <w:t xml:space="preserve">Per typical resolved conversation (2 Aide turns): preflight ≈1k tok cheap model + retrieval embeds (≈negligible, cached) + generation ≈2×(3k in / 400 out) mid/frontier tier + verification ≈1.5k cheap ⇒</w:t>
      </w:r>
      <w:r>
        <w:t xml:space="preserve"> </w:t>
      </w:r>
      <w:r>
        <w:rPr>
          <w:b/>
        </w:rPr>
        <w:t xml:space="preserve">$0.01–0.05 model cost</w:t>
      </w:r>
      <w:r>
        <w:t xml:space="preserve"> </w:t>
      </w:r>
      <w:r>
        <w:t xml:space="preserve">at mid-2026 street prices (sensitive assumption; re-price quarterly). At $0.99/resolution ⇒ gross margin &gt; 90% on inference; the real costs are eval infra and re-embeds (bounded, batch, off-peak). Controls: model tiering (cheap for preflight/verify, frontier for generation only), semantic cache per workspace for near-duplicate questions (embedding-similarity keyed, TTL + invalidated on knowledge change), context trimming (only top chunks + rolling conversation summary), per-tenant token budgets + monthly spend caps (429 with human-routing fallback, never silent drop), provider abstraction with per-provider rate-limit pools and failover (RFC-001 §9 table).</w:t>
      </w:r>
    </w:p>
    <w:p>
      <w:pPr>
        <w:pStyle w:val="BodyText"/>
      </w:pPr>
      <w:r>
        <w:t xml:space="preserve">At 1.5M Aide conversations/mo envelope: ≈$25–75k/mo inference against ≈$400k+ metered revenue if resolution ≥ 40% — the margin funds the eval discipline that protects it.</w:t>
      </w:r>
    </w:p>
    <w:p>
      <w:pPr>
        <w:pStyle w:val="Heading2"/>
      </w:pPr>
      <w:bookmarkStart w:id="30" w:name="X46cc86a2fcc8c2e2e2e319f6609e416a271d4fd"/>
      <w:r>
        <w:t xml:space="preserve">10. Risks &amp; open questions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Resolution rate plateaus below sellable bar</w:t>
            </w:r>
          </w:p>
        </w:tc>
        <w:tc>
          <w:p>
            <w:pPr>
              <w:pStyle w:val="Compact"/>
              <w:jc w:val="left"/>
            </w:pPr>
            <w:r>
              <w:t xml:space="preserve">Eligibility scoping (start with intents retrieval serves well), custom answers as fast repair, content-gap flywheel (§8), grounding gate tuned conservative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LLM-judge grading drifts from human judgment</w:t>
            </w:r>
          </w:p>
        </w:tc>
        <w:tc>
          <w:p>
            <w:pPr>
              <w:pStyle w:val="Compact"/>
              <w:jc w:val="left"/>
            </w:pPr>
            <w:r>
              <w:t xml:space="preserve">Quarterly human calibration set; κ threshold gates judge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price/behavior shifts under us</w:t>
            </w:r>
          </w:p>
        </w:tc>
        <w:tc>
          <w:p>
            <w:pPr>
              <w:pStyle w:val="Compact"/>
              <w:jc w:val="left"/>
            </w:pPr>
            <w:r>
              <w:t xml:space="preserve">Two-provider abstraction from day one; prompts versioned + eval-gated per provider; cost re-price quarterly (§9 sensitivity)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Actions become an exfiltration/abuse vector</w:t>
            </w:r>
          </w:p>
        </w:tc>
        <w:tc>
          <w:p>
            <w:pPr>
              <w:pStyle w:val="Compact"/>
              <w:jc w:val="left"/>
            </w:pPr>
            <w:r>
              <w:t xml:space="preserve">Allowlist + schema validation + SSRF proxy + per-action limits + audit; no free-form HTTP ever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cache serves stale/wrong answers post-knowledge-change</w:t>
            </w:r>
          </w:p>
        </w:tc>
        <w:tc>
          <w:p>
            <w:pPr>
              <w:pStyle w:val="Compact"/>
              <w:jc w:val="left"/>
            </w:pPr>
            <w:r>
              <w:t xml:space="preserve">Cache keyed on knowledge-version epoch; publish bumps epoch (cheap, coarse, correct)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 h resolution window disputed by customers</w:t>
            </w:r>
          </w:p>
        </w:tc>
        <w:tc>
          <w:p>
            <w:pPr>
              <w:pStyle w:val="Compact"/>
              <w:jc w:val="left"/>
            </w:pPr>
            <w:r>
              <w:t xml:space="preserve">Definition documented in-product + claw-back meters; window per-tenant configurable within bounds</w:t>
            </w:r>
          </w:p>
        </w:tc>
      </w:tr>
    </w:tbl>
    <w:p>
      <w:pPr>
        <w:pStyle w:val="BodyText"/>
      </w:pPr>
      <w:r>
        <w:rPr>
          <w:b/>
        </w:rPr>
        <w:t xml:space="preserve">Open:</w:t>
      </w:r>
      <w:r>
        <w:t xml:space="preserve"> </w:t>
      </w:r>
      <w:r>
        <w:t xml:space="preserve">(1) rerank model — cheap-LLM scoring vs hosted cross-encoder; benchmark at phase-1 (owner: AI lead). (2) Embedding model/dimension — 1536-d assumed (RFC-002 §5.5); half-precision benchmark on tenant corpora may allow 768-d and half the index. (3) Judge prompts ownership &amp; versioning process — decide with first eval hire.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completes the RFC set: 000 scope · 001 system · 002 data · 003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2026-07-22T16:03:18Z</dcterms:created>
  <dcterms:modified xsi:type="dcterms:W3CDTF">2026-07-22T16:03:18Z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