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TG成果展示与开发方案</w:t>
      </w:r>
    </w:p>
    <w:p>
      <w:pPr>
        <w:jc w:val="center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18735" cy="1129665"/>
            <wp:effectExtent l="0" t="0" r="5715" b="13335"/>
            <wp:docPr id="16" name="Picture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18735" cy="1129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预期目标：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ageBreakBefore w:val="0"/>
              <w:widowControl/>
              <w:numPr>
                <w:ilvl w:val="0"/>
                <w:numId w:val="1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jc w:val="both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总控管理员管理租户：</w:t>
            </w:r>
          </w:p>
          <w:p>
            <w:pPr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jc w:val="both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管理租户，包括配置第三方游戏账号，管理额度，管理游戏资源。</w:t>
            </w:r>
          </w:p>
          <w:p>
            <w:pPr>
              <w:pageBreakBefore w:val="0"/>
              <w:widowControl/>
              <w:numPr>
                <w:ilvl w:val="0"/>
                <w:numId w:val="1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jc w:val="both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租户管理玩家：</w:t>
            </w:r>
          </w:p>
          <w:p>
            <w:pPr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jc w:val="both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管理玩家，查看额度，查询注单，查询账变，查询玩家。</w:t>
            </w:r>
          </w:p>
          <w:p>
            <w:pPr>
              <w:pageBreakBefore w:val="0"/>
              <w:widowControl/>
              <w:numPr>
                <w:ilvl w:val="0"/>
                <w:numId w:val="1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jc w:val="both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玩家进行游戏：</w:t>
            </w:r>
          </w:p>
          <w:p>
            <w:pPr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jc w:val="both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获取游戏列表，进行游戏，查询注单，查询账变，查询余额。</w:t>
            </w:r>
          </w:p>
        </w:tc>
      </w:tr>
    </w:tbl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预估工期：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jc w:val="both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第一阶段（2个星期：2月8日-2月25日）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>两个租户对接两个游戏平台，玩家可以正常游戏。</w:t>
            </w:r>
          </w:p>
        </w:tc>
      </w:tr>
    </w:tbl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需要的资料：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jc w:val="both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2条测试域名。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jc w:val="both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2台服务器。16核32G内存，200G硬盘。</w:t>
            </w:r>
          </w:p>
          <w:p>
            <w:pPr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jc w:val="both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2个游戏平台的资料。包括对接文档，测试账号。</w:t>
            </w:r>
          </w:p>
        </w:tc>
      </w:tr>
    </w:tbl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计划安排：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架构系统，预估3天（2月8日-2月11日，除去周日2月9日）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对接第一个游戏，预估4天（2月12日-2月15日，除去周日2月16日）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对接第二个游戏，预估4天（2月17日-2月20日）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测试、修复，预估3天（2月21日-2月24日，除去周日2月23日）</w:t>
            </w:r>
          </w:p>
          <w:p>
            <w:pPr>
              <w:widowControl w:val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交付（2月25日）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402715" cy="1419860"/>
                  <wp:effectExtent l="0" t="0" r="6985" b="8890"/>
                  <wp:docPr id="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715" cy="1419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b/>
          <w:bCs/>
          <w:lang w:val="en-US" w:eastAsia="zh-CN"/>
        </w:rPr>
      </w:pPr>
      <w:bookmarkStart w:id="0" w:name="_GoBack"/>
      <w:bookmarkEnd w:id="0"/>
      <w:r>
        <w:rPr>
          <w:rFonts w:hint="eastAsia"/>
          <w:b/>
          <w:bCs/>
          <w:lang w:val="en-US" w:eastAsia="zh-CN"/>
        </w:rPr>
        <w:t>展示成果：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both"/>
            </w:pPr>
            <w:r>
              <w:drawing>
                <wp:inline distT="0" distB="0" distL="114300" distR="114300">
                  <wp:extent cx="5273040" cy="4057650"/>
                  <wp:effectExtent l="0" t="0" r="3810" b="0"/>
                  <wp:docPr id="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05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jc w:val="both"/>
            </w:pPr>
            <w:r>
              <w:drawing>
                <wp:inline distT="0" distB="0" distL="114300" distR="114300">
                  <wp:extent cx="5266690" cy="2685415"/>
                  <wp:effectExtent l="0" t="0" r="1016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685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jc w:val="both"/>
            </w:pPr>
          </w:p>
          <w:p>
            <w:pPr>
              <w:widowControl w:val="0"/>
              <w:jc w:val="both"/>
            </w:pPr>
            <w:r>
              <w:drawing>
                <wp:inline distT="0" distB="0" distL="114300" distR="114300">
                  <wp:extent cx="5266690" cy="2075815"/>
                  <wp:effectExtent l="0" t="0" r="1016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07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jc w:val="both"/>
            </w:pPr>
          </w:p>
          <w:p>
            <w:pPr>
              <w:widowControl w:val="0"/>
              <w:jc w:val="both"/>
            </w:pPr>
            <w:r>
              <w:drawing>
                <wp:inline distT="0" distB="0" distL="114300" distR="114300">
                  <wp:extent cx="5266690" cy="2685415"/>
                  <wp:effectExtent l="0" t="0" r="10160" b="63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685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jc w:val="both"/>
            </w:pPr>
          </w:p>
          <w:p>
            <w:pPr>
              <w:widowControl w:val="0"/>
              <w:jc w:val="both"/>
            </w:pPr>
            <w:r>
              <w:drawing>
                <wp:inline distT="0" distB="0" distL="114300" distR="114300">
                  <wp:extent cx="5266690" cy="2685415"/>
                  <wp:effectExtent l="0" t="0" r="10160" b="6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685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jc w:val="both"/>
            </w:pPr>
          </w:p>
          <w:p>
            <w:pPr>
              <w:widowControl w:val="0"/>
              <w:jc w:val="both"/>
            </w:pPr>
            <w:r>
              <w:drawing>
                <wp:inline distT="0" distB="0" distL="114300" distR="114300">
                  <wp:extent cx="5266690" cy="2685415"/>
                  <wp:effectExtent l="0" t="0" r="10160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685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jc w:val="both"/>
            </w:pPr>
          </w:p>
          <w:p>
            <w:pPr>
              <w:widowControl w:val="0"/>
              <w:jc w:val="both"/>
            </w:pPr>
            <w:r>
              <w:drawing>
                <wp:inline distT="0" distB="0" distL="114300" distR="114300">
                  <wp:extent cx="5266690" cy="2685415"/>
                  <wp:effectExtent l="0" t="0" r="10160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685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jc w:val="both"/>
            </w:pPr>
          </w:p>
          <w:p>
            <w:pPr>
              <w:widowControl w:val="0"/>
              <w:jc w:val="both"/>
            </w:pPr>
            <w:r>
              <w:drawing>
                <wp:inline distT="0" distB="0" distL="114300" distR="114300">
                  <wp:extent cx="5266690" cy="2685415"/>
                  <wp:effectExtent l="0" t="0" r="10160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685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jc w:val="both"/>
            </w:pPr>
          </w:p>
          <w:p>
            <w:pPr>
              <w:widowControl w:val="0"/>
              <w:jc w:val="both"/>
            </w:pPr>
            <w:r>
              <w:drawing>
                <wp:inline distT="0" distB="0" distL="114300" distR="114300">
                  <wp:extent cx="5266690" cy="2685415"/>
                  <wp:effectExtent l="0" t="0" r="1016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685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jc w:val="both"/>
            </w:pPr>
          </w:p>
          <w:p>
            <w:pPr>
              <w:widowControl w:val="0"/>
              <w:jc w:val="both"/>
            </w:pPr>
          </w:p>
          <w:p>
            <w:pPr>
              <w:widowControl w:val="0"/>
              <w:jc w:val="both"/>
            </w:pPr>
            <w:r>
              <w:drawing>
                <wp:inline distT="0" distB="0" distL="114300" distR="114300">
                  <wp:extent cx="5266690" cy="2685415"/>
                  <wp:effectExtent l="0" t="0" r="10160" b="6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685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jc w:val="both"/>
            </w:pPr>
          </w:p>
          <w:p>
            <w:pPr>
              <w:widowControl w:val="0"/>
              <w:jc w:val="both"/>
            </w:pPr>
            <w:r>
              <w:drawing>
                <wp:inline distT="0" distB="0" distL="114300" distR="114300">
                  <wp:extent cx="5266690" cy="2685415"/>
                  <wp:effectExtent l="0" t="0" r="10160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685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jc w:val="both"/>
            </w:pPr>
          </w:p>
          <w:p>
            <w:pPr>
              <w:widowControl w:val="0"/>
              <w:jc w:val="both"/>
            </w:pPr>
            <w:r>
              <w:drawing>
                <wp:inline distT="0" distB="0" distL="114300" distR="114300">
                  <wp:extent cx="5266690" cy="2685415"/>
                  <wp:effectExtent l="0" t="0" r="10160" b="63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685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jc w:val="both"/>
            </w:pPr>
          </w:p>
          <w:p>
            <w:pPr>
              <w:widowControl w:val="0"/>
              <w:jc w:val="both"/>
            </w:pPr>
            <w:r>
              <w:drawing>
                <wp:inline distT="0" distB="0" distL="114300" distR="114300">
                  <wp:extent cx="5266690" cy="2685415"/>
                  <wp:effectExtent l="0" t="0" r="10160" b="63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685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jc w:val="both"/>
              <w:rPr>
                <w:rFonts w:hint="default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default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default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F699F6"/>
    <w:multiLevelType w:val="singleLevel"/>
    <w:tmpl w:val="52F699F6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9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06533"/>
    <w:rsid w:val="017F3544"/>
    <w:rsid w:val="0ABE2CA8"/>
    <w:rsid w:val="0C31740A"/>
    <w:rsid w:val="117F0C29"/>
    <w:rsid w:val="16C86C9B"/>
    <w:rsid w:val="216E304F"/>
    <w:rsid w:val="240C3012"/>
    <w:rsid w:val="24C52D21"/>
    <w:rsid w:val="2D4458D7"/>
    <w:rsid w:val="2E0D4D93"/>
    <w:rsid w:val="2EB13E66"/>
    <w:rsid w:val="2F042DC6"/>
    <w:rsid w:val="389D0D80"/>
    <w:rsid w:val="38AD620E"/>
    <w:rsid w:val="396B54B3"/>
    <w:rsid w:val="3A830FBC"/>
    <w:rsid w:val="3C7526A2"/>
    <w:rsid w:val="3DD52479"/>
    <w:rsid w:val="40440721"/>
    <w:rsid w:val="43714471"/>
    <w:rsid w:val="47990890"/>
    <w:rsid w:val="48D652E5"/>
    <w:rsid w:val="49552A6F"/>
    <w:rsid w:val="4D7C2D7C"/>
    <w:rsid w:val="53B759EE"/>
    <w:rsid w:val="554A72B9"/>
    <w:rsid w:val="55E075C9"/>
    <w:rsid w:val="58BA6796"/>
    <w:rsid w:val="5BE7522B"/>
    <w:rsid w:val="5C1F49BA"/>
    <w:rsid w:val="5EE730A7"/>
    <w:rsid w:val="615B1C76"/>
    <w:rsid w:val="61E274D3"/>
    <w:rsid w:val="62F62EF2"/>
    <w:rsid w:val="6AD724A6"/>
    <w:rsid w:val="703A53E9"/>
    <w:rsid w:val="74420778"/>
    <w:rsid w:val="74E5133C"/>
    <w:rsid w:val="767B6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Office_11.2.0.9144_F1E327BC-269C-435d-A152-05C5408002CA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2020-02-04T08:19:00Z</dcterms:created>
  <dc:creator>Administrator</dc:creator>
  <cp:lastModifiedBy>Administrator</cp:lastModifiedBy>
  <dcterms:modified xsi:type="dcterms:W3CDTF">2020-02-11T09:41:38Z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1033-11.2.0.9144</vt:lpwstr>
  </property>
</Properties>
</file>